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9CEA63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0" w:firstLineChars="0"/>
        <w:jc w:val="center"/>
        <w:textAlignment w:val="auto"/>
        <w:rPr>
          <w:rFonts w:hint="eastAsia" w:ascii="小标宋" w:hAnsi="小标宋" w:eastAsia="小标宋" w:cs="小标宋"/>
          <w:color w:val="000000" w:themeColor="text1"/>
          <w:sz w:val="44"/>
          <w:szCs w:val="44"/>
          <w:highlight w:val="none"/>
          <w:lang w:eastAsia="zh-CN"/>
          <w14:textFill>
            <w14:solidFill>
              <w14:schemeClr w14:val="tx1"/>
            </w14:solidFill>
          </w14:textFill>
        </w:rPr>
      </w:pPr>
      <w:bookmarkStart w:id="0" w:name="_GoBack"/>
      <w:r>
        <w:rPr>
          <w:rFonts w:hint="eastAsia" w:ascii="小标宋" w:hAnsi="小标宋" w:eastAsia="小标宋" w:cs="小标宋"/>
          <w:color w:val="000000" w:themeColor="text1"/>
          <w:sz w:val="44"/>
          <w:szCs w:val="44"/>
          <w:highlight w:val="none"/>
          <w14:textFill>
            <w14:solidFill>
              <w14:schemeClr w14:val="tx1"/>
            </w14:solidFill>
          </w14:textFill>
        </w:rPr>
        <w:t>关于</w:t>
      </w:r>
      <w:r>
        <w:rPr>
          <w:rFonts w:hint="eastAsia" w:ascii="小标宋" w:hAnsi="小标宋" w:eastAsia="小标宋" w:cs="小标宋"/>
          <w:color w:val="000000" w:themeColor="text1"/>
          <w:sz w:val="44"/>
          <w:szCs w:val="44"/>
          <w:highlight w:val="none"/>
          <w:lang w:val="en-US" w:eastAsia="zh-CN"/>
          <w14:textFill>
            <w14:solidFill>
              <w14:schemeClr w14:val="tx1"/>
            </w14:solidFill>
          </w14:textFill>
        </w:rPr>
        <w:t>“链上红盟·三联共促”</w:t>
      </w:r>
      <w:r>
        <w:rPr>
          <w:rFonts w:hint="eastAsia" w:ascii="小标宋" w:hAnsi="小标宋" w:eastAsia="小标宋" w:cs="小标宋"/>
          <w:color w:val="000000" w:themeColor="text1"/>
          <w:sz w:val="44"/>
          <w:szCs w:val="44"/>
          <w:highlight w:val="none"/>
          <w14:textFill>
            <w14:solidFill>
              <w14:schemeClr w14:val="tx1"/>
            </w14:solidFill>
          </w14:textFill>
        </w:rPr>
        <w:t>党建联建</w:t>
      </w:r>
      <w:r>
        <w:rPr>
          <w:rFonts w:hint="eastAsia" w:ascii="小标宋" w:hAnsi="小标宋" w:eastAsia="小标宋" w:cs="小标宋"/>
          <w:color w:val="000000" w:themeColor="text1"/>
          <w:sz w:val="44"/>
          <w:szCs w:val="44"/>
          <w:highlight w:val="none"/>
          <w:lang w:val="en-US" w:eastAsia="zh-CN"/>
          <w14:textFill>
            <w14:solidFill>
              <w14:schemeClr w14:val="tx1"/>
            </w14:solidFill>
          </w14:textFill>
        </w:rPr>
        <w:t>项目</w:t>
      </w:r>
      <w:r>
        <w:rPr>
          <w:rFonts w:hint="eastAsia" w:ascii="小标宋" w:hAnsi="小标宋" w:eastAsia="小标宋" w:cs="小标宋"/>
          <w:color w:val="000000" w:themeColor="text1"/>
          <w:sz w:val="44"/>
          <w:szCs w:val="44"/>
          <w:highlight w:val="none"/>
          <w14:textFill>
            <w14:solidFill>
              <w14:schemeClr w14:val="tx1"/>
            </w14:solidFill>
          </w14:textFill>
        </w:rPr>
        <w:t>方案</w:t>
      </w:r>
      <w:r>
        <w:rPr>
          <w:rFonts w:hint="eastAsia" w:ascii="小标宋" w:hAnsi="小标宋" w:eastAsia="小标宋" w:cs="小标宋"/>
          <w:color w:val="000000" w:themeColor="text1"/>
          <w:sz w:val="44"/>
          <w:szCs w:val="44"/>
          <w:highlight w:val="none"/>
          <w:lang w:eastAsia="zh-CN"/>
          <w14:textFill>
            <w14:solidFill>
              <w14:schemeClr w14:val="tx1"/>
            </w14:solidFill>
          </w14:textFill>
        </w:rPr>
        <w:t>事宜</w:t>
      </w:r>
    </w:p>
    <w:p w14:paraId="7D73EB92">
      <w:pPr>
        <w:keepNext w:val="0"/>
        <w:keepLines w:val="0"/>
        <w:pageBreakBefore w:val="0"/>
        <w:widowControl w:val="0"/>
        <w:tabs>
          <w:tab w:val="left" w:pos="1866"/>
        </w:tabs>
        <w:kinsoku/>
        <w:wordWrap/>
        <w:overflowPunct/>
        <w:topLinePunct w:val="0"/>
        <w:autoSpaceDE/>
        <w:autoSpaceDN/>
        <w:bidi w:val="0"/>
        <w:snapToGrid/>
        <w:spacing w:line="560" w:lineRule="exact"/>
        <w:rPr>
          <w:rFonts w:hint="eastAsia" w:ascii="Times New Roman" w:hAnsi="Times New Roman" w:eastAsia="仿宋_GB2312" w:cs="仿宋_GB2312"/>
          <w:sz w:val="32"/>
          <w:szCs w:val="32"/>
          <w:highlight w:val="none"/>
          <w:lang w:eastAsia="zh-CN"/>
        </w:rPr>
      </w:pPr>
      <w:r>
        <w:rPr>
          <w:rFonts w:hint="eastAsia" w:eastAsia="仿宋_GB2312" w:cs="仿宋_GB2312"/>
          <w:sz w:val="32"/>
          <w:szCs w:val="32"/>
          <w:highlight w:val="none"/>
          <w:lang w:eastAsia="zh-CN"/>
        </w:rPr>
        <w:tab/>
      </w:r>
    </w:p>
    <w:p w14:paraId="1A0A93F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napToGrid/>
        <w:spacing w:line="560" w:lineRule="exact"/>
        <w:rPr>
          <w:rFonts w:hint="eastAsia" w:ascii="Times New Roman" w:hAnsi="Times New Roman" w:eastAsia="仿宋_GB2312" w:cs="仿宋_GB2312"/>
          <w:sz w:val="32"/>
          <w:szCs w:val="32"/>
          <w:highlight w:val="none"/>
        </w:rPr>
      </w:pPr>
      <w:r>
        <w:rPr>
          <w:rFonts w:hint="eastAsia" w:ascii="Times New Roman" w:hAnsi="Times New Roman" w:eastAsia="仿宋_GB2312" w:cs="仿宋_GB2312"/>
          <w:sz w:val="32"/>
          <w:szCs w:val="32"/>
          <w:highlight w:val="none"/>
        </w:rPr>
        <w:t>公司党委：</w:t>
      </w:r>
    </w:p>
    <w:p w14:paraId="4C495B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both"/>
        <w:textAlignment w:val="auto"/>
        <w:rPr>
          <w:rFonts w:hint="eastAsia" w:ascii="仿宋_GB2312" w:hAnsi="仿宋_GB2312" w:eastAsia="仿宋_GB2312" w:cs="仿宋_GB2312"/>
          <w:color w:val="auto"/>
          <w:spacing w:val="0"/>
          <w:kern w:val="0"/>
          <w:sz w:val="32"/>
          <w:szCs w:val="32"/>
          <w:highlight w:val="none"/>
          <w:lang w:val="en-US" w:eastAsia="zh-CN" w:bidi="ar"/>
        </w:rPr>
      </w:pPr>
      <w:r>
        <w:rPr>
          <w:rFonts w:hint="eastAsia" w:ascii="仿宋_GB2312" w:hAnsi="仿宋_GB2312" w:eastAsia="仿宋_GB2312" w:cs="仿宋_GB2312"/>
          <w:color w:val="auto"/>
          <w:spacing w:val="0"/>
          <w:kern w:val="0"/>
          <w:sz w:val="32"/>
          <w:szCs w:val="32"/>
          <w:highlight w:val="none"/>
          <w:lang w:val="en-US" w:eastAsia="zh-CN" w:bidi="ar"/>
        </w:rPr>
        <w:t>根据市国资委《关于开展市国资系统“链式+圈式”党建联建工作的实施方案》（杭国资党委发〔2026〕17号）部署要求，结合公司实际，拟定《“链上红盟·三联共促”党建联建项目方案》。</w:t>
      </w:r>
    </w:p>
    <w:p w14:paraId="686BFE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both"/>
        <w:textAlignment w:val="auto"/>
        <w:rPr>
          <w:rFonts w:hint="eastAsia" w:ascii="仿宋_GB2312" w:hAnsi="仿宋_GB2312" w:eastAsia="仿宋_GB2312" w:cs="仿宋_GB2312"/>
          <w:color w:val="auto"/>
          <w:spacing w:val="0"/>
          <w:kern w:val="0"/>
          <w:sz w:val="32"/>
          <w:szCs w:val="32"/>
          <w:highlight w:val="none"/>
          <w:lang w:val="en-US" w:eastAsia="zh-CN" w:bidi="ar"/>
        </w:rPr>
      </w:pPr>
      <w:r>
        <w:rPr>
          <w:rFonts w:hint="eastAsia" w:ascii="仿宋_GB2312" w:hAnsi="仿宋_GB2312" w:eastAsia="仿宋_GB2312" w:cs="仿宋_GB2312"/>
          <w:color w:val="auto"/>
          <w:spacing w:val="0"/>
          <w:kern w:val="0"/>
          <w:sz w:val="32"/>
          <w:szCs w:val="32"/>
          <w:highlight w:val="none"/>
          <w:lang w:val="en-US" w:eastAsia="zh-CN" w:bidi="ar"/>
        </w:rPr>
        <w:t>请公司党委审议。</w:t>
      </w:r>
    </w:p>
    <w:p w14:paraId="1F2FC84C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napToGrid/>
        <w:spacing w:line="560" w:lineRule="exact"/>
        <w:rPr>
          <w:rFonts w:hint="eastAsia" w:ascii="Times New Roman" w:hAnsi="Times New Roman" w:eastAsia="仿宋_GB2312" w:cs="仿宋_GB2312"/>
          <w:sz w:val="32"/>
          <w:szCs w:val="32"/>
          <w:highlight w:val="none"/>
        </w:rPr>
      </w:pPr>
    </w:p>
    <w:p w14:paraId="2835168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napToGrid/>
        <w:spacing w:line="560" w:lineRule="exact"/>
        <w:ind w:firstLine="640" w:firstLineChars="200"/>
        <w:rPr>
          <w:rFonts w:hint="eastAsia" w:ascii="Times New Roman" w:hAnsi="Times New Roman" w:eastAsia="仿宋_GB2312" w:cs="仿宋_GB2312"/>
          <w:color w:val="auto"/>
          <w:spacing w:val="0"/>
          <w:kern w:val="0"/>
          <w:sz w:val="32"/>
          <w:szCs w:val="32"/>
          <w:highlight w:val="none"/>
          <w:lang w:val="en-US" w:eastAsia="zh-CN" w:bidi="ar"/>
        </w:rPr>
      </w:pPr>
      <w:r>
        <w:rPr>
          <w:rFonts w:hint="eastAsia" w:ascii="Times New Roman" w:hAnsi="Times New Roman" w:eastAsia="仿宋_GB2312" w:cs="仿宋_GB2312"/>
          <w:color w:val="auto"/>
          <w:spacing w:val="0"/>
          <w:kern w:val="0"/>
          <w:sz w:val="32"/>
          <w:szCs w:val="32"/>
          <w:highlight w:val="none"/>
          <w:lang w:val="en-US" w:eastAsia="zh-CN" w:bidi="ar"/>
        </w:rPr>
        <w:t>附件：“链上红盟·三联共促”党建联建项目方案</w:t>
      </w:r>
    </w:p>
    <w:p w14:paraId="3310C8DE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napToGrid/>
        <w:spacing w:line="560" w:lineRule="exact"/>
        <w:rPr>
          <w:rFonts w:hint="default" w:ascii="Times New Roman" w:hAnsi="Times New Roman" w:eastAsia="仿宋_GB2312" w:cs="仿宋_GB2312"/>
          <w:sz w:val="32"/>
          <w:szCs w:val="32"/>
          <w:highlight w:val="none"/>
          <w:lang w:val="en-US" w:eastAsia="zh-CN"/>
        </w:rPr>
      </w:pPr>
    </w:p>
    <w:p w14:paraId="2E95EED7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napToGrid/>
        <w:spacing w:line="560" w:lineRule="exact"/>
        <w:rPr>
          <w:rFonts w:hint="eastAsia" w:ascii="Times New Roman" w:hAnsi="Times New Roman" w:eastAsia="仿宋_GB2312" w:cs="仿宋_GB2312"/>
          <w:sz w:val="32"/>
          <w:szCs w:val="32"/>
          <w:highlight w:val="none"/>
        </w:rPr>
      </w:pPr>
    </w:p>
    <w:p w14:paraId="2C7C593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napToGrid/>
        <w:spacing w:line="560" w:lineRule="exact"/>
        <w:ind w:firstLine="2640" w:firstLineChars="1000"/>
        <w:rPr>
          <w:rFonts w:hint="eastAsia" w:ascii="仿宋_GB2312" w:hAnsi="仿宋_GB2312" w:eastAsia="仿宋_GB2312" w:cs="仿宋_GB2312"/>
          <w:spacing w:val="-28"/>
          <w:sz w:val="32"/>
          <w:szCs w:val="32"/>
          <w:highlight w:val="none"/>
        </w:rPr>
      </w:pPr>
      <w:r>
        <w:rPr>
          <w:rFonts w:hint="eastAsia" w:ascii="仿宋_GB2312" w:hAnsi="仿宋_GB2312" w:eastAsia="仿宋_GB2312" w:cs="仿宋_GB2312"/>
          <w:spacing w:val="-28"/>
          <w:sz w:val="32"/>
          <w:szCs w:val="32"/>
          <w:highlight w:val="none"/>
        </w:rPr>
        <w:t>人力资源部（党群工作部、退休人员管理办公室）</w:t>
      </w:r>
    </w:p>
    <w:p w14:paraId="07A1D7C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napToGrid/>
        <w:spacing w:line="560" w:lineRule="exact"/>
        <w:ind w:firstLine="4480" w:firstLineChars="1400"/>
        <w:rPr>
          <w:rFonts w:hint="eastAsia" w:ascii="仿宋_GB2312" w:hAnsi="仿宋_GB2312" w:eastAsia="仿宋_GB2312" w:cs="仿宋_GB2312"/>
          <w:kern w:val="0"/>
          <w:sz w:val="32"/>
          <w:szCs w:val="32"/>
          <w:highlight w:val="none"/>
        </w:rPr>
      </w:pPr>
      <w:r>
        <w:rPr>
          <w:rFonts w:hint="eastAsia" w:ascii="仿宋_GB2312" w:hAnsi="仿宋_GB2312" w:eastAsia="仿宋_GB2312" w:cs="仿宋_GB2312"/>
          <w:kern w:val="0"/>
          <w:sz w:val="32"/>
          <w:szCs w:val="32"/>
          <w:highlight w:val="none"/>
        </w:rPr>
        <w:t>2026年</w:t>
      </w:r>
      <w:r>
        <w:rPr>
          <w:rFonts w:hint="eastAsia" w:ascii="仿宋_GB2312" w:hAnsi="仿宋_GB2312" w:eastAsia="仿宋_GB2312" w:cs="仿宋_GB2312"/>
          <w:kern w:val="0"/>
          <w:sz w:val="32"/>
          <w:szCs w:val="32"/>
          <w:highlight w:val="none"/>
          <w:lang w:val="en-US" w:eastAsia="zh-CN"/>
        </w:rPr>
        <w:t>8</w:t>
      </w:r>
      <w:r>
        <w:rPr>
          <w:rFonts w:hint="eastAsia" w:ascii="仿宋_GB2312" w:hAnsi="仿宋_GB2312" w:eastAsia="仿宋_GB2312" w:cs="仿宋_GB2312"/>
          <w:kern w:val="0"/>
          <w:sz w:val="32"/>
          <w:szCs w:val="32"/>
          <w:highlight w:val="none"/>
        </w:rPr>
        <w:t>月</w:t>
      </w:r>
      <w:r>
        <w:rPr>
          <w:rFonts w:hint="eastAsia" w:ascii="仿宋_GB2312" w:hAnsi="仿宋_GB2312" w:eastAsia="仿宋_GB2312" w:cs="仿宋_GB2312"/>
          <w:kern w:val="0"/>
          <w:sz w:val="32"/>
          <w:szCs w:val="32"/>
          <w:highlight w:val="none"/>
          <w:lang w:val="en-US" w:eastAsia="zh-CN"/>
        </w:rPr>
        <w:t>10</w:t>
      </w:r>
      <w:r>
        <w:rPr>
          <w:rFonts w:hint="eastAsia" w:ascii="仿宋_GB2312" w:hAnsi="仿宋_GB2312" w:eastAsia="仿宋_GB2312" w:cs="仿宋_GB2312"/>
          <w:kern w:val="0"/>
          <w:sz w:val="32"/>
          <w:szCs w:val="32"/>
          <w:highlight w:val="none"/>
        </w:rPr>
        <w:t>日</w:t>
      </w:r>
    </w:p>
    <w:p w14:paraId="7F411D2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700" w:lineRule="exact"/>
        <w:jc w:val="center"/>
        <w:textAlignment w:val="auto"/>
        <w:rPr>
          <w:rStyle w:val="10"/>
          <w:rFonts w:hint="eastAsia" w:ascii="方正小标宋_GBK" w:hAnsi="方正小标宋_GBK" w:eastAsia="方正小标宋_GBK" w:cs="方正小标宋_GBK"/>
          <w:b w:val="0"/>
          <w:bCs/>
          <w:i w:val="0"/>
          <w:iCs w:val="0"/>
          <w:caps w:val="0"/>
          <w:color w:val="1A2029"/>
          <w:spacing w:val="0"/>
          <w:sz w:val="44"/>
          <w:szCs w:val="44"/>
          <w:highlight w:val="none"/>
          <w:shd w:val="clear" w:fill="FFFFFF"/>
          <w:vertAlign w:val="baseline"/>
          <w:lang w:val="en-US" w:eastAsia="zh-CN"/>
        </w:rPr>
      </w:pPr>
    </w:p>
    <w:p w14:paraId="0B88A09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700" w:lineRule="exact"/>
        <w:jc w:val="center"/>
        <w:textAlignment w:val="auto"/>
        <w:rPr>
          <w:rStyle w:val="10"/>
          <w:rFonts w:hint="eastAsia" w:ascii="方正小标宋_GBK" w:hAnsi="方正小标宋_GBK" w:eastAsia="方正小标宋_GBK" w:cs="方正小标宋_GBK"/>
          <w:b w:val="0"/>
          <w:bCs/>
          <w:i w:val="0"/>
          <w:iCs w:val="0"/>
          <w:caps w:val="0"/>
          <w:color w:val="1A2029"/>
          <w:spacing w:val="0"/>
          <w:sz w:val="44"/>
          <w:szCs w:val="44"/>
          <w:highlight w:val="none"/>
          <w:shd w:val="clear" w:fill="FFFFFF"/>
          <w:vertAlign w:val="baseline"/>
          <w:lang w:val="en-US" w:eastAsia="zh-CN"/>
        </w:rPr>
      </w:pPr>
    </w:p>
    <w:p w14:paraId="29EFE57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700" w:lineRule="exact"/>
        <w:jc w:val="center"/>
        <w:textAlignment w:val="auto"/>
        <w:rPr>
          <w:rStyle w:val="10"/>
          <w:rFonts w:hint="eastAsia" w:ascii="方正小标宋_GBK" w:hAnsi="方正小标宋_GBK" w:eastAsia="方正小标宋_GBK" w:cs="方正小标宋_GBK"/>
          <w:b w:val="0"/>
          <w:bCs/>
          <w:i w:val="0"/>
          <w:iCs w:val="0"/>
          <w:caps w:val="0"/>
          <w:color w:val="1A2029"/>
          <w:spacing w:val="0"/>
          <w:sz w:val="44"/>
          <w:szCs w:val="44"/>
          <w:highlight w:val="none"/>
          <w:shd w:val="clear" w:fill="FFFFFF"/>
          <w:vertAlign w:val="baseline"/>
          <w:lang w:val="en-US" w:eastAsia="zh-CN"/>
        </w:rPr>
      </w:pPr>
    </w:p>
    <w:p w14:paraId="1593518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700" w:lineRule="exact"/>
        <w:jc w:val="center"/>
        <w:textAlignment w:val="auto"/>
        <w:rPr>
          <w:rStyle w:val="10"/>
          <w:rFonts w:hint="eastAsia" w:ascii="方正小标宋_GBK" w:hAnsi="方正小标宋_GBK" w:eastAsia="方正小标宋_GBK" w:cs="方正小标宋_GBK"/>
          <w:b w:val="0"/>
          <w:bCs/>
          <w:i w:val="0"/>
          <w:iCs w:val="0"/>
          <w:caps w:val="0"/>
          <w:color w:val="1A2029"/>
          <w:spacing w:val="0"/>
          <w:sz w:val="44"/>
          <w:szCs w:val="44"/>
          <w:highlight w:val="none"/>
          <w:shd w:val="clear" w:fill="FFFFFF"/>
          <w:vertAlign w:val="baseline"/>
          <w:lang w:val="en-US" w:eastAsia="zh-CN"/>
        </w:rPr>
      </w:pPr>
    </w:p>
    <w:p w14:paraId="55B6DB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700" w:lineRule="exact"/>
        <w:jc w:val="center"/>
        <w:textAlignment w:val="auto"/>
        <w:rPr>
          <w:rStyle w:val="10"/>
          <w:rFonts w:hint="eastAsia" w:ascii="方正小标宋_GBK" w:hAnsi="方正小标宋_GBK" w:eastAsia="方正小标宋_GBK" w:cs="方正小标宋_GBK"/>
          <w:b w:val="0"/>
          <w:bCs/>
          <w:i w:val="0"/>
          <w:iCs w:val="0"/>
          <w:caps w:val="0"/>
          <w:color w:val="1A2029"/>
          <w:spacing w:val="0"/>
          <w:sz w:val="44"/>
          <w:szCs w:val="44"/>
          <w:highlight w:val="none"/>
          <w:shd w:val="clear" w:fill="FFFFFF"/>
          <w:vertAlign w:val="baseline"/>
          <w:lang w:val="en-US" w:eastAsia="zh-CN"/>
        </w:rPr>
      </w:pPr>
    </w:p>
    <w:p w14:paraId="50614B5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700" w:lineRule="exact"/>
        <w:jc w:val="center"/>
        <w:textAlignment w:val="auto"/>
        <w:rPr>
          <w:rStyle w:val="10"/>
          <w:rFonts w:hint="eastAsia" w:ascii="方正小标宋_GBK" w:hAnsi="方正小标宋_GBK" w:eastAsia="方正小标宋_GBK" w:cs="方正小标宋_GBK"/>
          <w:b w:val="0"/>
          <w:bCs/>
          <w:i w:val="0"/>
          <w:iCs w:val="0"/>
          <w:caps w:val="0"/>
          <w:color w:val="1A2029"/>
          <w:spacing w:val="0"/>
          <w:sz w:val="44"/>
          <w:szCs w:val="44"/>
          <w:highlight w:val="none"/>
          <w:shd w:val="clear" w:fill="FFFFFF"/>
          <w:vertAlign w:val="baseline"/>
          <w:lang w:val="en-US" w:eastAsia="zh-CN"/>
        </w:rPr>
      </w:pPr>
    </w:p>
    <w:p w14:paraId="742C67B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560" w:lineRule="exact"/>
        <w:ind w:left="0" w:leftChars="0"/>
        <w:jc w:val="both"/>
        <w:textAlignment w:val="auto"/>
        <w:rPr>
          <w:rFonts w:hint="eastAsia" w:ascii="Times New Roman" w:hAnsi="Times New Roman" w:eastAsia="黑体" w:cs="黑体"/>
          <w:color w:val="auto"/>
          <w:spacing w:val="0"/>
          <w:w w:val="100"/>
          <w:sz w:val="32"/>
          <w:szCs w:val="32"/>
          <w:highlight w:val="none"/>
          <w:lang w:val="en-US" w:eastAsia="zh-CN"/>
        </w:rPr>
      </w:pPr>
    </w:p>
    <w:p w14:paraId="4797ADA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560" w:lineRule="exact"/>
        <w:ind w:left="0" w:leftChars="0"/>
        <w:jc w:val="both"/>
        <w:textAlignment w:val="auto"/>
        <w:rPr>
          <w:rFonts w:hint="eastAsia" w:ascii="Times New Roman" w:hAnsi="Times New Roman" w:eastAsia="黑体" w:cs="黑体"/>
          <w:color w:val="auto"/>
          <w:spacing w:val="0"/>
          <w:w w:val="100"/>
          <w:sz w:val="32"/>
          <w:szCs w:val="32"/>
          <w:highlight w:val="none"/>
          <w:lang w:val="en-US" w:eastAsia="zh-CN"/>
        </w:rPr>
      </w:pPr>
    </w:p>
    <w:p w14:paraId="7646DA0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560" w:lineRule="exact"/>
        <w:ind w:left="0" w:leftChars="0"/>
        <w:jc w:val="both"/>
        <w:textAlignment w:val="auto"/>
        <w:rPr>
          <w:rFonts w:hint="default" w:ascii="Times New Roman" w:hAnsi="Times New Roman"/>
          <w:color w:val="auto"/>
          <w:sz w:val="32"/>
          <w:szCs w:val="32"/>
          <w:highlight w:val="none"/>
          <w:lang w:val="en-US"/>
        </w:rPr>
      </w:pPr>
      <w:r>
        <w:rPr>
          <w:rFonts w:hint="eastAsia" w:ascii="Times New Roman" w:hAnsi="Times New Roman" w:eastAsia="黑体" w:cs="黑体"/>
          <w:color w:val="auto"/>
          <w:spacing w:val="0"/>
          <w:w w:val="100"/>
          <w:sz w:val="32"/>
          <w:szCs w:val="32"/>
          <w:highlight w:val="none"/>
          <w:lang w:val="en-US" w:eastAsia="zh-CN"/>
        </w:rPr>
        <w:t>附件</w:t>
      </w:r>
    </w:p>
    <w:p w14:paraId="128C2D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700" w:lineRule="exact"/>
        <w:jc w:val="center"/>
        <w:textAlignment w:val="auto"/>
        <w:rPr>
          <w:rStyle w:val="10"/>
          <w:rFonts w:hint="eastAsia" w:ascii="方正小标宋_GBK" w:hAnsi="方正小标宋_GBK" w:eastAsia="方正小标宋_GBK" w:cs="方正小标宋_GBK"/>
          <w:b w:val="0"/>
          <w:bCs/>
          <w:i w:val="0"/>
          <w:iCs w:val="0"/>
          <w:caps w:val="0"/>
          <w:color w:val="1A2029"/>
          <w:spacing w:val="0"/>
          <w:sz w:val="44"/>
          <w:szCs w:val="44"/>
          <w:highlight w:val="none"/>
          <w:shd w:val="clear" w:fill="FFFFFF"/>
          <w:vertAlign w:val="baseline"/>
          <w:lang w:val="en-US" w:eastAsia="zh-CN"/>
        </w:rPr>
      </w:pPr>
      <w:r>
        <w:rPr>
          <w:rStyle w:val="10"/>
          <w:rFonts w:hint="eastAsia" w:ascii="方正小标宋_GBK" w:hAnsi="方正小标宋_GBK" w:eastAsia="方正小标宋_GBK" w:cs="方正小标宋_GBK"/>
          <w:b w:val="0"/>
          <w:bCs/>
          <w:i w:val="0"/>
          <w:iCs w:val="0"/>
          <w:caps w:val="0"/>
          <w:color w:val="1A2029"/>
          <w:spacing w:val="0"/>
          <w:sz w:val="44"/>
          <w:szCs w:val="44"/>
          <w:highlight w:val="none"/>
          <w:shd w:val="clear" w:fill="FFFFFF"/>
          <w:vertAlign w:val="baseline"/>
          <w:lang w:val="en-US" w:eastAsia="zh-CN"/>
        </w:rPr>
        <w:t>“链上红盟·三联共促”</w:t>
      </w:r>
      <w:r>
        <w:rPr>
          <w:rStyle w:val="10"/>
          <w:rFonts w:hint="eastAsia" w:ascii="方正小标宋_GBK" w:hAnsi="方正小标宋_GBK" w:eastAsia="方正小标宋_GBK" w:cs="方正小标宋_GBK"/>
          <w:b w:val="0"/>
          <w:bCs/>
          <w:i w:val="0"/>
          <w:iCs w:val="0"/>
          <w:caps w:val="0"/>
          <w:color w:val="1A2029"/>
          <w:spacing w:val="0"/>
          <w:sz w:val="44"/>
          <w:szCs w:val="44"/>
          <w:highlight w:val="none"/>
          <w:shd w:val="clear" w:fill="FFFFFF"/>
          <w:vertAlign w:val="baseline"/>
        </w:rPr>
        <w:t>党建联建</w:t>
      </w:r>
      <w:r>
        <w:rPr>
          <w:rStyle w:val="10"/>
          <w:rFonts w:hint="eastAsia" w:ascii="方正小标宋_GBK" w:hAnsi="方正小标宋_GBK" w:eastAsia="方正小标宋_GBK" w:cs="方正小标宋_GBK"/>
          <w:b w:val="0"/>
          <w:bCs/>
          <w:i w:val="0"/>
          <w:iCs w:val="0"/>
          <w:caps w:val="0"/>
          <w:color w:val="1A2029"/>
          <w:spacing w:val="0"/>
          <w:sz w:val="44"/>
          <w:szCs w:val="44"/>
          <w:highlight w:val="none"/>
          <w:shd w:val="clear" w:fill="FFFFFF"/>
          <w:vertAlign w:val="baseline"/>
          <w:lang w:val="en-US" w:eastAsia="zh-CN"/>
        </w:rPr>
        <w:t>项目</w:t>
      </w:r>
      <w:r>
        <w:rPr>
          <w:rStyle w:val="10"/>
          <w:rFonts w:hint="eastAsia" w:ascii="方正小标宋_GBK" w:hAnsi="方正小标宋_GBK" w:eastAsia="方正小标宋_GBK" w:cs="方正小标宋_GBK"/>
          <w:b w:val="0"/>
          <w:bCs/>
          <w:i w:val="0"/>
          <w:iCs w:val="0"/>
          <w:caps w:val="0"/>
          <w:color w:val="1A2029"/>
          <w:spacing w:val="0"/>
          <w:sz w:val="44"/>
          <w:szCs w:val="44"/>
          <w:highlight w:val="none"/>
          <w:shd w:val="clear" w:fill="FFFFFF"/>
          <w:vertAlign w:val="baseline"/>
        </w:rPr>
        <w:t>方案</w:t>
      </w:r>
    </w:p>
    <w:p w14:paraId="3609533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700" w:lineRule="exact"/>
        <w:jc w:val="center"/>
        <w:textAlignment w:val="auto"/>
        <w:rPr>
          <w:rStyle w:val="10"/>
          <w:rFonts w:hint="default" w:ascii="楷体_GB2312" w:hAnsi="楷体_GB2312" w:eastAsia="楷体_GB2312" w:cs="楷体_GB2312"/>
          <w:b w:val="0"/>
          <w:bCs/>
          <w:i w:val="0"/>
          <w:iCs w:val="0"/>
          <w:caps w:val="0"/>
          <w:color w:val="1A2029"/>
          <w:spacing w:val="0"/>
          <w:sz w:val="32"/>
          <w:szCs w:val="32"/>
          <w:highlight w:val="none"/>
          <w:shd w:val="clear" w:fill="FFFFFF"/>
          <w:vertAlign w:val="baseline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highlight w:val="none"/>
          <w:lang w:val="en-US" w:eastAsia="zh-CN"/>
        </w:rPr>
        <w:t>市交投集团</w:t>
      </w:r>
      <w:r>
        <w:rPr>
          <w:rStyle w:val="10"/>
          <w:rFonts w:hint="eastAsia" w:ascii="楷体_GB2312" w:hAnsi="楷体_GB2312" w:eastAsia="楷体_GB2312" w:cs="楷体_GB2312"/>
          <w:b w:val="0"/>
          <w:bCs/>
          <w:i w:val="0"/>
          <w:iCs w:val="0"/>
          <w:caps w:val="0"/>
          <w:color w:val="1A2029"/>
          <w:spacing w:val="0"/>
          <w:sz w:val="32"/>
          <w:szCs w:val="32"/>
          <w:highlight w:val="none"/>
          <w:shd w:val="clear" w:fill="FFFFFF"/>
          <w:vertAlign w:val="baseline"/>
          <w:lang w:val="en-US" w:eastAsia="zh-CN"/>
        </w:rPr>
        <w:t>机关党委 资产管理公司（漕运物流集团）党委</w:t>
      </w:r>
    </w:p>
    <w:p w14:paraId="73309883"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700" w:lineRule="exact"/>
        <w:jc w:val="center"/>
        <w:textAlignment w:val="auto"/>
        <w:rPr>
          <w:rFonts w:hint="eastAsia" w:ascii="楷体_GB2312" w:hAnsi="楷体_GB2312" w:eastAsia="楷体_GB2312" w:cs="楷体_GB2312"/>
          <w:sz w:val="32"/>
          <w:szCs w:val="32"/>
          <w:highlight w:val="none"/>
          <w:lang w:val="en-US" w:eastAsia="zh-CN"/>
        </w:rPr>
      </w:pPr>
      <w:r>
        <w:rPr>
          <w:rStyle w:val="10"/>
          <w:rFonts w:hint="eastAsia" w:ascii="楷体_GB2312" w:hAnsi="楷体_GB2312" w:eastAsia="楷体_GB2312" w:cs="楷体_GB2312"/>
          <w:b w:val="0"/>
          <w:bCs/>
          <w:i w:val="0"/>
          <w:iCs w:val="0"/>
          <w:caps w:val="0"/>
          <w:color w:val="1A2029"/>
          <w:spacing w:val="0"/>
          <w:sz w:val="32"/>
          <w:szCs w:val="32"/>
          <w:highlight w:val="none"/>
          <w:shd w:val="clear" w:fill="FFFFFF"/>
          <w:vertAlign w:val="baseline"/>
          <w:lang w:val="en-US" w:eastAsia="zh-CN"/>
        </w:rPr>
        <w:t>（2026年8月）</w:t>
      </w:r>
    </w:p>
    <w:p w14:paraId="3881A77D">
      <w:pPr>
        <w:rPr>
          <w:rFonts w:hint="eastAsia" w:ascii="黑体" w:hAnsi="黑体" w:eastAsia="黑体" w:cs="黑体"/>
          <w:b w:val="0"/>
          <w:bCs w:val="0"/>
          <w:sz w:val="32"/>
          <w:szCs w:val="32"/>
          <w:highlight w:val="none"/>
          <w:lang w:val="en-US" w:eastAsia="zh-CN"/>
        </w:rPr>
      </w:pPr>
    </w:p>
    <w:p w14:paraId="5075F28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黑体" w:hAnsi="黑体" w:eastAsia="黑体" w:cs="黑体"/>
          <w:b w:val="0"/>
          <w:bCs w:val="0"/>
          <w:sz w:val="32"/>
          <w:szCs w:val="32"/>
          <w:highlight w:val="none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sz w:val="32"/>
          <w:szCs w:val="32"/>
          <w:highlight w:val="none"/>
          <w:lang w:val="en-US" w:eastAsia="zh-CN"/>
        </w:rPr>
        <w:t>一、背景及现状</w:t>
      </w:r>
    </w:p>
    <w:p w14:paraId="6B4586B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  <w:highlight w:val="none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highlight w:val="none"/>
          <w:lang w:val="en-US" w:eastAsia="zh-CN"/>
        </w:rPr>
        <w:t>杭州交投科创中心由市交投集团下属资产管理公司（漕运物流集团）投资运营。项目位于杭州高新区（滨江）物联网小镇，占地30亩、总建筑面积8.3万平方米，实际可出租运营面积4.8万平方米。项目区位优势明显，创新要素密集，地处滨江物联网小镇核心区，市交投集团总部所在地，周边海康威视、大华股份等数字科技龙头企业集聚，便于开展产业链对接与技术合作。园区聚焦智慧交通、新基建、物联网、数字健康产业方向，目前入驻企业74家，集聚国家级高新技术企业14家、专精特新企业4家、科技型中小企业10家，获评专利超400项，2025年获评市、区两级科技企业孵化器。</w:t>
      </w:r>
    </w:p>
    <w:p w14:paraId="3953E6A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  <w:highlight w:val="none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highlight w:val="none"/>
          <w:lang w:val="en-US" w:eastAsia="zh-CN"/>
        </w:rPr>
        <w:t>为进一步落实《关于开展市国资系统“链式+圈式”党建联建工作的实施方案》（杭国资党委发〔2026〕17号）文件精神，更好地推动科创、人才、产业扶持资源直达全链企业，市交投集团机关党委会同资产管理公司（漕运物流集团）党委以园区为载体，以1500㎡国资国企党群服务中心为核心，联动杭州书房（全国职工书屋）、暖企小站、专业会议厅及公共配套，带动园区、周边企业以及属地有关党组织，着力构建</w:t>
      </w:r>
      <w:r>
        <w:rPr>
          <w:rFonts w:hint="eastAsia" w:ascii="仿宋_GB2312" w:hAnsi="仿宋_GB2312" w:eastAsia="仿宋_GB2312" w:cs="仿宋_GB2312"/>
          <w:sz w:val="32"/>
          <w:szCs w:val="32"/>
          <w:highlight w:val="none"/>
        </w:rPr>
        <w:t>“内部生态圈、协同发展圈、品牌辐射圈”</w:t>
      </w:r>
      <w:r>
        <w:rPr>
          <w:rFonts w:hint="eastAsia" w:ascii="仿宋_GB2312" w:hAnsi="仿宋_GB2312" w:eastAsia="仿宋_GB2312" w:cs="仿宋_GB2312"/>
          <w:sz w:val="32"/>
          <w:szCs w:val="32"/>
          <w:highlight w:val="none"/>
          <w:lang w:eastAsia="zh-CN"/>
        </w:rPr>
        <w:t>，</w:t>
      </w:r>
      <w:r>
        <w:rPr>
          <w:rFonts w:hint="eastAsia" w:ascii="仿宋_GB2312" w:hAnsi="仿宋_GB2312" w:eastAsia="仿宋_GB2312" w:cs="仿宋_GB2312"/>
          <w:sz w:val="32"/>
          <w:szCs w:val="32"/>
          <w:highlight w:val="none"/>
          <w:lang w:val="en-US" w:eastAsia="zh-CN"/>
        </w:rPr>
        <w:t>推动党建与产业深度融合。</w:t>
      </w:r>
    </w:p>
    <w:p w14:paraId="2A7762C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黑体" w:hAnsi="黑体" w:eastAsia="黑体" w:cs="黑体"/>
          <w:b w:val="0"/>
          <w:bCs w:val="0"/>
          <w:sz w:val="32"/>
          <w:szCs w:val="32"/>
          <w:highlight w:val="none"/>
        </w:rPr>
      </w:pPr>
      <w:r>
        <w:rPr>
          <w:rFonts w:hint="eastAsia" w:ascii="黑体" w:hAnsi="黑体" w:eastAsia="黑体" w:cs="黑体"/>
          <w:b w:val="0"/>
          <w:bCs w:val="0"/>
          <w:sz w:val="32"/>
          <w:szCs w:val="32"/>
          <w:highlight w:val="none"/>
          <w:lang w:val="en-US" w:eastAsia="zh-CN"/>
        </w:rPr>
        <w:t>二、</w:t>
      </w:r>
      <w:r>
        <w:rPr>
          <w:rFonts w:hint="eastAsia" w:ascii="黑体" w:hAnsi="黑体" w:eastAsia="黑体" w:cs="黑体"/>
          <w:b w:val="0"/>
          <w:bCs w:val="0"/>
          <w:sz w:val="32"/>
          <w:szCs w:val="32"/>
          <w:highlight w:val="none"/>
        </w:rPr>
        <w:t>项目名称</w:t>
      </w:r>
    </w:p>
    <w:p w14:paraId="77BEB6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  <w:highlight w:val="none"/>
        </w:rPr>
      </w:pPr>
      <w:r>
        <w:rPr>
          <w:rFonts w:hint="eastAsia" w:ascii="仿宋_GB2312" w:hAnsi="仿宋_GB2312" w:eastAsia="仿宋_GB2312" w:cs="仿宋_GB2312"/>
          <w:sz w:val="32"/>
          <w:szCs w:val="32"/>
          <w:highlight w:val="none"/>
        </w:rPr>
        <w:t>“链上红盟·三联共促”党建联建项目</w:t>
      </w:r>
      <w:r>
        <w:rPr>
          <w:rFonts w:hint="eastAsia" w:ascii="仿宋_GB2312" w:hAnsi="仿宋_GB2312" w:eastAsia="仿宋_GB2312" w:cs="仿宋_GB2312"/>
          <w:sz w:val="32"/>
          <w:szCs w:val="32"/>
          <w:highlight w:val="none"/>
          <w:lang w:eastAsia="zh-CN"/>
        </w:rPr>
        <w:t>。</w:t>
      </w:r>
    </w:p>
    <w:p w14:paraId="6A8C328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default" w:ascii="黑体" w:hAnsi="黑体" w:eastAsia="黑体" w:cs="黑体"/>
          <w:b w:val="0"/>
          <w:bCs w:val="0"/>
          <w:sz w:val="32"/>
          <w:szCs w:val="32"/>
          <w:highlight w:val="none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sz w:val="32"/>
          <w:szCs w:val="32"/>
          <w:highlight w:val="none"/>
          <w:lang w:val="en-US" w:eastAsia="zh-CN"/>
        </w:rPr>
        <w:t>三、联建目标</w:t>
      </w:r>
    </w:p>
    <w:p w14:paraId="71C7FD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  <w:highlight w:val="none"/>
          <w:lang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highlight w:val="none"/>
          <w:lang w:eastAsia="zh-CN"/>
        </w:rPr>
        <w:t>坚持以习近平新时代中国特色社会主义思想为指导，深入践行习近平党建思想，紧扣全市“296X”先进制造业产业集群发展布局，以杭州交投科创中心为载体，聚焦数字交通产业链，通过</w:t>
      </w:r>
      <w:r>
        <w:rPr>
          <w:rFonts w:hint="eastAsia" w:ascii="仿宋_GB2312" w:hAnsi="仿宋_GB2312" w:eastAsia="仿宋_GB2312" w:cs="仿宋_GB2312"/>
          <w:sz w:val="32"/>
          <w:szCs w:val="32"/>
          <w:highlight w:val="none"/>
        </w:rPr>
        <w:t>搭建园区产业链“红色联盟”，</w:t>
      </w:r>
      <w:r>
        <w:rPr>
          <w:rFonts w:hint="eastAsia" w:ascii="仿宋_GB2312" w:hAnsi="仿宋_GB2312" w:eastAsia="仿宋_GB2312" w:cs="仿宋_GB2312"/>
          <w:sz w:val="32"/>
          <w:szCs w:val="32"/>
          <w:highlight w:val="none"/>
          <w:lang w:val="en-US" w:eastAsia="zh-CN"/>
        </w:rPr>
        <w:t>推动</w:t>
      </w:r>
      <w:r>
        <w:rPr>
          <w:rFonts w:hint="eastAsia" w:ascii="仿宋_GB2312" w:hAnsi="仿宋_GB2312" w:eastAsia="仿宋_GB2312" w:cs="仿宋_GB2312"/>
          <w:sz w:val="32"/>
          <w:szCs w:val="32"/>
          <w:highlight w:val="none"/>
          <w:lang w:eastAsia="zh-CN"/>
        </w:rPr>
        <w:t>“党建+产业+资本”融合发力，赋能园区招商运营，打造具备核心竞争力的国资特色服务品牌，构建一流园区产业生态，努力实现园区专业化运营能力有提升、产业链投资培育工作有推进、链上园区企业有发展、企业职工群众得实惠。</w:t>
      </w:r>
    </w:p>
    <w:p w14:paraId="170D46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default" w:ascii="黑体" w:hAnsi="黑体" w:eastAsia="黑体" w:cs="黑体"/>
          <w:b w:val="0"/>
          <w:bCs w:val="0"/>
          <w:sz w:val="32"/>
          <w:szCs w:val="32"/>
          <w:highlight w:val="none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sz w:val="32"/>
          <w:szCs w:val="32"/>
          <w:highlight w:val="none"/>
          <w:lang w:val="en-US" w:eastAsia="zh-CN"/>
        </w:rPr>
        <w:t>四、联建单位</w:t>
      </w:r>
    </w:p>
    <w:p w14:paraId="09C2F2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  <w:highlight w:val="none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highlight w:val="none"/>
          <w:lang w:val="en-US" w:eastAsia="zh-CN"/>
        </w:rPr>
        <w:t>以市交投集团机关党委、资产管理公司（漕运物流集团）党委为链主单位，由园区运营方交投智慧公司党支部承担具体工作，联动滨江物联网小镇党委、滨江行政服务中心党总支，杭交产投公司党支部，杭州科创中心园区联合党支部及园区链核企业（符合市“296X”先进制造业集群重点支持领域的国家级专精特新“小巨人”企业）、其他重点企业，统筹各方资源，充分发挥党建联建优势。</w:t>
      </w:r>
    </w:p>
    <w:p w14:paraId="0780A40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3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  <w:highlight w:val="none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sz w:val="32"/>
          <w:szCs w:val="32"/>
          <w:highlight w:val="none"/>
          <w:lang w:val="en-US" w:eastAsia="zh-CN"/>
        </w:rPr>
        <w:t>1.滨江物联网小镇党委：</w:t>
      </w:r>
      <w:r>
        <w:rPr>
          <w:rFonts w:hint="eastAsia" w:ascii="仿宋_GB2312" w:hAnsi="仿宋_GB2312" w:eastAsia="仿宋_GB2312" w:cs="仿宋_GB2312"/>
          <w:sz w:val="32"/>
          <w:szCs w:val="32"/>
          <w:highlight w:val="none"/>
          <w:lang w:val="en-US" w:eastAsia="zh-CN"/>
        </w:rPr>
        <w:t>党委建制，构建“产业园党委—产业社区党委—楼宇党组织—企业党组织”四级严密组织体系，立足区域产业特色，下设集成电路、视觉智能、云计算和大数据3个产业链党委，产业链党建基础扎实。</w:t>
      </w:r>
    </w:p>
    <w:p w14:paraId="6A696FD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3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  <w:highlight w:val="none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sz w:val="32"/>
          <w:szCs w:val="32"/>
          <w:highlight w:val="none"/>
          <w:lang w:val="en-US" w:eastAsia="zh-CN"/>
        </w:rPr>
        <w:t>2.滨江行政服务中心党总支：</w:t>
      </w:r>
      <w:r>
        <w:rPr>
          <w:rFonts w:hint="eastAsia" w:ascii="仿宋_GB2312" w:hAnsi="仿宋_GB2312" w:eastAsia="仿宋_GB2312" w:cs="仿宋_GB2312"/>
          <w:sz w:val="32"/>
          <w:szCs w:val="32"/>
          <w:highlight w:val="none"/>
          <w:lang w:val="en-US" w:eastAsia="zh-CN"/>
        </w:rPr>
        <w:t>党总支建制，下设机关支部、大厅支部2个党支部，党建基础扎实、政务服务能力突出。</w:t>
      </w:r>
    </w:p>
    <w:p w14:paraId="6A9996F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3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  <w:highlight w:val="none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sz w:val="32"/>
          <w:szCs w:val="32"/>
          <w:highlight w:val="none"/>
          <w:lang w:val="en-US" w:eastAsia="zh-CN"/>
        </w:rPr>
        <w:t>3.杭州交投科创中心园区联合党支部：</w:t>
      </w:r>
      <w:r>
        <w:rPr>
          <w:rFonts w:hint="eastAsia" w:ascii="仿宋_GB2312" w:hAnsi="仿宋_GB2312" w:eastAsia="仿宋_GB2312" w:cs="仿宋_GB2312"/>
          <w:sz w:val="32"/>
          <w:szCs w:val="32"/>
          <w:highlight w:val="none"/>
          <w:lang w:val="en-US" w:eastAsia="zh-CN"/>
        </w:rPr>
        <w:t>党支部建制，分别为第一、第二、第三、第四联合党支部，覆盖园区、周边园区多家企业。</w:t>
      </w:r>
    </w:p>
    <w:p w14:paraId="09EAC93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default" w:ascii="黑体" w:hAnsi="黑体" w:eastAsia="黑体" w:cs="黑体"/>
          <w:b w:val="0"/>
          <w:bCs w:val="0"/>
          <w:sz w:val="32"/>
          <w:szCs w:val="32"/>
          <w:highlight w:val="none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sz w:val="32"/>
          <w:szCs w:val="32"/>
          <w:highlight w:val="none"/>
          <w:lang w:val="en-US" w:eastAsia="zh-CN"/>
        </w:rPr>
        <w:t>五、联建内容和举措</w:t>
      </w:r>
    </w:p>
    <w:p w14:paraId="210AF21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楷体_GB2312" w:hAnsi="楷体_GB2312" w:eastAsia="楷体_GB2312" w:cs="楷体_GB2312"/>
          <w:sz w:val="32"/>
          <w:szCs w:val="32"/>
          <w:highlight w:val="none"/>
        </w:rPr>
      </w:pPr>
      <w:r>
        <w:rPr>
          <w:rFonts w:hint="eastAsia" w:ascii="楷体_GB2312" w:hAnsi="楷体_GB2312" w:eastAsia="楷体_GB2312" w:cs="楷体_GB2312"/>
          <w:sz w:val="32"/>
          <w:szCs w:val="32"/>
          <w:highlight w:val="none"/>
          <w:lang w:val="en-US" w:eastAsia="zh-CN"/>
        </w:rPr>
        <w:t>（一）联建</w:t>
      </w:r>
      <w:r>
        <w:rPr>
          <w:rFonts w:hint="eastAsia" w:ascii="楷体_GB2312" w:hAnsi="楷体_GB2312" w:eastAsia="楷体_GB2312" w:cs="楷体_GB2312"/>
          <w:sz w:val="32"/>
          <w:szCs w:val="32"/>
          <w:highlight w:val="none"/>
        </w:rPr>
        <w:t>内容</w:t>
      </w:r>
    </w:p>
    <w:p w14:paraId="23EB0F4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both"/>
        <w:textAlignment w:val="auto"/>
        <w:rPr>
          <w:highlight w:val="none"/>
        </w:rPr>
      </w:pPr>
      <w:r>
        <w:rPr>
          <w:rFonts w:hint="eastAsia" w:ascii="仿宋_GB2312" w:hAnsi="仿宋_GB2312" w:eastAsia="仿宋_GB2312" w:cs="仿宋_GB2312"/>
          <w:sz w:val="32"/>
          <w:szCs w:val="32"/>
          <w:highlight w:val="none"/>
        </w:rPr>
        <w:t>紧扣全市“296X”先进制造业产业集群发展布局，深化“红色资管·三联三促”党建品牌建设，</w:t>
      </w:r>
      <w:r>
        <w:rPr>
          <w:rFonts w:hint="eastAsia" w:ascii="仿宋_GB2312" w:hAnsi="仿宋_GB2312" w:eastAsia="仿宋_GB2312" w:cs="仿宋_GB2312"/>
          <w:sz w:val="32"/>
          <w:szCs w:val="32"/>
          <w:highlight w:val="none"/>
          <w:lang w:val="en-US" w:eastAsia="zh-CN"/>
        </w:rPr>
        <w:t>聚焦数字交通产业链和产业生态圈，</w:t>
      </w:r>
      <w:r>
        <w:rPr>
          <w:rFonts w:hint="eastAsia" w:ascii="仿宋_GB2312" w:hAnsi="仿宋_GB2312" w:eastAsia="仿宋_GB2312" w:cs="仿宋_GB2312"/>
          <w:sz w:val="32"/>
          <w:szCs w:val="32"/>
          <w:highlight w:val="none"/>
        </w:rPr>
        <w:t>通过</w:t>
      </w:r>
      <w:r>
        <w:rPr>
          <w:rFonts w:hint="eastAsia" w:ascii="仿宋_GB2312" w:hAnsi="仿宋_GB2312" w:eastAsia="仿宋_GB2312" w:cs="仿宋_GB2312"/>
          <w:b/>
          <w:bCs/>
          <w:sz w:val="32"/>
          <w:szCs w:val="32"/>
          <w:highlight w:val="none"/>
        </w:rPr>
        <w:t>“联链核企业促强链筑基，联链上资源促补链成群，联圈层伙伴促破圈拓界”</w:t>
      </w:r>
      <w:r>
        <w:rPr>
          <w:rFonts w:hint="eastAsia" w:ascii="仿宋_GB2312" w:hAnsi="仿宋_GB2312" w:eastAsia="仿宋_GB2312" w:cs="仿宋_GB2312"/>
          <w:sz w:val="32"/>
          <w:szCs w:val="32"/>
          <w:highlight w:val="none"/>
        </w:rPr>
        <w:t>，助力园区产业迭代升级与专业化运营能力提升。</w:t>
      </w:r>
    </w:p>
    <w:p w14:paraId="6370944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3" w:firstLineChars="200"/>
        <w:jc w:val="both"/>
        <w:textAlignment w:val="auto"/>
        <w:rPr>
          <w:rFonts w:hint="eastAsia" w:ascii="仿宋_GB2312" w:hAnsi="仿宋_GB2312" w:eastAsia="仿宋_GB2312" w:cs="仿宋_GB2312"/>
          <w:b/>
          <w:bCs/>
          <w:sz w:val="32"/>
          <w:szCs w:val="32"/>
          <w:highlight w:val="none"/>
        </w:rPr>
      </w:pPr>
      <w:r>
        <w:rPr>
          <w:rFonts w:hint="eastAsia" w:ascii="仿宋_GB2312" w:hAnsi="仿宋_GB2312" w:eastAsia="仿宋_GB2312" w:cs="仿宋_GB2312"/>
          <w:b/>
          <w:bCs/>
          <w:sz w:val="32"/>
          <w:szCs w:val="32"/>
          <w:highlight w:val="none"/>
          <w:lang w:val="en-US" w:eastAsia="zh-CN"/>
        </w:rPr>
        <w:t>1.</w:t>
      </w:r>
      <w:r>
        <w:rPr>
          <w:rFonts w:hint="eastAsia" w:ascii="仿宋_GB2312" w:hAnsi="仿宋_GB2312" w:eastAsia="仿宋_GB2312" w:cs="仿宋_GB2312"/>
          <w:b/>
          <w:bCs/>
          <w:sz w:val="32"/>
          <w:szCs w:val="32"/>
          <w:highlight w:val="none"/>
        </w:rPr>
        <w:t>聚力“服务”：联链核企业促强链筑基</w:t>
      </w:r>
    </w:p>
    <w:p w14:paraId="044BC8B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both"/>
        <w:textAlignment w:val="auto"/>
        <w:rPr>
          <w:rFonts w:hint="eastAsia" w:ascii="仿宋_GB2312" w:hAnsi="仿宋_GB2312" w:eastAsia="仿宋_GB2312" w:cs="仿宋_GB2312"/>
          <w:sz w:val="32"/>
          <w:szCs w:val="32"/>
          <w:highlight w:val="none"/>
        </w:rPr>
      </w:pPr>
      <w:r>
        <w:rPr>
          <w:rFonts w:hint="eastAsia" w:ascii="仿宋_GB2312" w:hAnsi="仿宋_GB2312" w:eastAsia="仿宋_GB2312" w:cs="仿宋_GB2312"/>
          <w:sz w:val="32"/>
          <w:szCs w:val="32"/>
          <w:highlight w:val="none"/>
        </w:rPr>
        <w:t>以园区国家级专精特新“小巨人”企业为链核企业，由链主统筹园区、集团产投、滨江属地三方资源，组建跨领域党员服务</w:t>
      </w:r>
      <w:r>
        <w:rPr>
          <w:rFonts w:hint="eastAsia" w:ascii="仿宋_GB2312" w:hAnsi="仿宋_GB2312" w:eastAsia="仿宋_GB2312" w:cs="仿宋_GB2312"/>
          <w:sz w:val="32"/>
          <w:szCs w:val="32"/>
          <w:highlight w:val="none"/>
          <w:lang w:val="en-US" w:eastAsia="zh-CN"/>
        </w:rPr>
        <w:t>队</w:t>
      </w:r>
      <w:r>
        <w:rPr>
          <w:rFonts w:hint="eastAsia" w:ascii="仿宋_GB2312" w:hAnsi="仿宋_GB2312" w:eastAsia="仿宋_GB2312" w:cs="仿宋_GB2312"/>
          <w:sz w:val="32"/>
          <w:szCs w:val="32"/>
          <w:highlight w:val="none"/>
        </w:rPr>
        <w:t>，聚焦链核企业入驻装修、政策申报、研发测试等前端关键环节，完成搭建一站式惠企服务标准体系量身定制专属服务包，坚持“1日响应、3日解难”，入驻企业服务覆盖率保持在100%。全周期精准赋能链核企业扎根园区、</w:t>
      </w:r>
      <w:r>
        <w:rPr>
          <w:rFonts w:hint="eastAsia" w:ascii="仿宋_GB2312" w:hAnsi="仿宋_GB2312" w:eastAsia="仿宋_GB2312" w:cs="仿宋_GB2312"/>
          <w:sz w:val="32"/>
          <w:szCs w:val="32"/>
          <w:highlight w:val="none"/>
          <w:lang w:val="en-US" w:eastAsia="zh-CN"/>
        </w:rPr>
        <w:t>提质增效</w:t>
      </w:r>
      <w:r>
        <w:rPr>
          <w:rFonts w:hint="eastAsia" w:ascii="仿宋_GB2312" w:hAnsi="仿宋_GB2312" w:eastAsia="仿宋_GB2312" w:cs="仿宋_GB2312"/>
          <w:sz w:val="32"/>
          <w:szCs w:val="32"/>
          <w:highlight w:val="none"/>
        </w:rPr>
        <w:t>。</w:t>
      </w:r>
    </w:p>
    <w:p w14:paraId="3252600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3" w:firstLineChars="200"/>
        <w:jc w:val="both"/>
        <w:textAlignment w:val="auto"/>
        <w:rPr>
          <w:rFonts w:hint="eastAsia" w:ascii="仿宋_GB2312" w:hAnsi="仿宋_GB2312" w:eastAsia="仿宋_GB2312" w:cs="仿宋_GB2312"/>
          <w:sz w:val="32"/>
          <w:szCs w:val="32"/>
          <w:highlight w:val="none"/>
        </w:rPr>
      </w:pPr>
      <w:r>
        <w:rPr>
          <w:rFonts w:hint="eastAsia" w:ascii="仿宋_GB2312" w:hAnsi="仿宋_GB2312" w:eastAsia="仿宋_GB2312" w:cs="仿宋_GB2312"/>
          <w:b/>
          <w:bCs/>
          <w:sz w:val="32"/>
          <w:szCs w:val="32"/>
          <w:highlight w:val="none"/>
        </w:rPr>
        <w:t>时间安排：</w:t>
      </w:r>
      <w:r>
        <w:rPr>
          <w:rFonts w:hint="eastAsia" w:ascii="仿宋_GB2312" w:hAnsi="仿宋_GB2312" w:eastAsia="仿宋_GB2312" w:cs="仿宋_GB2312"/>
          <w:sz w:val="32"/>
          <w:szCs w:val="32"/>
          <w:highlight w:val="none"/>
        </w:rPr>
        <w:t>2026年</w:t>
      </w:r>
      <w:r>
        <w:rPr>
          <w:rFonts w:hint="eastAsia" w:ascii="仿宋_GB2312" w:hAnsi="仿宋_GB2312" w:eastAsia="仿宋_GB2312" w:cs="仿宋_GB2312"/>
          <w:sz w:val="32"/>
          <w:szCs w:val="32"/>
          <w:highlight w:val="none"/>
          <w:lang w:val="en-US" w:eastAsia="zh-CN"/>
        </w:rPr>
        <w:t>8</w:t>
      </w:r>
      <w:r>
        <w:rPr>
          <w:rFonts w:hint="eastAsia" w:ascii="仿宋_GB2312" w:hAnsi="仿宋_GB2312" w:eastAsia="仿宋_GB2312" w:cs="仿宋_GB2312"/>
          <w:sz w:val="32"/>
          <w:szCs w:val="32"/>
          <w:highlight w:val="none"/>
        </w:rPr>
        <w:t>月底前，建立党建联建机制，组建跨领域党员服务</w:t>
      </w:r>
      <w:r>
        <w:rPr>
          <w:rFonts w:hint="eastAsia" w:ascii="仿宋_GB2312" w:hAnsi="仿宋_GB2312" w:eastAsia="仿宋_GB2312" w:cs="仿宋_GB2312"/>
          <w:sz w:val="32"/>
          <w:szCs w:val="32"/>
          <w:highlight w:val="none"/>
          <w:lang w:val="en-US" w:eastAsia="zh-CN"/>
        </w:rPr>
        <w:t>队</w:t>
      </w:r>
      <w:r>
        <w:rPr>
          <w:rFonts w:hint="eastAsia" w:ascii="仿宋_GB2312" w:hAnsi="仿宋_GB2312" w:eastAsia="仿宋_GB2312" w:cs="仿宋_GB2312"/>
          <w:sz w:val="32"/>
          <w:szCs w:val="32"/>
          <w:highlight w:val="none"/>
        </w:rPr>
        <w:t>，召开首次联席会议；</w:t>
      </w:r>
      <w:r>
        <w:rPr>
          <w:rFonts w:hint="eastAsia" w:ascii="仿宋_GB2312" w:hAnsi="仿宋_GB2312" w:eastAsia="仿宋_GB2312" w:cs="仿宋_GB2312"/>
          <w:sz w:val="32"/>
          <w:szCs w:val="32"/>
          <w:highlight w:val="none"/>
          <w:lang w:val="en-US" w:eastAsia="zh-CN"/>
        </w:rPr>
        <w:t>9</w:t>
      </w:r>
      <w:r>
        <w:rPr>
          <w:rFonts w:hint="eastAsia" w:ascii="仿宋_GB2312" w:hAnsi="仿宋_GB2312" w:eastAsia="仿宋_GB2312" w:cs="仿宋_GB2312"/>
          <w:sz w:val="32"/>
          <w:szCs w:val="32"/>
          <w:highlight w:val="none"/>
        </w:rPr>
        <w:t>月底前，精准梳理“资源清单”“需求清单”，推动业务协作。</w:t>
      </w:r>
    </w:p>
    <w:p w14:paraId="30F3DC5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3" w:firstLineChars="200"/>
        <w:jc w:val="both"/>
        <w:textAlignment w:val="auto"/>
        <w:rPr>
          <w:rFonts w:hint="eastAsia" w:ascii="仿宋_GB2312" w:hAnsi="仿宋_GB2312" w:eastAsia="仿宋_GB2312" w:cs="仿宋_GB2312"/>
          <w:b/>
          <w:bCs/>
          <w:sz w:val="32"/>
          <w:szCs w:val="32"/>
          <w:highlight w:val="none"/>
        </w:rPr>
      </w:pPr>
      <w:r>
        <w:rPr>
          <w:rFonts w:hint="eastAsia" w:ascii="仿宋_GB2312" w:hAnsi="仿宋_GB2312" w:eastAsia="仿宋_GB2312" w:cs="仿宋_GB2312"/>
          <w:b/>
          <w:bCs/>
          <w:sz w:val="32"/>
          <w:szCs w:val="32"/>
          <w:highlight w:val="none"/>
          <w:lang w:eastAsia="zh-CN"/>
        </w:rPr>
        <w:t>2</w:t>
      </w:r>
      <w:r>
        <w:rPr>
          <w:rFonts w:hint="eastAsia" w:ascii="仿宋_GB2312" w:hAnsi="仿宋_GB2312" w:eastAsia="仿宋_GB2312" w:cs="仿宋_GB2312"/>
          <w:b/>
          <w:bCs/>
          <w:sz w:val="32"/>
          <w:szCs w:val="32"/>
          <w:highlight w:val="none"/>
          <w:lang w:val="en-US" w:eastAsia="zh-CN"/>
        </w:rPr>
        <w:t>.</w:t>
      </w:r>
      <w:r>
        <w:rPr>
          <w:rFonts w:hint="eastAsia" w:ascii="仿宋_GB2312" w:hAnsi="仿宋_GB2312" w:eastAsia="仿宋_GB2312" w:cs="仿宋_GB2312"/>
          <w:b/>
          <w:bCs/>
          <w:sz w:val="32"/>
          <w:szCs w:val="32"/>
          <w:highlight w:val="none"/>
        </w:rPr>
        <w:t>聚力“招引”：联链上资源促补链成群</w:t>
      </w:r>
    </w:p>
    <w:p w14:paraId="08C3A81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both"/>
        <w:textAlignment w:val="auto"/>
        <w:rPr>
          <w:rFonts w:hint="eastAsia" w:ascii="仿宋_GB2312" w:hAnsi="仿宋_GB2312" w:eastAsia="仿宋_GB2312" w:cs="仿宋_GB2312"/>
          <w:sz w:val="32"/>
          <w:szCs w:val="32"/>
          <w:highlight w:val="none"/>
        </w:rPr>
      </w:pPr>
      <w:r>
        <w:rPr>
          <w:rFonts w:hint="eastAsia" w:ascii="仿宋_GB2312" w:hAnsi="仿宋_GB2312" w:eastAsia="仿宋_GB2312" w:cs="仿宋_GB2312"/>
          <w:sz w:val="32"/>
          <w:szCs w:val="32"/>
          <w:highlight w:val="none"/>
        </w:rPr>
        <w:t>以链核企业需求为牵引，用好党员招商攻坚队、党员服务</w:t>
      </w:r>
      <w:r>
        <w:rPr>
          <w:rFonts w:hint="eastAsia" w:ascii="仿宋_GB2312" w:hAnsi="仿宋_GB2312" w:eastAsia="仿宋_GB2312" w:cs="仿宋_GB2312"/>
          <w:sz w:val="32"/>
          <w:szCs w:val="32"/>
          <w:highlight w:val="none"/>
          <w:lang w:val="en-US" w:eastAsia="zh-CN"/>
        </w:rPr>
        <w:t>队</w:t>
      </w:r>
      <w:r>
        <w:rPr>
          <w:rFonts w:hint="eastAsia" w:ascii="仿宋_GB2312" w:hAnsi="仿宋_GB2312" w:eastAsia="仿宋_GB2312" w:cs="仿宋_GB2312"/>
          <w:sz w:val="32"/>
          <w:szCs w:val="32"/>
          <w:highlight w:val="none"/>
        </w:rPr>
        <w:t>两支队伍，采取“链核推荐+党员跟进”联合招商方式，以链核企业的上下游供应链、技术链、服务链需求为导向，靶向招引配套企业，精准补齐上下游配套短板，努力打造“链核引领、配套协同”的园区产业集群。紧扣全市“296X”产业布局和集团产业发展导向，精准对接系统内产投资源，建立“党建+产业培育”共建机制，常态化开展“党建+投融资”专项对接会，通过“链主搭台、链核引领、基金赋能”模式，对成长潜力良好的配套企业</w:t>
      </w:r>
      <w:r>
        <w:rPr>
          <w:rFonts w:hint="eastAsia" w:ascii="仿宋_GB2312" w:hAnsi="仿宋_GB2312" w:eastAsia="仿宋_GB2312" w:cs="仿宋_GB2312"/>
          <w:sz w:val="32"/>
          <w:szCs w:val="32"/>
          <w:highlight w:val="none"/>
          <w:lang w:val="en-US" w:eastAsia="zh-CN"/>
        </w:rPr>
        <w:t>探索</w:t>
      </w:r>
      <w:r>
        <w:rPr>
          <w:rFonts w:hint="eastAsia" w:ascii="仿宋_GB2312" w:hAnsi="仿宋_GB2312" w:eastAsia="仿宋_GB2312" w:cs="仿宋_GB2312"/>
          <w:sz w:val="32"/>
          <w:szCs w:val="32"/>
          <w:highlight w:val="none"/>
        </w:rPr>
        <w:t>股权投资扶持，以资本纽带将配套企业深度绑定在产业链上。全面梳理开放园区楼顶、道路、机房等实景资源，向链核企业和生态伙伴开放综合试验环境，通过资本赋能产业、场景承载创新双向联动，有效压缩技术商用周期。</w:t>
      </w:r>
    </w:p>
    <w:p w14:paraId="0A05633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3" w:firstLineChars="200"/>
        <w:jc w:val="both"/>
        <w:textAlignment w:val="auto"/>
        <w:rPr>
          <w:rFonts w:hint="eastAsia" w:ascii="仿宋_GB2312" w:hAnsi="仿宋_GB2312" w:eastAsia="仿宋_GB2312" w:cs="仿宋_GB2312"/>
          <w:sz w:val="32"/>
          <w:szCs w:val="32"/>
          <w:highlight w:val="none"/>
        </w:rPr>
      </w:pPr>
      <w:r>
        <w:rPr>
          <w:rFonts w:hint="eastAsia" w:ascii="仿宋_GB2312" w:hAnsi="仿宋_GB2312" w:eastAsia="仿宋_GB2312" w:cs="仿宋_GB2312"/>
          <w:b/>
          <w:bCs/>
          <w:sz w:val="32"/>
          <w:szCs w:val="32"/>
          <w:highlight w:val="none"/>
        </w:rPr>
        <w:t>时间安排：</w:t>
      </w:r>
      <w:r>
        <w:rPr>
          <w:rFonts w:hint="eastAsia" w:ascii="仿宋_GB2312" w:hAnsi="仿宋_GB2312" w:eastAsia="仿宋_GB2312" w:cs="仿宋_GB2312"/>
          <w:sz w:val="32"/>
          <w:szCs w:val="32"/>
          <w:highlight w:val="none"/>
        </w:rPr>
        <w:t>2026年</w:t>
      </w:r>
      <w:r>
        <w:rPr>
          <w:rFonts w:hint="eastAsia" w:ascii="仿宋_GB2312" w:hAnsi="仿宋_GB2312" w:eastAsia="仿宋_GB2312" w:cs="仿宋_GB2312"/>
          <w:sz w:val="32"/>
          <w:szCs w:val="32"/>
          <w:highlight w:val="none"/>
          <w:lang w:val="en-US" w:eastAsia="zh-CN"/>
        </w:rPr>
        <w:t>9</w:t>
      </w:r>
      <w:r>
        <w:rPr>
          <w:rFonts w:hint="eastAsia" w:ascii="仿宋_GB2312" w:hAnsi="仿宋_GB2312" w:eastAsia="仿宋_GB2312" w:cs="仿宋_GB2312"/>
          <w:sz w:val="32"/>
          <w:szCs w:val="32"/>
          <w:highlight w:val="none"/>
        </w:rPr>
        <w:t>月底前，完成链核企业上下游供应链、技术链、服务链需求摸底，明确补链方向和目标企业清单；四季度，建立“党建+产业培育”共建机制，</w:t>
      </w:r>
      <w:r>
        <w:rPr>
          <w:rFonts w:hint="eastAsia" w:ascii="仿宋_GB2312" w:hAnsi="仿宋_GB2312" w:eastAsia="仿宋_GB2312" w:cs="仿宋_GB2312"/>
          <w:sz w:val="32"/>
          <w:szCs w:val="32"/>
          <w:highlight w:val="none"/>
          <w:lang w:val="en-US" w:eastAsia="zh-CN"/>
        </w:rPr>
        <w:t>至少</w:t>
      </w:r>
      <w:r>
        <w:rPr>
          <w:rFonts w:hint="eastAsia" w:ascii="仿宋_GB2312" w:hAnsi="仿宋_GB2312" w:eastAsia="仿宋_GB2312" w:cs="仿宋_GB2312"/>
          <w:sz w:val="32"/>
          <w:szCs w:val="32"/>
          <w:highlight w:val="none"/>
        </w:rPr>
        <w:t>开展1次“党建+投融资”对接会</w:t>
      </w:r>
      <w:r>
        <w:rPr>
          <w:rFonts w:hint="eastAsia" w:ascii="仿宋_GB2312" w:hAnsi="仿宋_GB2312" w:eastAsia="仿宋_GB2312" w:cs="仿宋_GB2312"/>
          <w:sz w:val="32"/>
          <w:szCs w:val="32"/>
          <w:highlight w:val="none"/>
          <w:lang w:eastAsia="zh-CN"/>
        </w:rPr>
        <w:t>，</w:t>
      </w:r>
      <w:r>
        <w:rPr>
          <w:rFonts w:hint="eastAsia" w:ascii="仿宋_GB2312" w:hAnsi="仿宋_GB2312" w:eastAsia="仿宋_GB2312" w:cs="仿宋_GB2312"/>
          <w:sz w:val="32"/>
          <w:szCs w:val="32"/>
          <w:highlight w:val="none"/>
          <w:lang w:val="en-US" w:eastAsia="zh-CN"/>
        </w:rPr>
        <w:t>力争</w:t>
      </w:r>
      <w:r>
        <w:rPr>
          <w:rFonts w:hint="eastAsia" w:ascii="仿宋_GB2312" w:hAnsi="仿宋_GB2312" w:eastAsia="仿宋_GB2312" w:cs="仿宋_GB2312"/>
          <w:sz w:val="32"/>
          <w:szCs w:val="32"/>
          <w:highlight w:val="none"/>
        </w:rPr>
        <w:t>引入产业链目标企业1家</w:t>
      </w:r>
      <w:r>
        <w:rPr>
          <w:rFonts w:hint="eastAsia" w:ascii="仿宋_GB2312" w:hAnsi="仿宋_GB2312" w:eastAsia="仿宋_GB2312" w:cs="仿宋_GB2312"/>
          <w:sz w:val="32"/>
          <w:szCs w:val="32"/>
          <w:highlight w:val="none"/>
          <w:lang w:val="en-US" w:eastAsia="zh-CN"/>
        </w:rPr>
        <w:t>以上</w:t>
      </w:r>
      <w:r>
        <w:rPr>
          <w:rFonts w:hint="eastAsia" w:ascii="仿宋_GB2312" w:hAnsi="仿宋_GB2312" w:eastAsia="仿宋_GB2312" w:cs="仿宋_GB2312"/>
          <w:sz w:val="32"/>
          <w:szCs w:val="32"/>
          <w:highlight w:val="none"/>
        </w:rPr>
        <w:t>，持续做好配套企业孵化培育。</w:t>
      </w:r>
    </w:p>
    <w:p w14:paraId="7B9AA2C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3" w:firstLineChars="200"/>
        <w:jc w:val="both"/>
        <w:textAlignment w:val="auto"/>
        <w:rPr>
          <w:rFonts w:hint="eastAsia" w:ascii="仿宋_GB2312" w:hAnsi="仿宋_GB2312" w:eastAsia="仿宋_GB2312" w:cs="仿宋_GB2312"/>
          <w:b/>
          <w:bCs/>
          <w:sz w:val="32"/>
          <w:szCs w:val="32"/>
          <w:highlight w:val="none"/>
        </w:rPr>
      </w:pPr>
      <w:r>
        <w:rPr>
          <w:rFonts w:hint="eastAsia" w:ascii="仿宋_GB2312" w:hAnsi="仿宋_GB2312" w:eastAsia="仿宋_GB2312" w:cs="仿宋_GB2312"/>
          <w:b/>
          <w:bCs/>
          <w:sz w:val="32"/>
          <w:szCs w:val="32"/>
          <w:highlight w:val="none"/>
          <w:lang w:eastAsia="zh-CN"/>
        </w:rPr>
        <w:t>3</w:t>
      </w:r>
      <w:r>
        <w:rPr>
          <w:rFonts w:hint="eastAsia" w:ascii="仿宋_GB2312" w:hAnsi="仿宋_GB2312" w:eastAsia="仿宋_GB2312" w:cs="仿宋_GB2312"/>
          <w:b/>
          <w:bCs/>
          <w:sz w:val="32"/>
          <w:szCs w:val="32"/>
          <w:highlight w:val="none"/>
          <w:lang w:val="en-US" w:eastAsia="zh-CN"/>
        </w:rPr>
        <w:t>.</w:t>
      </w:r>
      <w:r>
        <w:rPr>
          <w:rFonts w:hint="eastAsia" w:ascii="仿宋_GB2312" w:hAnsi="仿宋_GB2312" w:eastAsia="仿宋_GB2312" w:cs="仿宋_GB2312"/>
          <w:b/>
          <w:bCs/>
          <w:sz w:val="32"/>
          <w:szCs w:val="32"/>
          <w:highlight w:val="none"/>
        </w:rPr>
        <w:t>聚力“培育”：联圈层伙伴促破圈拓界</w:t>
      </w:r>
    </w:p>
    <w:p w14:paraId="4F7A2CC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both"/>
        <w:textAlignment w:val="auto"/>
        <w:rPr>
          <w:rFonts w:hint="eastAsia" w:ascii="仿宋_GB2312" w:hAnsi="仿宋_GB2312" w:eastAsia="仿宋_GB2312" w:cs="仿宋_GB2312"/>
          <w:sz w:val="32"/>
          <w:szCs w:val="32"/>
          <w:highlight w:val="none"/>
        </w:rPr>
      </w:pPr>
      <w:r>
        <w:rPr>
          <w:rFonts w:hint="eastAsia" w:ascii="仿宋_GB2312" w:hAnsi="仿宋_GB2312" w:eastAsia="仿宋_GB2312" w:cs="仿宋_GB2312"/>
          <w:sz w:val="32"/>
          <w:szCs w:val="32"/>
          <w:highlight w:val="none"/>
          <w:lang w:val="en-US" w:eastAsia="zh-CN"/>
        </w:rPr>
        <w:t>聚焦产业培育</w:t>
      </w:r>
      <w:r>
        <w:rPr>
          <w:rFonts w:hint="eastAsia" w:ascii="仿宋_GB2312" w:hAnsi="仿宋_GB2312" w:eastAsia="仿宋_GB2312" w:cs="仿宋_GB2312"/>
          <w:sz w:val="32"/>
          <w:szCs w:val="32"/>
          <w:highlight w:val="none"/>
        </w:rPr>
        <w:t>，向外输出标准化运营服务、链接跨区域优质资源、复制成熟党建运营模式，持续擦亮专业化园区运营品牌。以回音必大厦（华冲银座）项目为抓手，探索</w:t>
      </w:r>
      <w:r>
        <w:rPr>
          <w:rFonts w:hint="eastAsia" w:ascii="仿宋_GB2312" w:hAnsi="仿宋_GB2312" w:eastAsia="仿宋_GB2312" w:cs="仿宋_GB2312"/>
          <w:sz w:val="32"/>
          <w:szCs w:val="32"/>
          <w:highlight w:val="none"/>
          <w:lang w:val="en-US" w:eastAsia="zh-CN"/>
        </w:rPr>
        <w:t>推进</w:t>
      </w:r>
      <w:r>
        <w:rPr>
          <w:rFonts w:hint="eastAsia" w:ascii="仿宋_GB2312" w:hAnsi="仿宋_GB2312" w:eastAsia="仿宋_GB2312" w:cs="仿宋_GB2312"/>
          <w:sz w:val="32"/>
          <w:szCs w:val="32"/>
          <w:highlight w:val="none"/>
        </w:rPr>
        <w:t>轻资产运营模式，对外输出党建联建、园区运营、产业招商标准化体系，实现从“自有园区运营”向“对外品牌输出”突破，打造国企轻资产服务样板。依托“链式+圈式”党建协同优势，横向整合金融资本、科创平台、高校院所、属地政策等资源，搭建资源共享、供需对接平台，推进产学研协同，集聚发展合力，持续为产业链企业赋能增效。</w:t>
      </w:r>
    </w:p>
    <w:p w14:paraId="4FCB9A0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3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  <w:highlight w:val="none"/>
        </w:rPr>
      </w:pPr>
      <w:r>
        <w:rPr>
          <w:rFonts w:hint="eastAsia" w:ascii="仿宋_GB2312" w:hAnsi="仿宋_GB2312" w:eastAsia="仿宋_GB2312" w:cs="仿宋_GB2312"/>
          <w:b/>
          <w:bCs/>
          <w:sz w:val="32"/>
          <w:szCs w:val="32"/>
          <w:highlight w:val="none"/>
        </w:rPr>
        <w:t>时间安排：</w:t>
      </w:r>
      <w:r>
        <w:rPr>
          <w:rFonts w:hint="eastAsia" w:ascii="仿宋_GB2312" w:hAnsi="仿宋_GB2312" w:eastAsia="仿宋_GB2312" w:cs="仿宋_GB2312"/>
          <w:sz w:val="32"/>
          <w:szCs w:val="32"/>
          <w:highlight w:val="none"/>
        </w:rPr>
        <w:t>2026年</w:t>
      </w:r>
      <w:r>
        <w:rPr>
          <w:rFonts w:hint="eastAsia" w:ascii="仿宋_GB2312" w:hAnsi="仿宋_GB2312" w:eastAsia="仿宋_GB2312" w:cs="仿宋_GB2312"/>
          <w:sz w:val="32"/>
          <w:szCs w:val="32"/>
          <w:highlight w:val="none"/>
          <w:lang w:val="en-US" w:eastAsia="zh-CN"/>
        </w:rPr>
        <w:t>下半年</w:t>
      </w:r>
      <w:r>
        <w:rPr>
          <w:rFonts w:hint="eastAsia" w:ascii="仿宋_GB2312" w:hAnsi="仿宋_GB2312" w:eastAsia="仿宋_GB2312" w:cs="仿宋_GB2312"/>
          <w:sz w:val="32"/>
          <w:szCs w:val="32"/>
          <w:highlight w:val="none"/>
        </w:rPr>
        <w:t>，以回音必大厦项目为抓手</w:t>
      </w:r>
      <w:r>
        <w:rPr>
          <w:rFonts w:hint="eastAsia" w:ascii="仿宋_GB2312" w:hAnsi="仿宋_GB2312" w:eastAsia="仿宋_GB2312" w:cs="仿宋_GB2312"/>
          <w:sz w:val="32"/>
          <w:szCs w:val="32"/>
          <w:highlight w:val="none"/>
          <w:lang w:eastAsia="zh-CN"/>
        </w:rPr>
        <w:t>，</w:t>
      </w:r>
      <w:r>
        <w:rPr>
          <w:rFonts w:hint="eastAsia" w:ascii="仿宋_GB2312" w:hAnsi="仿宋_GB2312" w:eastAsia="仿宋_GB2312" w:cs="仿宋_GB2312"/>
          <w:sz w:val="32"/>
          <w:szCs w:val="32"/>
          <w:highlight w:val="none"/>
        </w:rPr>
        <w:t>探索轻资产运营，对外输出标准化体系，</w:t>
      </w: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highlight w:val="none"/>
          <w:lang w:val="en-US" w:eastAsia="zh-CN"/>
        </w:rPr>
        <w:t>开展</w:t>
      </w:r>
      <w:r>
        <w:rPr>
          <w:rFonts w:hint="eastAsia" w:ascii="仿宋_GB2312" w:hAnsi="仿宋_GB2312" w:eastAsia="仿宋_GB2312" w:cs="仿宋_GB2312"/>
          <w:sz w:val="32"/>
          <w:szCs w:val="32"/>
          <w:highlight w:val="none"/>
        </w:rPr>
        <w:t>产业赋能、技术对接、政策宣讲</w:t>
      </w:r>
      <w:r>
        <w:rPr>
          <w:rFonts w:hint="eastAsia" w:ascii="仿宋_GB2312" w:hAnsi="仿宋_GB2312" w:eastAsia="仿宋_GB2312" w:cs="仿宋_GB2312"/>
          <w:sz w:val="32"/>
          <w:szCs w:val="32"/>
          <w:highlight w:val="none"/>
          <w:lang w:val="en-US" w:eastAsia="zh-CN"/>
        </w:rPr>
        <w:t>等圈层联动</w:t>
      </w:r>
      <w:r>
        <w:rPr>
          <w:rFonts w:hint="eastAsia" w:ascii="仿宋_GB2312" w:hAnsi="仿宋_GB2312" w:eastAsia="仿宋_GB2312" w:cs="仿宋_GB2312"/>
          <w:sz w:val="32"/>
          <w:szCs w:val="32"/>
          <w:highlight w:val="none"/>
          <w:lang w:eastAsia="zh-CN"/>
        </w:rPr>
        <w:t>活动</w:t>
      </w:r>
      <w:r>
        <w:rPr>
          <w:rFonts w:hint="eastAsia" w:ascii="仿宋_GB2312" w:hAnsi="仿宋_GB2312" w:eastAsia="仿宋_GB2312" w:cs="仿宋_GB2312"/>
          <w:sz w:val="32"/>
          <w:szCs w:val="32"/>
          <w:highlight w:val="none"/>
        </w:rPr>
        <w:t>不少于2场，横向整合各方资源；</w:t>
      </w:r>
      <w:r>
        <w:rPr>
          <w:rFonts w:hint="eastAsia" w:ascii="仿宋_GB2312" w:hAnsi="仿宋_GB2312" w:eastAsia="仿宋_GB2312" w:cs="仿宋_GB2312"/>
          <w:sz w:val="32"/>
          <w:szCs w:val="32"/>
          <w:highlight w:val="none"/>
          <w:lang w:val="en-US" w:eastAsia="zh-CN"/>
        </w:rPr>
        <w:t>后续将</w:t>
      </w:r>
      <w:r>
        <w:rPr>
          <w:rFonts w:hint="eastAsia" w:ascii="仿宋_GB2312" w:hAnsi="仿宋_GB2312" w:eastAsia="仿宋_GB2312" w:cs="仿宋_GB2312"/>
          <w:sz w:val="32"/>
          <w:szCs w:val="32"/>
          <w:highlight w:val="none"/>
        </w:rPr>
        <w:t>系统梳理党建运营、企业服务、产业培育成熟经验，</w:t>
      </w:r>
      <w:r>
        <w:rPr>
          <w:rFonts w:hint="eastAsia" w:ascii="仿宋_GB2312" w:hAnsi="仿宋_GB2312" w:eastAsia="仿宋_GB2312" w:cs="仿宋_GB2312"/>
          <w:sz w:val="32"/>
          <w:szCs w:val="32"/>
          <w:highlight w:val="none"/>
          <w:lang w:val="en-US" w:eastAsia="zh-CN"/>
        </w:rPr>
        <w:t>力争</w:t>
      </w:r>
      <w:r>
        <w:rPr>
          <w:rFonts w:hint="eastAsia" w:ascii="仿宋_GB2312" w:hAnsi="仿宋_GB2312" w:eastAsia="仿宋_GB2312" w:cs="仿宋_GB2312"/>
          <w:sz w:val="32"/>
          <w:szCs w:val="32"/>
          <w:highlight w:val="none"/>
        </w:rPr>
        <w:t>形成</w:t>
      </w:r>
      <w:r>
        <w:rPr>
          <w:rFonts w:hint="eastAsia" w:ascii="仿宋_GB2312" w:hAnsi="仿宋_GB2312" w:eastAsia="仿宋_GB2312" w:cs="仿宋_GB2312"/>
          <w:sz w:val="32"/>
          <w:szCs w:val="32"/>
          <w:highlight w:val="none"/>
          <w:lang w:val="en-US" w:eastAsia="zh-CN"/>
        </w:rPr>
        <w:t>一套</w:t>
      </w:r>
      <w:r>
        <w:rPr>
          <w:rFonts w:hint="eastAsia" w:ascii="仿宋_GB2312" w:hAnsi="仿宋_GB2312" w:eastAsia="仿宋_GB2312" w:cs="仿宋_GB2312"/>
          <w:sz w:val="32"/>
          <w:szCs w:val="32"/>
          <w:highlight w:val="none"/>
        </w:rPr>
        <w:t>可复制、可推广的“党建+产业运营”标准体系，不断扩大园区服务辐射半径与品牌影响力。</w:t>
      </w:r>
    </w:p>
    <w:p w14:paraId="5C907D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default" w:ascii="楷体_GB2312" w:hAnsi="楷体_GB2312" w:eastAsia="楷体_GB2312" w:cs="楷体_GB2312"/>
          <w:sz w:val="32"/>
          <w:szCs w:val="32"/>
          <w:highlight w:val="none"/>
          <w:lang w:val="en-US" w:eastAsia="zh-CN"/>
        </w:rPr>
      </w:pPr>
      <w:r>
        <w:rPr>
          <w:rFonts w:hint="eastAsia" w:ascii="楷体_GB2312" w:hAnsi="楷体_GB2312" w:eastAsia="楷体_GB2312" w:cs="楷体_GB2312"/>
          <w:sz w:val="32"/>
          <w:szCs w:val="32"/>
          <w:highlight w:val="none"/>
          <w:lang w:val="en-US" w:eastAsia="zh-CN"/>
        </w:rPr>
        <w:t>（二）具体举措</w:t>
      </w:r>
    </w:p>
    <w:p w14:paraId="52818C6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3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  <w:highlight w:val="none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sz w:val="32"/>
          <w:szCs w:val="32"/>
          <w:highlight w:val="none"/>
          <w:lang w:val="en-US" w:eastAsia="zh-CN"/>
        </w:rPr>
        <w:t>1.机制建立阶段（2026年7-9月）：</w:t>
      </w:r>
      <w:r>
        <w:rPr>
          <w:rFonts w:hint="eastAsia" w:ascii="仿宋_GB2312" w:hAnsi="仿宋_GB2312" w:eastAsia="仿宋_GB2312" w:cs="仿宋_GB2312"/>
          <w:sz w:val="32"/>
          <w:szCs w:val="32"/>
          <w:highlight w:val="none"/>
          <w:lang w:val="en-US" w:eastAsia="zh-CN"/>
        </w:rPr>
        <w:t>搭建党建联建总体框架，建立党建联建工作机制，召开党建联建首次联席会议；组建党员招商攻坚队、党员服务队两支专项队伍，摸排梳理形成“资源清单”“需求清单”两张清单，夯实联建工作基础。</w:t>
      </w:r>
    </w:p>
    <w:p w14:paraId="2FFDE67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3" w:firstLineChars="200"/>
        <w:textAlignment w:val="auto"/>
        <w:rPr>
          <w:rFonts w:hint="eastAsia" w:ascii="仿宋_GB2312" w:hAnsi="仿宋_GB2312" w:eastAsia="仿宋_GB2312" w:cs="仿宋_GB2312"/>
          <w:b/>
          <w:bCs/>
          <w:sz w:val="32"/>
          <w:szCs w:val="32"/>
          <w:highlight w:val="none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sz w:val="32"/>
          <w:szCs w:val="32"/>
          <w:highlight w:val="none"/>
          <w:lang w:val="en-US" w:eastAsia="zh-CN"/>
        </w:rPr>
        <w:t>2.全面推进阶段（2026年10-12月）：</w:t>
      </w:r>
      <w:r>
        <w:rPr>
          <w:rFonts w:hint="eastAsia" w:ascii="仿宋_GB2312" w:hAnsi="仿宋_GB2312" w:eastAsia="仿宋_GB2312" w:cs="仿宋_GB2312"/>
          <w:sz w:val="32"/>
          <w:szCs w:val="32"/>
          <w:highlight w:val="none"/>
          <w:lang w:val="en-US" w:eastAsia="zh-CN"/>
        </w:rPr>
        <w:t>常态化开展产投对接、技术供需对接、政策宣讲等活动，推进产业链招引、企业服务等工作落地见效，推动党建联建机制常态运行。</w:t>
      </w:r>
    </w:p>
    <w:p w14:paraId="0E0DF12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3" w:firstLineChars="200"/>
        <w:textAlignment w:val="auto"/>
        <w:rPr>
          <w:rFonts w:hint="default" w:ascii="仿宋_GB2312" w:hAnsi="仿宋_GB2312" w:eastAsia="仿宋_GB2312" w:cs="仿宋_GB2312"/>
          <w:sz w:val="32"/>
          <w:szCs w:val="32"/>
          <w:highlight w:val="none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sz w:val="32"/>
          <w:szCs w:val="32"/>
          <w:highlight w:val="none"/>
          <w:lang w:val="en-US" w:eastAsia="zh-CN"/>
        </w:rPr>
        <w:t>3.巩固提升阶段（2027年1-12月）：</w:t>
      </w:r>
      <w:r>
        <w:rPr>
          <w:rFonts w:hint="default" w:ascii="仿宋_GB2312" w:hAnsi="仿宋_GB2312" w:eastAsia="仿宋_GB2312" w:cs="仿宋_GB2312"/>
          <w:sz w:val="32"/>
          <w:szCs w:val="32"/>
          <w:highlight w:val="none"/>
          <w:lang w:val="en-US" w:eastAsia="zh-CN"/>
        </w:rPr>
        <w:t>系统梳理党建联建</w:t>
      </w:r>
      <w:r>
        <w:rPr>
          <w:rFonts w:hint="eastAsia" w:ascii="仿宋_GB2312" w:hAnsi="仿宋_GB2312" w:eastAsia="仿宋_GB2312" w:cs="仿宋_GB2312"/>
          <w:sz w:val="32"/>
          <w:szCs w:val="32"/>
          <w:highlight w:val="none"/>
          <w:lang w:val="en-US" w:eastAsia="zh-CN"/>
        </w:rPr>
        <w:t>经验</w:t>
      </w:r>
      <w:r>
        <w:rPr>
          <w:rFonts w:hint="default" w:ascii="仿宋_GB2312" w:hAnsi="仿宋_GB2312" w:eastAsia="仿宋_GB2312" w:cs="仿宋_GB2312"/>
          <w:sz w:val="32"/>
          <w:szCs w:val="32"/>
          <w:highlight w:val="none"/>
          <w:lang w:val="en-US" w:eastAsia="zh-CN"/>
        </w:rPr>
        <w:t>做法，形成“党建+产业运营”工作经验</w:t>
      </w:r>
      <w:r>
        <w:rPr>
          <w:rFonts w:hint="eastAsia" w:ascii="仿宋_GB2312" w:hAnsi="仿宋_GB2312" w:eastAsia="仿宋_GB2312" w:cs="仿宋_GB2312"/>
          <w:sz w:val="32"/>
          <w:szCs w:val="32"/>
          <w:highlight w:val="none"/>
          <w:lang w:val="en-US" w:eastAsia="zh-CN"/>
        </w:rPr>
        <w:t>案例</w:t>
      </w:r>
      <w:r>
        <w:rPr>
          <w:rFonts w:hint="default" w:ascii="仿宋_GB2312" w:hAnsi="仿宋_GB2312" w:eastAsia="仿宋_GB2312" w:cs="仿宋_GB2312"/>
          <w:sz w:val="32"/>
          <w:szCs w:val="32"/>
          <w:highlight w:val="none"/>
          <w:lang w:val="en-US" w:eastAsia="zh-CN"/>
        </w:rPr>
        <w:t>；持续优化运营模式，拓展产业圈层合作，推动相关经验迭代完善。</w:t>
      </w:r>
    </w:p>
    <w:p w14:paraId="080C52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default" w:ascii="黑体" w:hAnsi="黑体" w:eastAsia="黑体" w:cs="黑体"/>
          <w:b w:val="0"/>
          <w:bCs w:val="0"/>
          <w:sz w:val="32"/>
          <w:szCs w:val="32"/>
          <w:highlight w:val="none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sz w:val="32"/>
          <w:szCs w:val="32"/>
          <w:highlight w:val="none"/>
          <w:lang w:val="en-US" w:eastAsia="zh-CN"/>
        </w:rPr>
        <w:t>六、保障机制</w:t>
      </w:r>
    </w:p>
    <w:p w14:paraId="3653D37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3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  <w:highlight w:val="none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sz w:val="32"/>
          <w:szCs w:val="32"/>
          <w:highlight w:val="none"/>
          <w:lang w:val="en-US" w:eastAsia="zh-CN"/>
        </w:rPr>
        <w:t>1.强化组织保障。</w:t>
      </w:r>
      <w:r>
        <w:rPr>
          <w:rFonts w:hint="eastAsia" w:ascii="仿宋_GB2312" w:hAnsi="仿宋_GB2312" w:eastAsia="仿宋_GB2312" w:cs="仿宋_GB2312"/>
          <w:sz w:val="32"/>
          <w:szCs w:val="32"/>
          <w:highlight w:val="none"/>
          <w:lang w:val="en-US" w:eastAsia="zh-CN"/>
        </w:rPr>
        <w:t>由市交投集团机关党委和资产管理公司（漕运物流集团）党委统筹，建立专项工作小组，党委书记牵头抓总，业务、党建分管领导各负其责，集团两级业务、党群部门协同参与，交投智慧公司党支部具体落地实施。健全联建例会、会商协调常态化机制，定期研判项目推进难点堵点，确保各项任务闭环落地。</w:t>
      </w:r>
    </w:p>
    <w:p w14:paraId="7BD3EA4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3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  <w:highlight w:val="none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sz w:val="32"/>
          <w:szCs w:val="32"/>
          <w:highlight w:val="none"/>
          <w:lang w:val="en-US" w:eastAsia="zh-CN"/>
        </w:rPr>
        <w:t>2.强化资源保障。</w:t>
      </w:r>
      <w:r>
        <w:rPr>
          <w:rFonts w:hint="eastAsia" w:ascii="仿宋_GB2312" w:hAnsi="仿宋_GB2312" w:eastAsia="仿宋_GB2312" w:cs="仿宋_GB2312"/>
          <w:sz w:val="32"/>
          <w:szCs w:val="32"/>
          <w:highlight w:val="none"/>
          <w:lang w:val="en-US" w:eastAsia="zh-CN"/>
        </w:rPr>
        <w:t>配齐配强工作力量，将党建联建经费纳入年度专项预算、专款专用，形成“链主党委主责主推、党群业务协同联动、工作小组落地落实、专项经费兜底保障”的工作闭环，确保党建联建工作有人抓、有人管、有投入、有成效。</w:t>
      </w:r>
    </w:p>
    <w:bookmarkEnd w:id="0"/>
    <w:sectPr>
      <w:footerReference r:id="rId3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auto"/>
    <w:pitch w:val="default"/>
    <w:sig w:usb0="E0002AFF" w:usb1="C0007841" w:usb2="00000009" w:usb3="00000000" w:csb0="400001FF" w:csb1="FFFF0000"/>
  </w:font>
  <w:font w:name="宋体">
    <w:panose1 w:val="02010600030101010101"/>
    <w:charset w:val="7A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1" w:fontKey="{41E96E94-ED1F-453A-BEF2-D30F58E6923C}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  <w:embedRegular r:id="rId2" w:fontKey="{32BA9C1B-55CD-4389-8C21-1D46A7D46B02}"/>
  </w:font>
  <w:font w:name="小标宋">
    <w:panose1 w:val="03000509000000000000"/>
    <w:charset w:val="86"/>
    <w:family w:val="auto"/>
    <w:pitch w:val="default"/>
    <w:sig w:usb0="00000001" w:usb1="080E0000" w:usb2="00000000" w:usb3="00000000" w:csb0="00040000" w:csb1="00000000"/>
    <w:embedRegular r:id="rId3" w:fontKey="{F8C0B09B-D649-4797-9582-B47C50FED605}"/>
  </w:font>
  <w:font w:name="方正小标宋_GBK">
    <w:panose1 w:val="02000000000000000000"/>
    <w:charset w:val="86"/>
    <w:family w:val="auto"/>
    <w:pitch w:val="default"/>
    <w:sig w:usb0="A00002BF" w:usb1="38CF7CFA" w:usb2="00082016" w:usb3="00000000" w:csb0="00040001" w:csb1="00000000"/>
    <w:embedRegular r:id="rId4" w:fontKey="{9BD903FB-A8F9-4662-B24E-B15F17E2C733}"/>
  </w:font>
  <w:font w:name="楷体_GB2312">
    <w:panose1 w:val="02010609030101010101"/>
    <w:charset w:val="86"/>
    <w:family w:val="auto"/>
    <w:pitch w:val="default"/>
    <w:sig w:usb0="00000001" w:usb1="080E0000" w:usb2="00000000" w:usb3="00000000" w:csb0="00040000" w:csb1="00000000"/>
    <w:embedRegular r:id="rId5" w:fontKey="{EA35AD32-697B-4E2C-92DE-95DB467A03FC}"/>
  </w:font>
  <w:font w:name="WPSEMBED1">
    <w:panose1 w:val="02000000000000000000"/>
    <w:charset w:val="86"/>
    <w:family w:val="auto"/>
    <w:pitch w:val="default"/>
    <w:sig w:usb0="A00002BF" w:usb1="38CF7CFA" w:usb2="00082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A4CB053">
    <w:pPr>
      <w:pStyle w:val="6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8DFD92E">
                          <w:pPr>
                            <w:pStyle w:val="6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uF+fsxAgAAYQ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TIEUn0xUYrtPt2YLA3xRnE&#10;nOknw1u+qZF8y3x4YA6jgILxWMI9llIaJDGDRUll3Jd/ncd4dAheShqMVk41XhIl8r1G5wAYRsON&#10;xn409FHdGcwquoFaOhMXXJCjWTqjPuMFrWIOuJjmyJTTMJp3oR9vvEAuVqsu6Ghdfaj6C5g7y8JW&#10;7yyPaaJ63q6OAWJ2GkeBelUG3TB5XZeGVxJH+899F/X4Z1j+B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Brhfn7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8DFD92E">
                    <w:pPr>
                      <w:pStyle w:val="6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5"/>
  <w:embedTrueTypeFonts/>
  <w:saveSubsetFonts/>
  <w:bordersDoNotSurroundHeader w:val="0"/>
  <w:bordersDoNotSurroundFooter w:val="0"/>
  <w:revisionView w:markup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6656C60"/>
    <w:rsid w:val="01411FA4"/>
    <w:rsid w:val="06BA0052"/>
    <w:rsid w:val="0A9904A6"/>
    <w:rsid w:val="0DB23FD5"/>
    <w:rsid w:val="0F7D081D"/>
    <w:rsid w:val="14252F38"/>
    <w:rsid w:val="1D962818"/>
    <w:rsid w:val="241F7D7C"/>
    <w:rsid w:val="24FE4EA4"/>
    <w:rsid w:val="25451805"/>
    <w:rsid w:val="283663D3"/>
    <w:rsid w:val="2C667BE3"/>
    <w:rsid w:val="2E532D89"/>
    <w:rsid w:val="2F5514AD"/>
    <w:rsid w:val="3138751E"/>
    <w:rsid w:val="33913A3A"/>
    <w:rsid w:val="3A7B163A"/>
    <w:rsid w:val="441C0974"/>
    <w:rsid w:val="45C83D08"/>
    <w:rsid w:val="46656C60"/>
    <w:rsid w:val="559E7093"/>
    <w:rsid w:val="56334448"/>
    <w:rsid w:val="698C4706"/>
    <w:rsid w:val="6BF90763"/>
    <w:rsid w:val="6DE611AA"/>
    <w:rsid w:val="6FB02390"/>
    <w:rsid w:val="6FFC04E7"/>
    <w:rsid w:val="72A25979"/>
    <w:rsid w:val="73BA0F96"/>
    <w:rsid w:val="749129B4"/>
    <w:rsid w:val="74DC6C8F"/>
    <w:rsid w:val="75B31499"/>
    <w:rsid w:val="7B6D15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qFormat="1"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9">
    <w:name w:val="Default Paragraph Font"/>
    <w:semiHidden/>
    <w:qFormat/>
    <w:uiPriority w:val="0"/>
  </w:style>
  <w:style w:type="table" w:default="1" w:styleId="8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Indent"/>
    <w:basedOn w:val="1"/>
    <w:qFormat/>
    <w:uiPriority w:val="0"/>
    <w:pPr>
      <w:adjustRightInd w:val="0"/>
      <w:spacing w:line="360" w:lineRule="atLeast"/>
      <w:ind w:firstLine="482"/>
      <w:textAlignment w:val="baseline"/>
    </w:pPr>
    <w:rPr>
      <w:rFonts w:ascii="Times New Roman" w:hAnsi="Times New Roman"/>
      <w:kern w:val="0"/>
      <w:sz w:val="24"/>
      <w:szCs w:val="20"/>
    </w:rPr>
  </w:style>
  <w:style w:type="paragraph" w:styleId="3">
    <w:name w:val="annotation text"/>
    <w:basedOn w:val="1"/>
    <w:qFormat/>
    <w:uiPriority w:val="0"/>
    <w:pPr>
      <w:jc w:val="left"/>
    </w:pPr>
  </w:style>
  <w:style w:type="paragraph" w:styleId="4">
    <w:name w:val="Body Text"/>
    <w:basedOn w:val="1"/>
    <w:next w:val="5"/>
    <w:unhideWhenUsed/>
    <w:qFormat/>
    <w:uiPriority w:val="0"/>
    <w:pPr>
      <w:spacing w:after="120" w:line="520" w:lineRule="exact"/>
    </w:pPr>
    <w:rPr>
      <w:rFonts w:ascii="Times New Roman" w:hAnsi="Times New Roman" w:eastAsia="仿宋_GB2312" w:cs="Times New Roman"/>
      <w:sz w:val="28"/>
    </w:rPr>
  </w:style>
  <w:style w:type="paragraph" w:customStyle="1" w:styleId="5">
    <w:name w:val="_Style 2"/>
    <w:basedOn w:val="1"/>
    <w:qFormat/>
    <w:uiPriority w:val="0"/>
    <w:pPr>
      <w:ind w:firstLine="200" w:firstLineChars="200"/>
    </w:pPr>
    <w:rPr>
      <w:sz w:val="28"/>
    </w:rPr>
  </w:style>
  <w:style w:type="paragraph" w:styleId="6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7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character" w:styleId="10">
    <w:name w:val="Strong"/>
    <w:basedOn w:val="9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2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contractReview xmlns="http://schemas.wps.cn/vas-ai-hub/contract-review">
  <reviewItems>
    <reviewItem>
      <errorID>a11fc3db-aab8-458c-98dc-ac84513addb6</errorID>
      <errorWord>量身</errorWord>
      <group>L1_Punc</group>
      <groupName>标点问题</groupName>
      <ability>L2_Punc_CN</ability>
      <abilityName>标点符号问题</abilityName>
      <candidateList>
        <item>，量身</item>
      </candidateList>
      <explain/>
      <paraID> 44BC8B1</paraID>
      <start>100</start>
      <end>102</end>
      <status>unmodified</status>
      <modifiedWord/>
      <trackRevisions>false</trackRevisions>
    </reviewItem>
    <reviewItem>
      <errorID>63a68fab-8ab4-4a54-a9e2-9ede72b181d0</errorID>
      <errorWord>开展场</errorWord>
      <group>L1_Word</group>
      <groupName>字词问题</groupName>
      <ability>L2_Typo</ability>
      <abilityName>字词错误</abilityName>
      <candidateList>
        <item>开展</item>
      </candidateList>
      <explain/>
      <paraID>2FFDE67F</paraID>
      <start>20</start>
      <end>23</end>
      <status>unmodified</status>
      <modifiedWord/>
      <trackRevisions>false</trackRevisions>
    </reviewItem>
    <reviewItem>
      <errorID>3063afe1-1472-4fd1-864f-1a76477ff616</errorID>
      <errorWord>态</errorWord>
      <group>L1_Word</group>
      <groupName>字词问题</groupName>
      <ability>L2_Typo</ability>
      <abilityName>字词错误</abilityName>
      <candidateList>
        <item>态化</item>
      </candidateList>
      <explain/>
      <paraID>2FFDE67F</paraID>
      <start>72</start>
      <end>73</end>
      <status>unmodified</status>
      <modifiedWord/>
      <trackRevisions>false</trackRevisions>
    </reviewItem>
  </reviewItems>
  <config/>
</contractReview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7b2a1bc3-2fdd-4c43-9c80-b2fc7ce2a9ef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3062</Words>
  <Characters>3145</Characters>
  <Lines>0</Lines>
  <Paragraphs>0</Paragraphs>
  <TotalTime>5</TotalTime>
  <ScaleCrop>false</ScaleCrop>
  <LinksUpToDate>false</LinksUpToDate>
  <CharactersWithSpaces>3147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2026-07-27T02:13:00Z</dcterms:created>
  <dc:creator>枝繁叶茂夏林森</dc:creator>
  <cp:lastModifiedBy>叶良艺</cp:lastModifiedBy>
  <cp:lastPrinted>2026-07-27T23:57:00Z</cp:lastPrinted>
  <dcterms:modified xsi:type="dcterms:W3CDTF">2026-08-07T08:36:49Z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460DBCDB86B747C0A1E5922748BB7960_13</vt:lpwstr>
  </property>
  <property fmtid="{D5CDD505-2E9C-101B-9397-08002B2CF9AE}" pid="4" name="KSOTemplateDocerSaveRecord">
    <vt:lpwstr>eyJoZGlkIjoiM2E4YzczZWZjZjMzZjZiZGRhY2EwNDdhODY3ZDE1ZWEiLCJ1c2VySWQiOiI0MzUyNzU0NjgifQ==</vt:lpwstr>
  </property>
</Properties>
</file>