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079820">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0" w:firstLineChars="0"/>
        <w:jc w:val="center"/>
        <w:textAlignment w:val="auto"/>
        <w:rPr>
          <w:rFonts w:hint="eastAsia" w:eastAsia="仿宋_GB2312" w:cs="Times New Roman"/>
          <w:color w:val="auto"/>
          <w:sz w:val="32"/>
          <w:szCs w:val="32"/>
          <w:lang w:val="en-US" w:eastAsia="zh-CN"/>
        </w:rPr>
      </w:pPr>
      <w:r>
        <w:rPr>
          <w:rFonts w:hint="eastAsia" w:eastAsia="方正小标宋简体" w:cs="Times New Roman"/>
          <w:color w:val="auto"/>
          <w:spacing w:val="-6"/>
          <w:sz w:val="44"/>
          <w:szCs w:val="44"/>
          <w:lang w:val="en-US" w:eastAsia="zh-CN"/>
        </w:rPr>
        <w:t>“</w:t>
      </w:r>
      <w:r>
        <w:rPr>
          <w:rFonts w:hint="eastAsia" w:ascii="Times New Roman" w:hAnsi="Times New Roman" w:eastAsia="方正小标宋简体" w:cs="Times New Roman"/>
          <w:color w:val="auto"/>
          <w:spacing w:val="-6"/>
          <w:sz w:val="44"/>
          <w:szCs w:val="44"/>
          <w:lang w:val="en-US" w:eastAsia="zh-CN"/>
        </w:rPr>
        <w:t>链上红盟·三联共促</w:t>
      </w:r>
      <w:r>
        <w:rPr>
          <w:rFonts w:hint="eastAsia" w:eastAsia="方正小标宋简体" w:cs="Times New Roman"/>
          <w:color w:val="auto"/>
          <w:spacing w:val="-6"/>
          <w:sz w:val="44"/>
          <w:szCs w:val="44"/>
          <w:lang w:val="en-US" w:eastAsia="zh-CN"/>
        </w:rPr>
        <w:t>”</w:t>
      </w:r>
      <w:r>
        <w:rPr>
          <w:rFonts w:hint="eastAsia" w:ascii="Times New Roman" w:hAnsi="Times New Roman" w:eastAsia="方正小标宋简体" w:cs="Times New Roman"/>
          <w:color w:val="auto"/>
          <w:spacing w:val="-6"/>
          <w:sz w:val="44"/>
          <w:szCs w:val="44"/>
          <w:lang w:val="en-US" w:eastAsia="zh-CN"/>
        </w:rPr>
        <w:t>党建联建</w:t>
      </w:r>
      <w:r>
        <w:rPr>
          <w:rFonts w:hint="eastAsia" w:ascii="小标宋" w:hAnsi="小标宋" w:eastAsia="小标宋" w:cs="小标宋"/>
          <w:snapToGrid w:val="0"/>
          <w:kern w:val="0"/>
          <w:sz w:val="44"/>
          <w:szCs w:val="44"/>
          <w:lang w:val="en-US" w:eastAsia="zh-CN" w:bidi="ar"/>
        </w:rPr>
        <w:t>案例</w:t>
      </w:r>
    </w:p>
    <w:p w14:paraId="25EA5448">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640" w:firstLineChars="200"/>
        <w:textAlignment w:val="auto"/>
        <w:rPr>
          <w:rFonts w:hint="eastAsia" w:ascii="楷体_GB2312" w:hAnsi="楷体_GB2312" w:eastAsia="楷体_GB2312" w:cs="楷体_GB2312"/>
          <w:color w:val="auto"/>
          <w:sz w:val="32"/>
          <w:szCs w:val="32"/>
          <w:lang w:val="en-US" w:eastAsia="zh-CN"/>
        </w:rPr>
      </w:pPr>
    </w:p>
    <w:p w14:paraId="6DC326F3">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640" w:firstLineChars="200"/>
        <w:textAlignment w:val="auto"/>
        <w:rPr>
          <w:rFonts w:hint="eastAsia" w:ascii="楷体_GB2312" w:hAnsi="楷体_GB2312" w:eastAsia="楷体_GB2312" w:cs="楷体_GB2312"/>
          <w:color w:val="auto"/>
          <w:sz w:val="32"/>
          <w:szCs w:val="32"/>
          <w:lang w:val="en-US" w:eastAsia="zh-CN"/>
        </w:rPr>
      </w:pPr>
      <w:r>
        <w:rPr>
          <w:rFonts w:hint="eastAsia" w:ascii="楷体_GB2312" w:hAnsi="楷体_GB2312" w:eastAsia="楷体_GB2312" w:cs="楷体_GB2312"/>
          <w:color w:val="auto"/>
          <w:sz w:val="32"/>
          <w:szCs w:val="32"/>
          <w:lang w:val="en-US" w:eastAsia="zh-CN"/>
        </w:rPr>
        <w:t>实施单位：市交投集团机关党委、资产管理公司（漕运物流集团）党委。</w:t>
      </w:r>
    </w:p>
    <w:p w14:paraId="176C2D47">
      <w:pPr>
        <w:pStyle w:val="25"/>
        <w:keepNext w:val="0"/>
        <w:keepLines w:val="0"/>
        <w:pageBreakBefore w:val="0"/>
        <w:widowControl w:val="0"/>
        <w:kinsoku/>
        <w:wordWrap/>
        <w:overflowPunct/>
        <w:topLinePunct w:val="0"/>
        <w:autoSpaceDE/>
        <w:autoSpaceDN/>
        <w:bidi w:val="0"/>
        <w:adjustRightInd/>
        <w:snapToGrid/>
        <w:spacing w:after="0" w:line="560" w:lineRule="exact"/>
        <w:ind w:left="2269" w:leftChars="304" w:hanging="1600" w:hangingChars="500"/>
        <w:textAlignment w:val="auto"/>
        <w:rPr>
          <w:rFonts w:hint="eastAsia" w:ascii="黑体" w:hAnsi="黑体" w:eastAsia="仿宋_GB2312" w:cs="黑体"/>
          <w:color w:val="auto"/>
          <w:sz w:val="32"/>
          <w:szCs w:val="32"/>
          <w:lang w:val="en-US" w:eastAsia="zh-CN"/>
        </w:rPr>
      </w:pPr>
      <w:r>
        <w:rPr>
          <w:rFonts w:hint="eastAsia" w:ascii="楷体_GB2312" w:hAnsi="楷体_GB2312" w:eastAsia="楷体_GB2312" w:cs="楷体_GB2312"/>
          <w:color w:val="auto"/>
          <w:sz w:val="32"/>
          <w:szCs w:val="32"/>
          <w:lang w:val="en-US" w:eastAsia="zh-CN"/>
        </w:rPr>
        <w:t>链圈类型：</w:t>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供应链</w:t>
      </w:r>
      <w:r>
        <w:rPr>
          <w:rFonts w:hint="eastAsia"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产业链</w:t>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创新链；</w:t>
      </w:r>
      <w:r>
        <w:rPr>
          <w:rFonts w:hint="eastAsia" w:ascii="楷体_GB2312" w:hAnsi="楷体_GB2312" w:eastAsia="楷体_GB2312" w:cs="楷体_GB2312"/>
          <w:color w:val="auto"/>
          <w:sz w:val="32"/>
          <w:szCs w:val="32"/>
          <w:lang w:val="en-US" w:eastAsia="zh-CN"/>
        </w:rPr>
        <w:br w:type="textWrapping"/>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金融资本圈</w:t>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技术创新圈</w:t>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人才发展圈</w:t>
      </w:r>
      <w:r>
        <w:rPr>
          <w:rFonts w:hint="eastAsia" w:ascii="楷体_GB2312" w:hAnsi="楷体_GB2312" w:eastAsia="楷体_GB2312" w:cs="楷体_GB2312"/>
          <w:color w:val="auto"/>
          <w:sz w:val="32"/>
          <w:szCs w:val="32"/>
          <w:lang w:val="en-US" w:eastAsia="zh-CN"/>
        </w:rPr>
        <w:br w:type="textWrapping"/>
      </w:r>
      <w:r>
        <w:rPr>
          <w:rFonts w:hint="default" w:ascii="Times New Roman" w:hAnsi="Times New Roman" w:eastAsia="仿宋_GB2312" w:cs="Times New Roman"/>
          <w:color w:val="auto"/>
          <w:kern w:val="10"/>
          <w:sz w:val="28"/>
          <w:szCs w:val="28"/>
          <w:vertAlign w:val="baseline"/>
          <w:lang w:val="en-US" w:eastAsia="zh-CN"/>
        </w:rPr>
        <w:t>□</w:t>
      </w:r>
      <w:r>
        <w:rPr>
          <w:rFonts w:hint="eastAsia" w:ascii="楷体_GB2312" w:hAnsi="楷体_GB2312" w:eastAsia="楷体_GB2312" w:cs="楷体_GB2312"/>
          <w:color w:val="auto"/>
          <w:sz w:val="32"/>
          <w:szCs w:val="32"/>
          <w:lang w:val="en-US" w:eastAsia="zh-CN"/>
        </w:rPr>
        <w:t>其他类</w:t>
      </w:r>
      <w:r>
        <w:rPr>
          <w:rFonts w:hint="eastAsia" w:ascii="楷体_GB2312" w:hAnsi="楷体_GB2312" w:eastAsia="楷体_GB2312" w:cs="楷体_GB2312"/>
          <w:color w:val="auto"/>
          <w:sz w:val="32"/>
          <w:szCs w:val="32"/>
          <w:u w:val="single"/>
          <w:lang w:val="en-US" w:eastAsia="zh-CN"/>
        </w:rPr>
        <w:t>产业生态圈</w:t>
      </w:r>
    </w:p>
    <w:p w14:paraId="65B78127">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rPr>
      </w:pPr>
    </w:p>
    <w:p w14:paraId="0ACD4ED5">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color w:val="auto"/>
          <w:kern w:val="2"/>
          <w:sz w:val="32"/>
          <w:szCs w:val="32"/>
          <w:highlight w:val="none"/>
          <w:lang w:val="en-US" w:eastAsia="zh-CN"/>
        </w:rPr>
        <w:t>市交投集团机关党委、资产管理公司（漕运物流集团）党委紧扣市国资委“链式+圈式”党建联建部署，以杭州交投科创中心为载体，联合属地党组织实施“链上红盟·三联共促”项目，推动“党建+产业+资本”深度融合，数字交通产业生态圈构建取得阶段性成效。</w:t>
      </w:r>
    </w:p>
    <w:p w14:paraId="7E222FB5">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color w:val="auto"/>
          <w:kern w:val="2"/>
          <w:sz w:val="32"/>
          <w:szCs w:val="32"/>
          <w:highlight w:val="none"/>
          <w:lang w:val="en-US" w:eastAsia="zh-CN"/>
        </w:rPr>
      </w:pPr>
      <w:r>
        <w:rPr>
          <w:rFonts w:hint="eastAsia" w:ascii="黑体" w:hAnsi="黑体" w:eastAsia="黑体" w:cs="黑体"/>
          <w:color w:val="auto"/>
          <w:kern w:val="2"/>
          <w:sz w:val="32"/>
          <w:szCs w:val="32"/>
          <w:highlight w:val="none"/>
          <w:lang w:val="en-US" w:eastAsia="zh-CN"/>
        </w:rPr>
        <w:t>一、开展背景</w:t>
      </w:r>
    </w:p>
    <w:p w14:paraId="02BC119A">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color w:val="auto"/>
          <w:kern w:val="2"/>
          <w:sz w:val="32"/>
          <w:szCs w:val="32"/>
          <w:highlight w:val="none"/>
          <w:lang w:val="en-US" w:eastAsia="zh-CN"/>
        </w:rPr>
        <w:t>杭州交投科创中心位于滨江物联网小镇核心区，占地30亩、总建筑面积8.3万平方米，入驻企业74家，其中国家级高新技术企业14家、专精特新企业4家，2025年获评市、区两级科技企业孵化器，周边海康威视、大华股份等龙头企业集聚，产业基础扎实。项目聚焦数字交通产业链，致力于实现园区专业化运营能力提升、产业链投资培育推进、链上企业共同发展、职工群众得实惠的联建目标。</w:t>
      </w:r>
    </w:p>
    <w:p w14:paraId="079B6BBC">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黑体" w:hAnsi="黑体" w:eastAsia="黑体" w:cs="黑体"/>
          <w:color w:val="auto"/>
          <w:kern w:val="2"/>
          <w:sz w:val="32"/>
          <w:szCs w:val="32"/>
          <w:highlight w:val="none"/>
          <w:lang w:val="en-US" w:eastAsia="zh-CN"/>
        </w:rPr>
        <w:t>二、主要做法</w:t>
      </w:r>
    </w:p>
    <w:p w14:paraId="5D46849D">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1.建机制，优服务，强链筑基。</w:t>
      </w:r>
      <w:r>
        <w:rPr>
          <w:rFonts w:hint="eastAsia" w:ascii="仿宋_GB2312" w:hAnsi="仿宋_GB2312" w:eastAsia="仿宋_GB2312" w:cs="仿宋_GB2312"/>
          <w:color w:val="auto"/>
          <w:kern w:val="2"/>
          <w:sz w:val="32"/>
          <w:szCs w:val="32"/>
          <w:highlight w:val="none"/>
          <w:lang w:val="en-US" w:eastAsia="zh-CN"/>
        </w:rPr>
        <w:t>搭建“领导小组—日常工作小组—专项队伍”三级组织架构，健全联建例会、会商协调机制，做好各方沟通，筹备首次联席会议，夯实多方协同联建基础。组建跨领域党员服务队，围绕专精特新“小巨人”等链核企业及产业上下游入驻、装修、政策申报、研发测试等关键节点，摸排梳理资源清单、需求清单，针对性拟定《园区提升发展方案》，谋划建立一站式惠企服务标准体系，有序落实“1日响应、3日解难”服务准则，加快实现企业诉求全响应、问题处置全闭环。</w:t>
      </w:r>
    </w:p>
    <w:p w14:paraId="24593BC8">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2.聚资源，强招引，补链成群。</w:t>
      </w:r>
      <w:r>
        <w:rPr>
          <w:rFonts w:hint="eastAsia" w:ascii="仿宋_GB2312" w:hAnsi="仿宋_GB2312" w:eastAsia="仿宋_GB2312" w:cs="仿宋_GB2312"/>
          <w:color w:val="auto"/>
          <w:kern w:val="2"/>
          <w:sz w:val="32"/>
          <w:szCs w:val="32"/>
          <w:highlight w:val="none"/>
          <w:lang w:val="en-US" w:eastAsia="zh-CN"/>
        </w:rPr>
        <w:t>组建跨单位党员招商攻坚队，推行“链核推荐+党员跟进”产业链招商模式，全面梳理杭州交投科创中心及回音必大厦轻资产项目靶向招商目标企业，成功招引产业链国家高新技术企业1家，另有重点意向企业持续跟进中。全面梳理园区楼宇大厅、屋顶花园、道路、停车场等实景资源，形成总面积超1.6万㎡的实景资源清单，正统筹推进园区科创场景展示功能提升，为11月底前向链核企业开放综合试验环境做好准备。</w:t>
      </w:r>
    </w:p>
    <w:p w14:paraId="5348785C">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3.搭平台，促合作，破圈拓界。</w:t>
      </w:r>
      <w:r>
        <w:rPr>
          <w:rFonts w:hint="eastAsia" w:ascii="仿宋_GB2312" w:hAnsi="仿宋_GB2312" w:eastAsia="仿宋_GB2312" w:cs="仿宋_GB2312"/>
          <w:color w:val="auto"/>
          <w:kern w:val="2"/>
          <w:sz w:val="32"/>
          <w:szCs w:val="32"/>
          <w:highlight w:val="none"/>
          <w:lang w:val="en-US" w:eastAsia="zh-CN"/>
        </w:rPr>
        <w:t>充分发挥党建联建纽带作用，建立“党建+产业培育”共建机制，搭建供需对接共享平台。截至目前，已联动属地单位、周边园区开展摄影、交友等圈层交流活动2场，覆盖园区及周边企业员工超百人次，计划于10月举办党建联建暨产业链对接活动，设置联建协议签订、政策宣讲、产品展示等环节。同时，以回音必大厦为实践载体探索国企轻资产运营路径，结合园区运营经验，向外输出党建联建、园区运营、产业招商标准化模式，实现从自有园区运营向品牌对外输出跨越。</w:t>
      </w:r>
    </w:p>
    <w:p w14:paraId="4D053E7E">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color w:val="auto"/>
          <w:kern w:val="2"/>
          <w:sz w:val="32"/>
          <w:szCs w:val="32"/>
          <w:highlight w:val="none"/>
          <w:lang w:val="en-US" w:eastAsia="zh-CN"/>
        </w:rPr>
      </w:pPr>
      <w:r>
        <w:rPr>
          <w:rFonts w:hint="eastAsia" w:ascii="黑体" w:hAnsi="黑体" w:eastAsia="黑体" w:cs="黑体"/>
          <w:color w:val="auto"/>
          <w:kern w:val="2"/>
          <w:sz w:val="32"/>
          <w:szCs w:val="32"/>
          <w:highlight w:val="none"/>
          <w:lang w:val="en-US" w:eastAsia="zh-CN"/>
        </w:rPr>
        <w:t>三、实践成效</w:t>
      </w:r>
    </w:p>
    <w:p w14:paraId="0293CD3E">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1.惠企服务更加有力</w:t>
      </w:r>
      <w:bookmarkStart w:id="0" w:name="_GoBack"/>
      <w:bookmarkEnd w:id="0"/>
      <w:r>
        <w:rPr>
          <w:rFonts w:hint="eastAsia" w:ascii="仿宋_GB2312" w:hAnsi="仿宋_GB2312" w:eastAsia="仿宋_GB2312" w:cs="仿宋_GB2312"/>
          <w:b/>
          <w:bCs/>
          <w:color w:val="auto"/>
          <w:kern w:val="2"/>
          <w:sz w:val="32"/>
          <w:szCs w:val="32"/>
          <w:highlight w:val="none"/>
          <w:lang w:val="en-US" w:eastAsia="zh-CN"/>
        </w:rPr>
        <w:t>。</w:t>
      </w:r>
      <w:r>
        <w:rPr>
          <w:rFonts w:hint="eastAsia" w:ascii="仿宋_GB2312" w:hAnsi="仿宋_GB2312" w:eastAsia="仿宋_GB2312" w:cs="仿宋_GB2312"/>
          <w:color w:val="auto"/>
          <w:kern w:val="2"/>
          <w:sz w:val="32"/>
          <w:szCs w:val="32"/>
          <w:highlight w:val="none"/>
          <w:lang w:val="en-US" w:eastAsia="zh-CN"/>
        </w:rPr>
        <w:t>一站式惠企服务标准体系建设初步启动，园区重点企业底数梳理和产业链需求摸排全面展开，“1日响应、3日解难”服务机制落地运行，园区企业服务精准度明显提升。</w:t>
      </w:r>
    </w:p>
    <w:p w14:paraId="5877A563">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2.产业链招商实现突破。</w:t>
      </w:r>
      <w:r>
        <w:rPr>
          <w:rFonts w:hint="eastAsia" w:ascii="仿宋_GB2312" w:hAnsi="仿宋_GB2312" w:eastAsia="仿宋_GB2312" w:cs="仿宋_GB2312"/>
          <w:color w:val="auto"/>
          <w:kern w:val="2"/>
          <w:sz w:val="32"/>
          <w:szCs w:val="32"/>
          <w:highlight w:val="none"/>
          <w:lang w:val="en-US" w:eastAsia="zh-CN"/>
        </w:rPr>
        <w:t>依托联建平台锁定多家产业链目标企业，梳理形成园区项目靶向招商清单，有效实现空间去化、产业集聚，联合招商模式初见成效。</w:t>
      </w:r>
    </w:p>
    <w:p w14:paraId="73D07FA3">
      <w:pPr>
        <w:keepNext w:val="0"/>
        <w:keepLines w:val="0"/>
        <w:pageBreakBefore w:val="0"/>
        <w:widowControl w:val="0"/>
        <w:kinsoku/>
        <w:wordWrap/>
        <w:overflowPunct/>
        <w:topLinePunct w:val="0"/>
        <w:autoSpaceDE/>
        <w:autoSpaceDN/>
        <w:bidi w:val="0"/>
        <w:adjustRightInd/>
        <w:snapToGrid/>
        <w:spacing w:after="0" w:line="560" w:lineRule="exact"/>
        <w:ind w:firstLine="643" w:firstLineChars="200"/>
        <w:jc w:val="both"/>
        <w:textAlignment w:val="auto"/>
        <w:rPr>
          <w:rFonts w:hint="eastAsia" w:ascii="仿宋_GB2312" w:hAnsi="仿宋_GB2312" w:eastAsia="仿宋_GB2312" w:cs="仿宋_GB2312"/>
          <w:color w:val="auto"/>
          <w:kern w:val="2"/>
          <w:sz w:val="32"/>
          <w:szCs w:val="32"/>
          <w:highlight w:val="none"/>
          <w:lang w:val="en-US" w:eastAsia="zh-CN"/>
        </w:rPr>
      </w:pPr>
      <w:r>
        <w:rPr>
          <w:rFonts w:hint="eastAsia" w:ascii="仿宋_GB2312" w:hAnsi="仿宋_GB2312" w:eastAsia="仿宋_GB2312" w:cs="仿宋_GB2312"/>
          <w:b/>
          <w:bCs/>
          <w:color w:val="auto"/>
          <w:kern w:val="2"/>
          <w:sz w:val="32"/>
          <w:szCs w:val="32"/>
          <w:highlight w:val="none"/>
          <w:lang w:val="en-US" w:eastAsia="zh-CN"/>
        </w:rPr>
        <w:t>3.资源要素加速融通。</w:t>
      </w:r>
      <w:r>
        <w:rPr>
          <w:rFonts w:hint="eastAsia" w:ascii="仿宋_GB2312" w:hAnsi="仿宋_GB2312" w:eastAsia="仿宋_GB2312" w:cs="仿宋_GB2312"/>
          <w:color w:val="auto"/>
          <w:kern w:val="2"/>
          <w:sz w:val="32"/>
          <w:szCs w:val="32"/>
          <w:highlight w:val="none"/>
          <w:lang w:val="en-US" w:eastAsia="zh-CN"/>
        </w:rPr>
        <w:t>园区实景资源清单初步形成，综合试验环境筹备有序推进，圈层联动活动顺利谋划开展，进一步打通资本、产业对接通道，赋能产业链创新发展。</w:t>
      </w:r>
    </w:p>
    <w:p w14:paraId="1E2759ED">
      <w:pPr>
        <w:keepNext w:val="0"/>
        <w:keepLines w:val="0"/>
        <w:pageBreakBefore w:val="0"/>
        <w:widowControl w:val="0"/>
        <w:kinsoku/>
        <w:wordWrap/>
        <w:overflowPunct/>
        <w:topLinePunct w:val="0"/>
        <w:autoSpaceDE/>
        <w:autoSpaceDN/>
        <w:bidi w:val="0"/>
        <w:adjustRightInd/>
        <w:snapToGrid/>
        <w:spacing w:after="0" w:line="560" w:lineRule="exact"/>
        <w:ind w:firstLine="640" w:firstLineChars="200"/>
        <w:jc w:val="both"/>
        <w:textAlignment w:val="auto"/>
        <w:rPr>
          <w:rFonts w:hint="eastAsia" w:ascii="黑体" w:hAnsi="黑体" w:eastAsia="黑体" w:cs="黑体"/>
          <w:color w:val="auto"/>
          <w:kern w:val="2"/>
          <w:sz w:val="32"/>
          <w:szCs w:val="32"/>
          <w:highlight w:val="none"/>
          <w:lang w:val="en-US" w:eastAsia="zh-CN"/>
        </w:rPr>
      </w:pPr>
      <w:r>
        <w:rPr>
          <w:rFonts w:hint="eastAsia" w:ascii="黑体" w:hAnsi="黑体" w:eastAsia="黑体" w:cs="黑体"/>
          <w:color w:val="auto"/>
          <w:kern w:val="2"/>
          <w:sz w:val="32"/>
          <w:szCs w:val="32"/>
          <w:highlight w:val="none"/>
          <w:lang w:val="en-US" w:eastAsia="zh-CN"/>
        </w:rPr>
        <w:t>四、经验启示</w:t>
      </w:r>
    </w:p>
    <w:p w14:paraId="0311AA52">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643" w:firstLineChars="200"/>
        <w:textAlignment w:val="auto"/>
        <w:rPr>
          <w:rFonts w:hint="eastAsia" w:ascii="仿宋_GB2312" w:hAnsi="仿宋_GB2312" w:eastAsia="仿宋_GB2312" w:cs="仿宋_GB2312"/>
          <w:color w:val="auto"/>
          <w:spacing w:val="0"/>
          <w:kern w:val="2"/>
          <w:sz w:val="32"/>
          <w:szCs w:val="32"/>
          <w:highlight w:val="none"/>
          <w:lang w:val="en-US" w:eastAsia="zh-CN" w:bidi="ar-SA"/>
        </w:rPr>
      </w:pPr>
      <w:r>
        <w:rPr>
          <w:rFonts w:hint="eastAsia" w:ascii="仿宋_GB2312" w:hAnsi="仿宋_GB2312" w:eastAsia="仿宋_GB2312" w:cs="仿宋_GB2312"/>
          <w:b/>
          <w:bCs/>
          <w:color w:val="auto"/>
          <w:spacing w:val="0"/>
          <w:kern w:val="2"/>
          <w:sz w:val="32"/>
          <w:szCs w:val="32"/>
          <w:highlight w:val="none"/>
          <w:lang w:val="en-US" w:eastAsia="zh-CN" w:bidi="ar-SA"/>
        </w:rPr>
        <w:t>1.坚持组织嵌入，把党建力量沉到产业链一线。</w:t>
      </w:r>
      <w:r>
        <w:rPr>
          <w:rFonts w:hint="eastAsia" w:ascii="仿宋_GB2312" w:hAnsi="仿宋_GB2312" w:eastAsia="仿宋_GB2312" w:cs="仿宋_GB2312"/>
          <w:color w:val="auto"/>
          <w:spacing w:val="0"/>
          <w:kern w:val="2"/>
          <w:sz w:val="32"/>
          <w:szCs w:val="32"/>
          <w:highlight w:val="none"/>
          <w:lang w:val="en-US" w:eastAsia="zh-CN" w:bidi="ar-SA"/>
        </w:rPr>
        <w:t>把党组织建在招商运营、企业服务最前沿，组建党员招商攻坚队、跨领域党员服务队，将党建力量嵌入产业链招引、培育、服务的各关键节点，变“企业找服务”为“服务找企业”，实现党的组织优势向服务效能转化。</w:t>
      </w:r>
    </w:p>
    <w:p w14:paraId="3C6C5910">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643" w:firstLineChars="200"/>
        <w:textAlignment w:val="auto"/>
        <w:rPr>
          <w:rFonts w:hint="eastAsia" w:ascii="仿宋_GB2312" w:hAnsi="仿宋_GB2312" w:eastAsia="仿宋_GB2312" w:cs="仿宋_GB2312"/>
          <w:color w:val="auto"/>
          <w:spacing w:val="0"/>
          <w:kern w:val="2"/>
          <w:sz w:val="32"/>
          <w:szCs w:val="32"/>
          <w:highlight w:val="none"/>
          <w:lang w:val="en-US" w:eastAsia="zh-CN" w:bidi="ar-SA"/>
        </w:rPr>
      </w:pPr>
      <w:r>
        <w:rPr>
          <w:rFonts w:hint="eastAsia" w:ascii="仿宋_GB2312" w:hAnsi="仿宋_GB2312" w:eastAsia="仿宋_GB2312" w:cs="仿宋_GB2312"/>
          <w:b/>
          <w:bCs/>
          <w:color w:val="auto"/>
          <w:spacing w:val="0"/>
          <w:kern w:val="2"/>
          <w:sz w:val="32"/>
          <w:szCs w:val="32"/>
          <w:highlight w:val="none"/>
          <w:lang w:val="en-US" w:eastAsia="zh-CN" w:bidi="ar-SA"/>
        </w:rPr>
        <w:t>2.坚持需求牵引，以精准对接提升服务实效。</w:t>
      </w:r>
      <w:r>
        <w:rPr>
          <w:rFonts w:hint="eastAsia" w:ascii="仿宋_GB2312" w:hAnsi="仿宋_GB2312" w:eastAsia="仿宋_GB2312" w:cs="仿宋_GB2312"/>
          <w:color w:val="auto"/>
          <w:spacing w:val="0"/>
          <w:kern w:val="2"/>
          <w:sz w:val="32"/>
          <w:szCs w:val="32"/>
          <w:highlight w:val="none"/>
          <w:lang w:val="en-US" w:eastAsia="zh-CN" w:bidi="ar-SA"/>
        </w:rPr>
        <w:t>建立联建例会、会商协调机制，系统摸排链核企业需求清单与资源清单，推动园区服务供给与企业需求精准匹配。通过“1日响应、3日解难”闭环机制，把党建联建的“联”字落到解决企业实际问题上。</w:t>
      </w:r>
    </w:p>
    <w:p w14:paraId="70DB6D28">
      <w:pPr>
        <w:pStyle w:val="25"/>
        <w:keepNext w:val="0"/>
        <w:keepLines w:val="0"/>
        <w:pageBreakBefore w:val="0"/>
        <w:widowControl w:val="0"/>
        <w:kinsoku/>
        <w:wordWrap/>
        <w:overflowPunct/>
        <w:topLinePunct w:val="0"/>
        <w:autoSpaceDE/>
        <w:autoSpaceDN/>
        <w:bidi w:val="0"/>
        <w:adjustRightInd/>
        <w:snapToGrid/>
        <w:spacing w:after="0" w:line="560" w:lineRule="exact"/>
        <w:ind w:left="0" w:leftChars="0" w:firstLine="643" w:firstLineChars="200"/>
        <w:textAlignment w:val="auto"/>
        <w:rPr>
          <w:rFonts w:hint="eastAsia" w:ascii="仿宋_GB2312" w:hAnsi="仿宋_GB2312" w:eastAsia="仿宋_GB2312" w:cs="仿宋_GB2312"/>
          <w:color w:val="auto"/>
          <w:spacing w:val="0"/>
          <w:kern w:val="2"/>
          <w:sz w:val="32"/>
          <w:szCs w:val="32"/>
          <w:highlight w:val="none"/>
          <w:lang w:val="en-US" w:eastAsia="zh-CN" w:bidi="ar-SA"/>
        </w:rPr>
      </w:pPr>
      <w:r>
        <w:rPr>
          <w:rFonts w:hint="eastAsia" w:ascii="仿宋_GB2312" w:hAnsi="仿宋_GB2312" w:eastAsia="仿宋_GB2312" w:cs="仿宋_GB2312"/>
          <w:b/>
          <w:bCs/>
          <w:color w:val="auto"/>
          <w:spacing w:val="0"/>
          <w:kern w:val="2"/>
          <w:sz w:val="32"/>
          <w:szCs w:val="32"/>
          <w:highlight w:val="none"/>
          <w:lang w:val="en-US" w:eastAsia="zh-CN" w:bidi="ar-SA"/>
        </w:rPr>
        <w:t>3.坚持场景开放，以生态共建赋能产业集聚。</w:t>
      </w:r>
      <w:r>
        <w:rPr>
          <w:rFonts w:hint="eastAsia" w:ascii="仿宋_GB2312" w:hAnsi="仿宋_GB2312" w:eastAsia="仿宋_GB2312" w:cs="仿宋_GB2312"/>
          <w:color w:val="auto"/>
          <w:spacing w:val="0"/>
          <w:kern w:val="2"/>
          <w:sz w:val="32"/>
          <w:szCs w:val="32"/>
          <w:highlight w:val="none"/>
          <w:lang w:val="en-US" w:eastAsia="zh-CN" w:bidi="ar-SA"/>
        </w:rPr>
        <w:t>依托联建平台整合国企应用场景、园区物理空间、金融机构等多元资源，以开放实景试验环境、举办产业对接活动为抓手，吸引产业链上下游企业集聚，形成“国企场景开放—科技企业创新—资本助力成长”的良性循环，以企业获得感和产业集聚度检验党建工作实效。</w:t>
      </w:r>
    </w:p>
    <w:p w14:paraId="271D4FE1">
      <w:pPr>
        <w:pStyle w:val="25"/>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pacing w:val="0"/>
          <w:kern w:val="2"/>
          <w:sz w:val="32"/>
          <w:szCs w:val="32"/>
          <w:highlight w:val="none"/>
          <w:lang w:val="en-US" w:eastAsia="zh-CN" w:bidi="ar-SA"/>
        </w:rPr>
      </w:pPr>
    </w:p>
    <w:p w14:paraId="74D32392">
      <w:pPr>
        <w:pStyle w:val="25"/>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pacing w:val="0"/>
          <w:kern w:val="2"/>
          <w:sz w:val="32"/>
          <w:szCs w:val="32"/>
          <w:highlight w:val="none"/>
          <w:lang w:val="en-US" w:eastAsia="zh-CN" w:bidi="ar-SA"/>
        </w:rPr>
      </w:pPr>
    </w:p>
    <w:p w14:paraId="111A4E37">
      <w:pPr>
        <w:pStyle w:val="25"/>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eastAsia" w:ascii="仿宋_GB2312" w:hAnsi="仿宋_GB2312" w:eastAsia="仿宋_GB2312" w:cs="仿宋_GB2312"/>
          <w:spacing w:val="0"/>
          <w:kern w:val="2"/>
          <w:sz w:val="32"/>
          <w:szCs w:val="32"/>
          <w:highlight w:val="none"/>
          <w:lang w:val="en-US" w:eastAsia="zh-CN" w:bidi="ar-SA"/>
        </w:rPr>
      </w:pPr>
    </w:p>
    <w:p w14:paraId="101FD2D2">
      <w:pPr>
        <w:keepNext w:val="0"/>
        <w:keepLines w:val="0"/>
        <w:pageBreakBefore w:val="0"/>
        <w:kinsoku/>
        <w:wordWrap/>
        <w:overflowPunct/>
        <w:topLinePunct w:val="0"/>
        <w:autoSpaceDE/>
        <w:autoSpaceDN/>
        <w:bidi w:val="0"/>
        <w:adjustRightInd/>
        <w:snapToGrid/>
        <w:spacing w:before="0" w:after="0" w:line="560" w:lineRule="exact"/>
        <w:ind w:firstLine="640"/>
        <w:textAlignment w:val="auto"/>
        <w:rPr>
          <w:rFonts w:hint="eastAsia" w:ascii="仿宋_GB2312" w:hAnsi="仿宋_GB2312" w:eastAsia="仿宋_GB2312" w:cs="仿宋_GB2312"/>
          <w:spacing w:val="0"/>
          <w:kern w:val="2"/>
          <w:sz w:val="32"/>
          <w:szCs w:val="32"/>
          <w:highlight w:val="none"/>
          <w:lang w:val="en-US" w:eastAsia="zh-CN" w:bidi="ar-SA"/>
        </w:rPr>
      </w:pPr>
    </w:p>
    <w:sectPr>
      <w:footerReference r:id="rId5" w:type="default"/>
      <w:pgSz w:w="11906" w:h="16838"/>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 w:name="小标宋">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A38DA">
    <w:pPr>
      <w:pStyle w:val="26"/>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A89F30">
                          <w:pPr>
                            <w:pStyle w:val="2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FA89F30">
                    <w:pPr>
                      <w:pStyle w:val="2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BF1EB2"/>
    <w:rsid w:val="22AF04EF"/>
    <w:rsid w:val="27EB72DD"/>
    <w:rsid w:val="4E4F489E"/>
    <w:rsid w:val="4E621686"/>
    <w:rsid w:val="50E72DC5"/>
    <w:rsid w:val="714E02DF"/>
    <w:rsid w:val="7A8D06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next w:val="2"/>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4">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5">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6">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8">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9">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10">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1">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2">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Normal Indent"/>
    <w:basedOn w:val="1"/>
    <w:qFormat/>
    <w:uiPriority w:val="0"/>
    <w:pPr>
      <w:adjustRightInd w:val="0"/>
      <w:spacing w:line="360" w:lineRule="atLeast"/>
      <w:ind w:firstLine="482"/>
      <w:textAlignment w:val="baseline"/>
    </w:pPr>
    <w:rPr>
      <w:rFonts w:ascii="Times New Roman" w:hAnsi="Times New Roman"/>
      <w:kern w:val="0"/>
      <w:sz w:val="24"/>
      <w:szCs w:val="20"/>
    </w:rPr>
  </w:style>
  <w:style w:type="paragraph" w:styleId="3">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3">
    <w:name w:val="List 3"/>
    <w:basedOn w:val="1"/>
    <w:unhideWhenUsed/>
    <w:qFormat/>
    <w:uiPriority w:val="99"/>
    <w:pPr>
      <w:ind w:left="1080" w:hanging="360"/>
      <w:contextualSpacing/>
    </w:pPr>
  </w:style>
  <w:style w:type="paragraph" w:styleId="14">
    <w:name w:val="List Number 2"/>
    <w:basedOn w:val="1"/>
    <w:unhideWhenUsed/>
    <w:qFormat/>
    <w:uiPriority w:val="99"/>
    <w:pPr>
      <w:numPr>
        <w:ilvl w:val="0"/>
        <w:numId w:val="1"/>
      </w:numPr>
      <w:contextualSpacing/>
    </w:pPr>
  </w:style>
  <w:style w:type="paragraph" w:styleId="15">
    <w:name w:val="List Number"/>
    <w:basedOn w:val="1"/>
    <w:unhideWhenUsed/>
    <w:qFormat/>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3"/>
      </w:numPr>
      <w:contextualSpacing/>
    </w:pPr>
  </w:style>
  <w:style w:type="paragraph" w:styleId="18">
    <w:name w:val="Body Text 3"/>
    <w:basedOn w:val="1"/>
    <w:link w:val="150"/>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8"/>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Body Text Indent 2"/>
    <w:basedOn w:val="1"/>
    <w:qFormat/>
    <w:uiPriority w:val="0"/>
    <w:pPr>
      <w:spacing w:line="480" w:lineRule="auto"/>
      <w:ind w:left="420" w:leftChars="200"/>
    </w:pPr>
    <w:rPr>
      <w:rFonts w:ascii="Times New Roman" w:hAnsi="Times New Roman" w:eastAsia="宋体" w:cs="Times New Roman"/>
      <w:spacing w:val="0"/>
      <w:sz w:val="21"/>
      <w:szCs w:val="24"/>
    </w:rPr>
  </w:style>
  <w:style w:type="paragraph" w:styleId="26">
    <w:name w:val="footer"/>
    <w:basedOn w:val="1"/>
    <w:link w:val="140"/>
    <w:unhideWhenUsed/>
    <w:qFormat/>
    <w:uiPriority w:val="99"/>
    <w:pPr>
      <w:tabs>
        <w:tab w:val="center" w:pos="4680"/>
        <w:tab w:val="right" w:pos="9360"/>
      </w:tabs>
      <w:spacing w:after="0" w:line="240" w:lineRule="auto"/>
    </w:pPr>
  </w:style>
  <w:style w:type="paragraph" w:styleId="27">
    <w:name w:val="header"/>
    <w:basedOn w:val="1"/>
    <w:link w:val="139"/>
    <w:unhideWhenUsed/>
    <w:qFormat/>
    <w:uiPriority w:val="99"/>
    <w:pPr>
      <w:tabs>
        <w:tab w:val="center" w:pos="4680"/>
        <w:tab w:val="right" w:pos="9360"/>
      </w:tabs>
      <w:spacing w:after="0" w:line="240" w:lineRule="auto"/>
    </w:pPr>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49"/>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5">
    <w:name w:val="Body Text First Indent"/>
    <w:unhideWhenUsed/>
    <w:qFormat/>
    <w:uiPriority w:val="99"/>
    <w:pPr>
      <w:widowControl w:val="0"/>
      <w:spacing w:before="0" w:after="140" w:line="276" w:lineRule="auto"/>
      <w:ind w:firstLine="420" w:firstLineChars="100"/>
      <w:jc w:val="both"/>
    </w:pPr>
    <w:rPr>
      <w:rFonts w:ascii="Times New Roman" w:hAnsi="Times New Roman" w:eastAsia="宋体" w:cs="Times New Roman"/>
      <w:kern w:val="2"/>
      <w:sz w:val="32"/>
      <w:szCs w:val="20"/>
      <w:lang w:val="en-US" w:eastAsia="zh-CN" w:bidi="ar-SA"/>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qFormat/>
    <w:uiPriority w:val="99"/>
  </w:style>
  <w:style w:type="character" w:customStyle="1" w:styleId="140">
    <w:name w:val="Footer Char"/>
    <w:basedOn w:val="136"/>
    <w:link w:val="26"/>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4"/>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5"/>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6"/>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4"/>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qFormat/>
    <w:uiPriority w:val="99"/>
  </w:style>
  <w:style w:type="character" w:customStyle="1" w:styleId="149">
    <w:name w:val="Body Text 2 Char"/>
    <w:basedOn w:val="136"/>
    <w:link w:val="30"/>
    <w:qFormat/>
    <w:uiPriority w:val="99"/>
  </w:style>
  <w:style w:type="character" w:customStyle="1" w:styleId="150">
    <w:name w:val="Body Text 3 Char"/>
    <w:basedOn w:val="136"/>
    <w:link w:val="18"/>
    <w:qFormat/>
    <w:uiPriority w:val="99"/>
    <w:rPr>
      <w:sz w:val="16"/>
      <w:szCs w:val="16"/>
    </w:rPr>
  </w:style>
  <w:style w:type="character" w:customStyle="1" w:styleId="151">
    <w:name w:val="Macro Text Char"/>
    <w:basedOn w:val="136"/>
    <w:link w:val="3"/>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7"/>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8"/>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9"/>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10"/>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1"/>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2"/>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4"/>
    <w:next w:val="1"/>
    <w:semiHidden/>
    <w:unhideWhenUsed/>
    <w:qFormat/>
    <w:uiPriority w:val="39"/>
    <w:pPr>
      <w:outlineLvl w:val="9"/>
    </w:pPr>
  </w:style>
  <w:style w:type="paragraph" w:customStyle="1" w:styleId="168">
    <w:name w:val="First Paragraph"/>
    <w:basedOn w:val="20"/>
    <w:next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8c93ebdc-cb47-4f59-97fd-e9710df675c6</errorID>
      <errorWord>"</errorWord>
      <group>L1_Format</group>
      <groupName>格式问题</groupName>
      <ability>L2_HalfPunc_CN</ability>
      <abilityName>全半角问题</abilityName>
      <candidateList>
        <item>“</item>
      </candidateList>
      <explain>文本全半角错误。</explain>
      <paraID>3D72EE4C</paraID>
      <start>0</start>
      <end>1</end>
      <status>modified</status>
      <modifiedWord>“</modifiedWord>
      <trackRevisions>false</trackRevisions>
    </reviewItem>
    <reviewItem>
      <errorID>f1c7d83a-60ce-4891-9006-5565c4c7132c</errorID>
      <errorWord>"</errorWord>
      <group>L1_Format</group>
      <groupName>格式问题</groupName>
      <ability>L2_HalfPunc_CN</ability>
      <abilityName>全半角问题</abilityName>
      <candidateList>
        <item>”</item>
      </candidateList>
      <explain>文本全半角错误。</explain>
      <paraID>3D72EE4C</paraID>
      <start>10</start>
      <end>11</end>
      <status>modified</status>
      <modifiedWord>”</modifiedWord>
      <trackRevisions>false</trackRevisions>
    </reviewItem>
    <reviewItem>
      <errorID>6ee0098c-9544-48b7-904e-de226dacc7ce</errorID>
      <errorWord>"链式+圈式"</errorWord>
      <group>L1_Punc</group>
      <groupName>标点问题</groupName>
      <ability>L2_Punc_CN</ability>
      <abilityName>标点符号问题</abilityName>
      <candidateList>
        <item>“链式+圈式”</item>
      </candidateList>
      <explain/>
      <paraID>24ECEED7</paraID>
      <start>32</start>
      <end>39</end>
      <status>modified</status>
      <modifiedWord>“链式+圈式”</modifiedWord>
      <trackRevisions>false</trackRevisions>
    </reviewItem>
    <reviewItem>
      <errorID>b958cf1f-7e27-43d9-9485-38e64e49ebd9</errorID>
      <errorWord>"链上红盟 三联共促"</errorWord>
      <group>L1_Punc</group>
      <groupName>标点问题</groupName>
      <ability>L2_Punc_CN</ability>
      <abilityName>标点符号问题</abilityName>
      <candidateList>
        <item>“链上红盟 三联共促”</item>
      </candidateList>
      <explain/>
      <paraID>24ECEED7</paraID>
      <start>68</start>
      <end>79</end>
      <status>modified</status>
      <modifiedWord>“链上红盟 三联共促”</modifiedWord>
      <trackRevisions>false</trackRevisions>
    </reviewItem>
    <reviewItem>
      <errorID>89115d41-eef8-4fcc-8ff6-f000983acece</errorID>
      <errorWord>"党建+产业+资本"</errorWord>
      <group>L1_Punc</group>
      <groupName>标点问题</groupName>
      <ability>L2_Punc_CN</ability>
      <abilityName>标点符号问题</abilityName>
      <candidateList>
        <item>“党建+产业+资本”</item>
      </candidateList>
      <explain/>
      <paraID>24ECEED7</paraID>
      <start>84</start>
      <end>94</end>
      <status>modified</status>
      <modifiedWord>“党建+产业+资本”</modifiedWord>
      <trackRevisions>false</trackRevisions>
    </reviewItem>
    <reviewItem>
      <errorID>51dbe224-3a2e-4b32-a98d-5b99129b60b8</errorID>
      <errorWord>力</errorWord>
      <group>L1_Word</group>
      <groupName>字词问题</groupName>
      <ability>L2_Typo</ability>
      <abilityName>字词错误</abilityName>
      <candidateList>
        <item>力于</item>
      </candidateList>
      <explain/>
      <paraID>6166C07C</paraID>
      <start>155</start>
      <end>157</end>
      <status>modified</status>
      <modifiedWord>力于</modifiedWord>
      <trackRevisions>false</trackRevisions>
    </reviewItem>
    <reviewItem>
      <errorID>0fd40a54-3f48-406e-a118-1272c803f535</errorID>
      <errorWord>"1日响应、3日解难"</errorWord>
      <group>L1_Punc</group>
      <groupName>标点问题</groupName>
      <ability>L2_Punc_CN</ability>
      <abilityName>标点符号问题</abilityName>
      <candidateList>
        <item>“1日响应、3日解难”</item>
      </candidateList>
      <explain/>
      <paraID>7363BAC5</paraID>
      <start>50</start>
      <end>61</end>
      <status>modified</status>
      <modifiedWord>“1日响应、3日解难”</modifiedWord>
      <trackRevisions>false</trackRevisions>
    </reviewItem>
    <reviewItem>
      <errorID>53f69a04-9d7e-474e-bd63-5fcd74c028c8</errorID>
      <errorWord>"三联三促"</errorWord>
      <group>L1_Punc</group>
      <groupName>标点问题</groupName>
      <ability>L2_Punc_CN</ability>
      <abilityName>标点符号问题</abilityName>
      <candidateList>
        <item>“三联三促”</item>
      </candidateList>
      <explain/>
      <paraID>6649C2C7</paraID>
      <start>10</start>
      <end>16</end>
      <status>modified</status>
      <modifiedWord>“三联三促”</modifiedWord>
      <trackRevisions>false</trackRevisions>
    </reviewItem>
    <reviewItem>
      <errorID>1089b5c8-8989-42ec-ad35-5565ad69dcd3</errorID>
      <errorWord>"两张皮"</errorWord>
      <group>L1_Political</group>
      <groupName>政治性问题</groupName>
      <ability>L2_Keyword</ability>
      <abilityName>固定表述</abilityName>
      <candidateList>
        <item>“两张皮”</item>
      </candidateList>
      <explain>此处内容疑似含有固定表述相关错误，建议核查。</explain>
      <paraID>105CB489</paraID>
      <start>16</start>
      <end>21</end>
      <status>modified</status>
      <modifiedWord>“两张皮”</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70bc79d-cf0d-4715-8cd7-f26c96e52d98}">
  <ds:schemaRefs/>
</ds:datastoreItem>
</file>

<file path=customXml/itemProps3.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1643</Words>
  <Characters>1664</Characters>
  <Lines>0</Lines>
  <Paragraphs>0</Paragraphs>
  <TotalTime>0</TotalTime>
  <ScaleCrop>false</ScaleCrop>
  <LinksUpToDate>false</LinksUpToDate>
  <CharactersWithSpaces>1664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枝繁叶茂夏林森</cp:lastModifiedBy>
  <dcterms:modified xsi:type="dcterms:W3CDTF">2026-09-11T08:09:36Z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eyJoZGlkIjoiMzNlMmNhZTJhMmE3MWZjNTljZjkyNzQxOTg2MTcyYTEiLCJ1c2VySWQiOiIzMTEwNzQ2MTYifQ==</vt:lpwstr>
  </property>
  <property fmtid="{D5CDD505-2E9C-101B-9397-08002B2CF9AE}" pid="3" name="KSOProductBuildVer">
    <vt:lpwstr>2052-12.1.0.28505</vt:lpwstr>
  </property>
  <property fmtid="{D5CDD505-2E9C-101B-9397-08002B2CF9AE}" pid="4" name="ICV">
    <vt:lpwstr>0527CB1E70354DC98410235F12C3F44A_13</vt:lpwstr>
  </property>
</Properties>
</file>