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763E26"/>
    <w:p w14:paraId="441903EE"/>
    <w:p w14:paraId="7762205A"/>
    <w:p w14:paraId="719C59CD"/>
    <w:p w14:paraId="6B90D676">
      <w:pPr>
        <w:jc w:val="center"/>
        <w:rPr>
          <w:rFonts w:hint="eastAsia" w:eastAsia="宋体"/>
          <w:b/>
          <w:color w:val="1A1A2E"/>
          <w:sz w:val="56"/>
          <w:lang w:val="en-US" w:eastAsia="zh-CN"/>
        </w:rPr>
      </w:pPr>
      <w:r>
        <w:rPr>
          <w:rFonts w:hint="eastAsia" w:eastAsia="宋体"/>
          <w:b/>
          <w:color w:val="1A1A2E"/>
          <w:sz w:val="56"/>
          <w:lang w:val="en-US" w:eastAsia="zh-CN"/>
        </w:rPr>
        <w:t>期货交易平台</w:t>
      </w:r>
    </w:p>
    <w:p w14:paraId="2ACBE047">
      <w:pPr>
        <w:jc w:val="center"/>
      </w:pPr>
      <w:r>
        <w:rPr>
          <w:color w:val="1677FF"/>
          <w:sz w:val="44"/>
        </w:rPr>
        <w:t>人工操作清单</w:t>
      </w:r>
    </w:p>
    <w:p w14:paraId="01318276">
      <w:pPr>
        <w:jc w:val="center"/>
      </w:pPr>
      <w:r>
        <w:rPr>
          <w:color w:val="787B86"/>
          <w:sz w:val="26"/>
        </w:rPr>
        <w:t>Manual Operations Checklist</w:t>
      </w:r>
    </w:p>
    <w:p w14:paraId="701AF6EC">
      <w:pPr>
        <w:jc w:val="center"/>
      </w:pPr>
      <w:r>
        <w:rPr>
          <w:color w:val="787B86"/>
          <w:sz w:val="20"/>
        </w:rPr>
        <w:br w:type="textWrapping"/>
      </w:r>
      <w:r>
        <w:rPr>
          <w:color w:val="787B86"/>
          <w:sz w:val="20"/>
        </w:rPr>
        <w:t>v1.0 — 2026-07-13</w:t>
      </w:r>
      <w:r>
        <w:rPr>
          <w:color w:val="787B86"/>
          <w:sz w:val="20"/>
        </w:rPr>
        <w:br w:type="textWrapping"/>
      </w:r>
    </w:p>
    <w:p w14:paraId="60DCF333">
      <w:r>
        <w:br w:type="page"/>
      </w:r>
    </w:p>
    <w:p w14:paraId="3B2B6B7C">
      <w:pPr>
        <w:pStyle w:val="3"/>
      </w:pPr>
      <w:r>
        <w:rPr>
          <w:color w:val="1A1A2E"/>
        </w:rPr>
        <w:t>1. 基础设施搭建</w:t>
      </w:r>
    </w:p>
    <w:p w14:paraId="0B7F1A39">
      <w:pPr>
        <w:pStyle w:val="4"/>
      </w:pPr>
      <w:r>
        <w:rPr>
          <w:color w:val="1A1A2E"/>
        </w:rPr>
        <w:t>1.1 云账号与服务</w:t>
      </w:r>
    </w:p>
    <w:p w14:paraId="665473C9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申请云服务商账号（阿里云 / AWS / 腾讯云）</w:t>
      </w:r>
    </w:p>
    <w:p w14:paraId="639FE8A1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创建至少 2 个可用区（用于跨 AZ 部署）</w:t>
      </w:r>
    </w:p>
    <w:p w14:paraId="2EF438E6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申请域名并配置 DNS</w:t>
      </w:r>
    </w:p>
    <w:p w14:paraId="427C756B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申请 SSL/TLS 证书（阿里云免费证书 / Let's Encrypt / AWS ACM）</w:t>
      </w:r>
    </w:p>
    <w:p w14:paraId="56DBC648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创建对象存储 Bucket（OSS / S3，用于备份存储）</w:t>
      </w:r>
    </w:p>
    <w:p w14:paraId="78152BD0">
      <w:pPr>
        <w:pStyle w:val="4"/>
      </w:pPr>
      <w:r>
        <w:rPr>
          <w:color w:val="1A1A2E"/>
        </w:rPr>
        <w:t>1.2 依赖服务</w:t>
      </w:r>
    </w:p>
    <w:p w14:paraId="6321C81C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MySQL: 部署主从架构（至少 2 节点）</w:t>
      </w:r>
    </w:p>
    <w:p w14:paraId="29704914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Redis: 部署 Sentinel 集群（至少 3 节点）</w:t>
      </w:r>
    </w:p>
    <w:p w14:paraId="49E7E3AC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Nacos: 部署集群模式（至少 3 节点）— 参考 infrastructure/nacos-cluster.md</w:t>
      </w:r>
    </w:p>
    <w:p w14:paraId="6C749B3F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RocketMQ: 部署 Broker 集群 + NameServer</w:t>
      </w:r>
    </w:p>
    <w:p w14:paraId="2935E118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Kafka: 部署 3 节点集群（用于事件溯源）</w:t>
      </w:r>
    </w:p>
    <w:p w14:paraId="32FE4994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SkyWalking: 部署 OAP Server + Elasticsearch</w:t>
      </w:r>
    </w:p>
    <w:p w14:paraId="243E8D6A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ProxySQL: 配置数据库读写分离 — infrastructure/scripts/proxysql.cnf</w:t>
      </w:r>
    </w:p>
    <w:p w14:paraId="34F0920E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Seata: 部署 TC Server — 参考 seata-server/</w:t>
      </w:r>
    </w:p>
    <w:p w14:paraId="149C60BA">
      <w:pPr>
        <w:pStyle w:val="4"/>
      </w:pPr>
      <w:r>
        <w:rPr>
          <w:color w:val="1A1A2E"/>
        </w:rPr>
        <w:t>1.3 Docker 基</w:t>
      </w:r>
      <w:bookmarkStart w:id="0" w:name="_GoBack"/>
      <w:bookmarkEnd w:id="0"/>
      <w:r>
        <w:rPr>
          <w:color w:val="1A1A2E"/>
        </w:rPr>
        <w:t>础镜像</w:t>
      </w:r>
    </w:p>
    <w:p w14:paraId="0945BDF7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构建所有微服务的 Docker 镜像（Dockerfile 已就绪）</w:t>
      </w:r>
    </w:p>
    <w:p w14:paraId="4AAC9322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推送镜像到私有仓库（阿里云 ACR / Docker Hub / Harbor）</w:t>
      </w:r>
    </w:p>
    <w:p w14:paraId="43F6ECB8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标记镜像版本号（遵守语义化版本）</w:t>
      </w:r>
    </w:p>
    <w:p w14:paraId="4E30E71C">
      <w:pPr>
        <w:pStyle w:val="3"/>
      </w:pPr>
      <w:r>
        <w:rPr>
          <w:color w:val="1A1A2E"/>
        </w:rPr>
        <w:t>2. 凭据与安全</w:t>
      </w:r>
    </w:p>
    <w:p w14:paraId="0D92922D">
      <w:pPr>
        <w:pStyle w:val="4"/>
      </w:pPr>
      <w:r>
        <w:rPr>
          <w:color w:val="1A1A2E"/>
        </w:rPr>
        <w:t>2.1 密钥管理</w:t>
      </w:r>
    </w:p>
    <w:tbl>
      <w:tblPr>
        <w:tblStyle w:val="32"/>
        <w:tblW w:w="0" w:type="auto"/>
        <w:jc w:val="center"/>
        <w:tblBorders>
          <w:top w:val="single" w:color="000CCC" w:sz="4" w:space="0"/>
          <w:left w:val="single" w:color="000CCC" w:sz="4" w:space="0"/>
          <w:bottom w:val="single" w:color="000CCC" w:sz="4" w:space="0"/>
          <w:right w:val="single" w:color="000CCC" w:sz="4" w:space="0"/>
          <w:insideH w:val="single" w:color="000CCC" w:sz="4" w:space="0"/>
          <w:insideV w:val="single" w:color="000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62A293B">
        <w:trPr>
          <w:jc w:val="center"/>
        </w:trPr>
        <w:tc>
          <w:tcPr>
            <w:tcW w:w="2880" w:type="dxa"/>
            <w:shd w:val="clear" w:color="auto" w:fill="1677FF"/>
          </w:tcPr>
          <w:p w14:paraId="798BC443">
            <w:pPr>
              <w:jc w:val="center"/>
            </w:pPr>
            <w:r>
              <w:rPr>
                <w:b/>
                <w:color w:val="FFFFFF"/>
                <w:sz w:val="18"/>
              </w:rPr>
              <w:t>凭据</w:t>
            </w:r>
          </w:p>
        </w:tc>
        <w:tc>
          <w:tcPr>
            <w:tcW w:w="2880" w:type="dxa"/>
            <w:shd w:val="clear" w:color="auto" w:fill="1677FF"/>
          </w:tcPr>
          <w:p w14:paraId="6A7CA64E">
            <w:pPr>
              <w:jc w:val="center"/>
            </w:pPr>
            <w:r>
              <w:rPr>
                <w:b/>
                <w:color w:val="FFFFFF"/>
                <w:sz w:val="18"/>
              </w:rPr>
              <w:t>当前状态</w:t>
            </w:r>
          </w:p>
        </w:tc>
        <w:tc>
          <w:tcPr>
            <w:tcW w:w="2880" w:type="dxa"/>
            <w:shd w:val="clear" w:color="auto" w:fill="1677FF"/>
          </w:tcPr>
          <w:p w14:paraId="488F9C1B">
            <w:pPr>
              <w:jc w:val="center"/>
            </w:pPr>
            <w:r>
              <w:rPr>
                <w:b/>
                <w:color w:val="FFFFFF"/>
                <w:sz w:val="18"/>
              </w:rPr>
              <w:t>操作</w:t>
            </w:r>
          </w:p>
        </w:tc>
      </w:tr>
      <w:tr w14:paraId="2A0DB3F1">
        <w:trPr>
          <w:jc w:val="center"/>
        </w:trPr>
        <w:tc>
          <w:tcPr>
            <w:tcW w:w="2880" w:type="dxa"/>
          </w:tcPr>
          <w:p w14:paraId="61AE809C">
            <w:r>
              <w:rPr>
                <w:sz w:val="17"/>
              </w:rPr>
              <w:t>MySQL 密码 futures123</w:t>
            </w:r>
          </w:p>
        </w:tc>
        <w:tc>
          <w:tcPr>
            <w:tcW w:w="2880" w:type="dxa"/>
          </w:tcPr>
          <w:p w14:paraId="60E74117">
            <w:r>
              <w:rPr>
                <w:sz w:val="17"/>
              </w:rPr>
              <w:t>占位符</w:t>
            </w:r>
          </w:p>
        </w:tc>
        <w:tc>
          <w:tcPr>
            <w:tcW w:w="2880" w:type="dxa"/>
          </w:tcPr>
          <w:p w14:paraId="0BBFC072">
            <w:r>
              <w:rPr>
                <w:sz w:val="17"/>
              </w:rPr>
              <w:t>修改为强密码</w:t>
            </w:r>
          </w:p>
        </w:tc>
      </w:tr>
      <w:tr w14:paraId="21D181EB">
        <w:trPr>
          <w:jc w:val="center"/>
        </w:trPr>
        <w:tc>
          <w:tcPr>
            <w:tcW w:w="2880" w:type="dxa"/>
            <w:shd w:val="clear" w:color="auto" w:fill="F5F7FA"/>
          </w:tcPr>
          <w:p w14:paraId="524C1076">
            <w:r>
              <w:rPr>
                <w:sz w:val="17"/>
              </w:rPr>
              <w:t>Redis 密码 futures123</w:t>
            </w:r>
          </w:p>
        </w:tc>
        <w:tc>
          <w:tcPr>
            <w:tcW w:w="2880" w:type="dxa"/>
            <w:shd w:val="clear" w:color="auto" w:fill="F5F7FA"/>
          </w:tcPr>
          <w:p w14:paraId="324BA19B">
            <w:r>
              <w:rPr>
                <w:sz w:val="17"/>
              </w:rPr>
              <w:t>占位符</w:t>
            </w:r>
          </w:p>
        </w:tc>
        <w:tc>
          <w:tcPr>
            <w:tcW w:w="2880" w:type="dxa"/>
            <w:shd w:val="clear" w:color="auto" w:fill="F5F7FA"/>
          </w:tcPr>
          <w:p w14:paraId="43F81B8D">
            <w:r>
              <w:rPr>
                <w:sz w:val="17"/>
              </w:rPr>
              <w:t>修改为强密码</w:t>
            </w:r>
          </w:p>
        </w:tc>
      </w:tr>
      <w:tr w14:paraId="23BF36AB">
        <w:trPr>
          <w:jc w:val="center"/>
        </w:trPr>
        <w:tc>
          <w:tcPr>
            <w:tcW w:w="2880" w:type="dxa"/>
          </w:tcPr>
          <w:p w14:paraId="0A5B88A5">
            <w:r>
              <w:rPr>
                <w:sz w:val="17"/>
              </w:rPr>
              <w:t>Nacos 密码 nacos/nacos</w:t>
            </w:r>
          </w:p>
        </w:tc>
        <w:tc>
          <w:tcPr>
            <w:tcW w:w="2880" w:type="dxa"/>
          </w:tcPr>
          <w:p w14:paraId="1D93C4CE">
            <w:r>
              <w:rPr>
                <w:sz w:val="17"/>
              </w:rPr>
              <w:t>默认值</w:t>
            </w:r>
          </w:p>
        </w:tc>
        <w:tc>
          <w:tcPr>
            <w:tcW w:w="2880" w:type="dxa"/>
          </w:tcPr>
          <w:p w14:paraId="4FFE4312">
            <w:r>
              <w:rPr>
                <w:sz w:val="17"/>
              </w:rPr>
              <w:t>登录控制台修改</w:t>
            </w:r>
          </w:p>
        </w:tc>
      </w:tr>
      <w:tr w14:paraId="09543229">
        <w:trPr>
          <w:jc w:val="center"/>
        </w:trPr>
        <w:tc>
          <w:tcPr>
            <w:tcW w:w="2880" w:type="dxa"/>
            <w:shd w:val="clear" w:color="auto" w:fill="F5F7FA"/>
          </w:tcPr>
          <w:p w14:paraId="235834B8">
            <w:r>
              <w:rPr>
                <w:sz w:val="17"/>
              </w:rPr>
              <w:t>JWT 签名密钥</w:t>
            </w:r>
          </w:p>
        </w:tc>
        <w:tc>
          <w:tcPr>
            <w:tcW w:w="2880" w:type="dxa"/>
            <w:shd w:val="clear" w:color="auto" w:fill="F5F7FA"/>
          </w:tcPr>
          <w:p w14:paraId="2E6702E6">
            <w:r>
              <w:rPr>
                <w:sz w:val="17"/>
              </w:rPr>
              <w:t>${JWT_SECRET}</w:t>
            </w:r>
          </w:p>
        </w:tc>
        <w:tc>
          <w:tcPr>
            <w:tcW w:w="2880" w:type="dxa"/>
            <w:shd w:val="clear" w:color="auto" w:fill="F5F7FA"/>
          </w:tcPr>
          <w:p w14:paraId="60F7681C">
            <w:r>
              <w:rPr>
                <w:sz w:val="17"/>
              </w:rPr>
              <w:t>生成 RSA 256 位密钥对</w:t>
            </w:r>
          </w:p>
        </w:tc>
      </w:tr>
      <w:tr w14:paraId="502704CC">
        <w:trPr>
          <w:jc w:val="center"/>
        </w:trPr>
        <w:tc>
          <w:tcPr>
            <w:tcW w:w="2880" w:type="dxa"/>
          </w:tcPr>
          <w:p w14:paraId="202A0CD9">
            <w:r>
              <w:rPr>
                <w:sz w:val="17"/>
              </w:rPr>
              <w:t>TLS 证书</w:t>
            </w:r>
          </w:p>
        </w:tc>
        <w:tc>
          <w:tcPr>
            <w:tcW w:w="2880" w:type="dxa"/>
          </w:tcPr>
          <w:p w14:paraId="5159A73C">
            <w:r>
              <w:rPr>
                <w:sz w:val="17"/>
              </w:rPr>
              <w:t>certs/*.pem 占位</w:t>
            </w:r>
          </w:p>
        </w:tc>
        <w:tc>
          <w:tcPr>
            <w:tcW w:w="2880" w:type="dxa"/>
          </w:tcPr>
          <w:p w14:paraId="285E72AD">
            <w:r>
              <w:rPr>
                <w:sz w:val="17"/>
              </w:rPr>
              <w:t>替换为真实证书</w:t>
            </w:r>
          </w:p>
        </w:tc>
      </w:tr>
      <w:tr w14:paraId="7AF0AE83">
        <w:trPr>
          <w:jc w:val="center"/>
        </w:trPr>
        <w:tc>
          <w:tcPr>
            <w:tcW w:w="2880" w:type="dxa"/>
            <w:shd w:val="clear" w:color="auto" w:fill="F5F7FA"/>
          </w:tcPr>
          <w:p w14:paraId="6D718583">
            <w:r>
              <w:rPr>
                <w:sz w:val="17"/>
              </w:rPr>
              <w:t>SMTP 密码</w:t>
            </w:r>
          </w:p>
        </w:tc>
        <w:tc>
          <w:tcPr>
            <w:tcW w:w="2880" w:type="dxa"/>
            <w:shd w:val="clear" w:color="auto" w:fill="F5F7FA"/>
          </w:tcPr>
          <w:p w14:paraId="19A15CB1">
            <w:r>
              <w:rPr>
                <w:sz w:val="17"/>
              </w:rPr>
              <w:t>${SMTP_PASSWORD}</w:t>
            </w:r>
          </w:p>
        </w:tc>
        <w:tc>
          <w:tcPr>
            <w:tcW w:w="2880" w:type="dxa"/>
            <w:shd w:val="clear" w:color="auto" w:fill="F5F7FA"/>
          </w:tcPr>
          <w:p w14:paraId="2B803BC5">
            <w:r>
              <w:rPr>
                <w:sz w:val="17"/>
              </w:rPr>
              <w:t>配置真实 SMTP 密码</w:t>
            </w:r>
          </w:p>
        </w:tc>
      </w:tr>
    </w:tbl>
    <w:p w14:paraId="470714A9"/>
    <w:p w14:paraId="07B7D936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申请 Secret 管理平台（Vault / AWS Secrets Manager / 阿里云 KMS）</w:t>
      </w:r>
    </w:p>
    <w:p w14:paraId="1DC96E16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将所有密钥迁移到 Secret 管理平台</w:t>
      </w:r>
    </w:p>
    <w:p w14:paraId="01519AAD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配置密钥自动轮换策略（建议 90 天）</w:t>
      </w:r>
    </w:p>
    <w:p w14:paraId="3BF4C930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阅读 infrastructure/secrets-migration.md</w:t>
      </w:r>
    </w:p>
    <w:p w14:paraId="540822F1">
      <w:pPr>
        <w:pStyle w:val="4"/>
      </w:pPr>
      <w:r>
        <w:rPr>
          <w:color w:val="1A1A2E"/>
        </w:rPr>
        <w:t>2.2 网络安全</w:t>
      </w:r>
    </w:p>
    <w:p w14:paraId="6E1B5464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配置 Nginx HTTPS — docker/nginx-ssl.conf</w:t>
      </w:r>
    </w:p>
    <w:p w14:paraId="32B07C31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将认证服务端口 8083 改为仅内网监听</w:t>
      </w:r>
    </w:p>
    <w:p w14:paraId="1943126C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配置 API 网关 IP 白名单</w:t>
      </w:r>
    </w:p>
    <w:p w14:paraId="75C5AA1C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配置数据库仅允许内网连接</w:t>
      </w:r>
    </w:p>
    <w:p w14:paraId="30430F0B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配置 Redis 密码认证 + 绑定内网 IP</w:t>
      </w:r>
    </w:p>
    <w:p w14:paraId="582C0CB2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配置 Nacos 认证（nacos.core.auth.enabled=true）</w:t>
      </w:r>
    </w:p>
    <w:p w14:paraId="646EFDB7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配置防火墙规则（仅暴露 443/80 端口）</w:t>
      </w:r>
    </w:p>
    <w:p w14:paraId="2E5B778D">
      <w:pPr>
        <w:pStyle w:val="4"/>
      </w:pPr>
      <w:r>
        <w:rPr>
          <w:color w:val="1A1A2E"/>
        </w:rPr>
        <w:t>2.3 应用安全</w:t>
      </w:r>
    </w:p>
    <w:p w14:paraId="35611E07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删除所有 application.yml / .env 中的明文密码</w:t>
      </w:r>
    </w:p>
    <w:p w14:paraId="309E0A9A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所有密码改为 ${VAR_NAME} 环境变量引用</w:t>
      </w:r>
    </w:p>
    <w:p w14:paraId="254D510D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CI/CD 中使用 GitHub Secrets / GitLab CI Variables</w:t>
      </w:r>
    </w:p>
    <w:p w14:paraId="2169B2A2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Docker Compose 中使用 secrets: 而非环境变量</w:t>
      </w:r>
    </w:p>
    <w:p w14:paraId="61399E06">
      <w:pPr>
        <w:pStyle w:val="3"/>
      </w:pPr>
      <w:r>
        <w:rPr>
          <w:color w:val="1A1A2E"/>
        </w:rPr>
        <w:t>3. 监控与告警</w:t>
      </w:r>
    </w:p>
    <w:p w14:paraId="48BCE781">
      <w:pPr>
        <w:pStyle w:val="4"/>
      </w:pPr>
      <w:r>
        <w:rPr>
          <w:color w:val="1A1A2E"/>
        </w:rPr>
        <w:t>3.1 Prometheus + Grafana</w:t>
      </w:r>
    </w:p>
    <w:p w14:paraId="6C14DBC1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确认 Prometheus 已启动（端口 9090）</w:t>
      </w:r>
    </w:p>
    <w:p w14:paraId="7CFC7B15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确认 Grafana 已启动（端口 3002，默认账号 admin/admin）</w:t>
      </w:r>
    </w:p>
    <w:p w14:paraId="7BDE1E08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修改 Grafana 默认密码</w:t>
      </w:r>
    </w:p>
    <w:p w14:paraId="48D0C6F2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导入 Grafana 仪表盘 — infrastructure/grafana/dashboards/</w:t>
      </w:r>
    </w:p>
    <w:p w14:paraId="1D575501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配置 Prometheus 抓取目标</w:t>
      </w:r>
    </w:p>
    <w:p w14:paraId="6991C350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验证 JVM 指标正常上报</w:t>
      </w:r>
    </w:p>
    <w:p w14:paraId="43D6F6A4">
      <w:pPr>
        <w:pStyle w:val="4"/>
      </w:pPr>
      <w:r>
        <w:rPr>
          <w:color w:val="1A1A2E"/>
        </w:rPr>
        <w:t>3.2 告警通道</w:t>
      </w:r>
    </w:p>
    <w:tbl>
      <w:tblPr>
        <w:tblStyle w:val="32"/>
        <w:tblW w:w="0" w:type="auto"/>
        <w:jc w:val="center"/>
        <w:tblBorders>
          <w:top w:val="single" w:color="000CCC" w:sz="4" w:space="0"/>
          <w:left w:val="single" w:color="000CCC" w:sz="4" w:space="0"/>
          <w:bottom w:val="single" w:color="000CCC" w:sz="4" w:space="0"/>
          <w:right w:val="single" w:color="000CCC" w:sz="4" w:space="0"/>
          <w:insideH w:val="single" w:color="000CCC" w:sz="4" w:space="0"/>
          <w:insideV w:val="single" w:color="000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DE27591">
        <w:trPr>
          <w:jc w:val="center"/>
        </w:trPr>
        <w:tc>
          <w:tcPr>
            <w:tcW w:w="2880" w:type="dxa"/>
            <w:shd w:val="clear" w:color="auto" w:fill="1677FF"/>
          </w:tcPr>
          <w:p w14:paraId="0C17FEA1">
            <w:pPr>
              <w:jc w:val="center"/>
            </w:pPr>
            <w:r>
              <w:rPr>
                <w:b/>
                <w:color w:val="FFFFFF"/>
                <w:sz w:val="18"/>
              </w:rPr>
              <w:t>通道</w:t>
            </w:r>
          </w:p>
        </w:tc>
        <w:tc>
          <w:tcPr>
            <w:tcW w:w="2880" w:type="dxa"/>
            <w:shd w:val="clear" w:color="auto" w:fill="1677FF"/>
          </w:tcPr>
          <w:p w14:paraId="16C0F1A2">
            <w:pPr>
              <w:jc w:val="center"/>
            </w:pPr>
            <w:r>
              <w:rPr>
                <w:b/>
                <w:color w:val="FFFFFF"/>
                <w:sz w:val="18"/>
              </w:rPr>
              <w:t>当前状态</w:t>
            </w:r>
          </w:p>
        </w:tc>
        <w:tc>
          <w:tcPr>
            <w:tcW w:w="2880" w:type="dxa"/>
            <w:shd w:val="clear" w:color="auto" w:fill="1677FF"/>
          </w:tcPr>
          <w:p w14:paraId="0244A4B7">
            <w:pPr>
              <w:jc w:val="center"/>
            </w:pPr>
            <w:r>
              <w:rPr>
                <w:b/>
                <w:color w:val="FFFFFF"/>
                <w:sz w:val="18"/>
              </w:rPr>
              <w:t>操作</w:t>
            </w:r>
          </w:p>
        </w:tc>
      </w:tr>
      <w:tr w14:paraId="77276DBD">
        <w:trPr>
          <w:jc w:val="center"/>
        </w:trPr>
        <w:tc>
          <w:tcPr>
            <w:tcW w:w="2880" w:type="dxa"/>
          </w:tcPr>
          <w:p w14:paraId="05E866AC">
            <w:r>
              <w:rPr>
                <w:sz w:val="17"/>
              </w:rPr>
              <w:t>Email (SMTP)</w:t>
            </w:r>
          </w:p>
        </w:tc>
        <w:tc>
          <w:tcPr>
            <w:tcW w:w="2880" w:type="dxa"/>
          </w:tcPr>
          <w:p w14:paraId="4AA84E81">
            <w:r>
              <w:rPr>
                <w:sz w:val="17"/>
              </w:rPr>
              <w:t>smtp.example.com 占位</w:t>
            </w:r>
          </w:p>
        </w:tc>
        <w:tc>
          <w:tcPr>
            <w:tcW w:w="2880" w:type="dxa"/>
          </w:tcPr>
          <w:p w14:paraId="7515115D">
            <w:r>
              <w:rPr>
                <w:sz w:val="17"/>
              </w:rPr>
              <w:t>配置真实 SMTP 服务器</w:t>
            </w:r>
          </w:p>
        </w:tc>
      </w:tr>
      <w:tr w14:paraId="4697515B">
        <w:trPr>
          <w:jc w:val="center"/>
        </w:trPr>
        <w:tc>
          <w:tcPr>
            <w:tcW w:w="2880" w:type="dxa"/>
            <w:shd w:val="clear" w:color="auto" w:fill="F5F7FA"/>
          </w:tcPr>
          <w:p w14:paraId="7EA4859F">
            <w:r>
              <w:rPr>
                <w:sz w:val="17"/>
              </w:rPr>
              <w:t>Slack</w:t>
            </w:r>
          </w:p>
        </w:tc>
        <w:tc>
          <w:tcPr>
            <w:tcW w:w="2880" w:type="dxa"/>
            <w:shd w:val="clear" w:color="auto" w:fill="F5F7FA"/>
          </w:tcPr>
          <w:p w14:paraId="5D6ADEAE">
            <w:r>
              <w:rPr>
                <w:sz w:val="17"/>
              </w:rPr>
              <w:t>模板已创建</w:t>
            </w:r>
          </w:p>
        </w:tc>
        <w:tc>
          <w:tcPr>
            <w:tcW w:w="2880" w:type="dxa"/>
            <w:shd w:val="clear" w:color="auto" w:fill="F5F7FA"/>
          </w:tcPr>
          <w:p w14:paraId="1C1889F4">
            <w:r>
              <w:rPr>
                <w:sz w:val="17"/>
              </w:rPr>
              <w:t>创建 Incoming Webhook</w:t>
            </w:r>
          </w:p>
        </w:tc>
      </w:tr>
      <w:tr w14:paraId="5994DA83">
        <w:trPr>
          <w:jc w:val="center"/>
        </w:trPr>
        <w:tc>
          <w:tcPr>
            <w:tcW w:w="2880" w:type="dxa"/>
          </w:tcPr>
          <w:p w14:paraId="22E0ED40">
            <w:r>
              <w:rPr>
                <w:sz w:val="17"/>
              </w:rPr>
              <w:t>钉钉</w:t>
            </w:r>
          </w:p>
        </w:tc>
        <w:tc>
          <w:tcPr>
            <w:tcW w:w="2880" w:type="dxa"/>
          </w:tcPr>
          <w:p w14:paraId="5A5BA2AE">
            <w:r>
              <w:rPr>
                <w:sz w:val="17"/>
              </w:rPr>
              <w:t>模板已创建</w:t>
            </w:r>
          </w:p>
        </w:tc>
        <w:tc>
          <w:tcPr>
            <w:tcW w:w="2880" w:type="dxa"/>
          </w:tcPr>
          <w:p w14:paraId="2D7BE74A">
            <w:r>
              <w:rPr>
                <w:sz w:val="17"/>
              </w:rPr>
              <w:t>创建自定义机器人 + 部署 dingtalk-hook</w:t>
            </w:r>
          </w:p>
        </w:tc>
      </w:tr>
      <w:tr w14:paraId="13EF12BD">
        <w:trPr>
          <w:jc w:val="center"/>
        </w:trPr>
        <w:tc>
          <w:tcPr>
            <w:tcW w:w="2880" w:type="dxa"/>
            <w:shd w:val="clear" w:color="auto" w:fill="F5F7FA"/>
          </w:tcPr>
          <w:p w14:paraId="4EB6945E">
            <w:r>
              <w:rPr>
                <w:sz w:val="17"/>
              </w:rPr>
              <w:t>PagerDuty</w:t>
            </w:r>
          </w:p>
        </w:tc>
        <w:tc>
          <w:tcPr>
            <w:tcW w:w="2880" w:type="dxa"/>
            <w:shd w:val="clear" w:color="auto" w:fill="F5F7FA"/>
          </w:tcPr>
          <w:p w14:paraId="100C067A">
            <w:r>
              <w:rPr>
                <w:sz w:val="17"/>
              </w:rPr>
              <w:t>模板已创建</w:t>
            </w:r>
          </w:p>
        </w:tc>
        <w:tc>
          <w:tcPr>
            <w:tcW w:w="2880" w:type="dxa"/>
            <w:shd w:val="clear" w:color="auto" w:fill="F5F7FA"/>
          </w:tcPr>
          <w:p w14:paraId="6B1D0F01">
            <w:r>
              <w:rPr>
                <w:sz w:val="17"/>
              </w:rPr>
              <w:t>创建 PagerDuty 集成</w:t>
            </w:r>
          </w:p>
        </w:tc>
      </w:tr>
    </w:tbl>
    <w:p w14:paraId="2FF0D775"/>
    <w:p w14:paraId="292F842A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填写 AlertManager 配置中 smtp_smarthost</w:t>
      </w:r>
    </w:p>
    <w:p w14:paraId="1C95ED56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创建 Slack Webhook — 填入 alertmanager.yml</w:t>
      </w:r>
    </w:p>
    <w:p w14:paraId="515D7C90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创建钉钉机器人 — 部署 dingtalk-hook</w:t>
      </w:r>
    </w:p>
    <w:p w14:paraId="5E174BD6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部署并验证 AlertManager 告警推送</w:t>
      </w:r>
    </w:p>
    <w:p w14:paraId="5F5713F7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阅读 infrastructure/scripts/alertmanager-channels.yml</w:t>
      </w:r>
    </w:p>
    <w:p w14:paraId="0480FE04">
      <w:pPr>
        <w:pStyle w:val="4"/>
      </w:pPr>
      <w:r>
        <w:rPr>
          <w:color w:val="1A1A2E"/>
        </w:rPr>
        <w:t>3.3 日志聚合</w:t>
      </w:r>
    </w:p>
    <w:p w14:paraId="74A73055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确认 ELK / Loki 已启动</w:t>
      </w:r>
    </w:p>
    <w:p w14:paraId="10CCAF08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配置 Logstash 日志采集 pipeline</w:t>
      </w:r>
    </w:p>
    <w:p w14:paraId="51152D4C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配置 Loki promtail — infrastructure/loki/promtail-config.yaml</w:t>
      </w:r>
    </w:p>
    <w:p w14:paraId="393AEE6D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配置日志保留策略（建议 30 天）</w:t>
      </w:r>
    </w:p>
    <w:p w14:paraId="108C82D4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在 Grafana 中配置 Loki 数据源</w:t>
      </w:r>
    </w:p>
    <w:p w14:paraId="2AB40383">
      <w:pPr>
        <w:pStyle w:val="4"/>
      </w:pPr>
      <w:r>
        <w:rPr>
          <w:color w:val="1A1A2E"/>
        </w:rPr>
        <w:t>3.4 链路追踪</w:t>
      </w:r>
    </w:p>
    <w:p w14:paraId="76418811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部署 SkyWalking OAP Server + Elasticsearch</w:t>
      </w:r>
    </w:p>
    <w:p w14:paraId="7E2E0C4E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配置微服务 SkyWalking Agent</w:t>
      </w:r>
    </w:p>
    <w:p w14:paraId="7528B297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验证链路数据上报</w:t>
      </w:r>
    </w:p>
    <w:p w14:paraId="0E865D81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在 SkyWalking UI 中查看拓扑图</w:t>
      </w:r>
    </w:p>
    <w:p w14:paraId="26F4433D">
      <w:pPr>
        <w:pStyle w:val="3"/>
      </w:pPr>
      <w:r>
        <w:rPr>
          <w:color w:val="1A1A2E"/>
        </w:rPr>
        <w:t>4. 备份与灾备</w:t>
      </w:r>
    </w:p>
    <w:p w14:paraId="35CBA605">
      <w:pPr>
        <w:pStyle w:val="4"/>
      </w:pPr>
      <w:r>
        <w:rPr>
          <w:color w:val="1A1A2E"/>
        </w:rPr>
        <w:t>4.1 备份配置</w:t>
      </w:r>
    </w:p>
    <w:p w14:paraId="3C869734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设置 MySQL 定时备份（backup-mysql.sh）</w:t>
      </w:r>
    </w:p>
    <w:p w14:paraId="3F79A8CC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设置 Redis 定时备份（backup-redis.sh）</w:t>
      </w:r>
    </w:p>
    <w:p w14:paraId="02AE6B24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设置 Nacos 配置定时导出</w:t>
      </w:r>
    </w:p>
    <w:p w14:paraId="454553ED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配置备份文件上传到异地对象存储</w:t>
      </w:r>
    </w:p>
    <w:p w14:paraId="042E4695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验证备份恢复流程（至少每月一次）</w:t>
      </w:r>
    </w:p>
    <w:p w14:paraId="66FE3836">
      <w:pPr>
        <w:pStyle w:val="4"/>
      </w:pPr>
      <w:r>
        <w:rPr>
          <w:color w:val="1A1A2E"/>
        </w:rPr>
        <w:t>4.2 灾备配置</w:t>
      </w:r>
    </w:p>
    <w:p w14:paraId="6DEA4198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阅读 disaster-recovery.md</w:t>
      </w:r>
    </w:p>
    <w:p w14:paraId="6E525C39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部署跨可用区架构（至少 2 台云服务器）</w:t>
      </w:r>
    </w:p>
    <w:p w14:paraId="02D187B6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配置 MySQL 主从跨 AZ 复制</w:t>
      </w:r>
    </w:p>
    <w:p w14:paraId="77FAE8A8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配置 Redis Sentinel 跨 AZ</w:t>
      </w:r>
    </w:p>
    <w:p w14:paraId="7354898F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配置 SLB / DNS 故障自动切换</w:t>
      </w:r>
    </w:p>
    <w:p w14:paraId="2A1C4143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制定演练计划（每月切换演练）</w:t>
      </w:r>
    </w:p>
    <w:p w14:paraId="5FF46964">
      <w:pPr>
        <w:pStyle w:val="3"/>
      </w:pPr>
      <w:r>
        <w:rPr>
          <w:color w:val="1A1A2E"/>
        </w:rPr>
        <w:t>5. CI/CD 流水线</w:t>
      </w:r>
    </w:p>
    <w:p w14:paraId="5A92C13F">
      <w:pPr>
        <w:pStyle w:val="4"/>
      </w:pPr>
      <w:r>
        <w:rPr>
          <w:color w:val="1A1A2E"/>
        </w:rPr>
        <w:t>5.1 GitHub Actions</w:t>
      </w:r>
    </w:p>
    <w:p w14:paraId="3F30576A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配置 GitHub Secrets（Docker 密钥、SSH 密钥、环境变量）</w:t>
      </w:r>
    </w:p>
    <w:p w14:paraId="40436EC3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启用 .github/workflows/ci.yml（如有）</w:t>
      </w:r>
    </w:p>
    <w:p w14:paraId="6606D789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启用 .github/workflows/deploy.yml（如有）</w:t>
      </w:r>
    </w:p>
    <w:p w14:paraId="50A0CD51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配置 Docker 镜像自动构建</w:t>
      </w:r>
    </w:p>
    <w:p w14:paraId="07C2459F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配置代码质量检查（lint / type-check / test）</w:t>
      </w:r>
    </w:p>
    <w:p w14:paraId="098ECC88">
      <w:pPr>
        <w:pStyle w:val="4"/>
      </w:pPr>
      <w:r>
        <w:rPr>
          <w:color w:val="1A1A2E"/>
        </w:rPr>
        <w:t>5.2 部署流水线</w:t>
      </w:r>
    </w:p>
    <w:p w14:paraId="2936A8B2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配置 CI 流水线：build → test → package → push image</w:t>
      </w:r>
    </w:p>
    <w:p w14:paraId="76D08B50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配置 CD 流水线：pull → blue-green deploy → health check → switch</w:t>
      </w:r>
    </w:p>
    <w:p w14:paraId="424B8678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配置回滚策略（保留 3 个历史版本）</w:t>
      </w:r>
    </w:p>
    <w:p w14:paraId="6B3A0BB5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验证 deploy-bluegreen.sh 脚本</w:t>
      </w:r>
    </w:p>
    <w:p w14:paraId="135E4595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配置 Nginx upstream 实现无损切换</w:t>
      </w:r>
    </w:p>
    <w:p w14:paraId="1090BC19">
      <w:pPr>
        <w:pStyle w:val="4"/>
      </w:pPr>
      <w:r>
        <w:rPr>
          <w:color w:val="1A1A2E"/>
        </w:rPr>
        <w:t>5.3 流水线检查点</w:t>
      </w:r>
    </w:p>
    <w:p w14:paraId="61A0510E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构建时运行单元测试（mvn test / npm test）</w:t>
      </w:r>
    </w:p>
    <w:p w14:paraId="2185BEBB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构建时检查性能预算（performance-budget.json）</w:t>
      </w:r>
    </w:p>
    <w:p w14:paraId="6F6BAF22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部署前运行冒烟测试</w:t>
      </w:r>
    </w:p>
    <w:p w14:paraId="3CA1E6E6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部署后运行集成测试</w:t>
      </w:r>
    </w:p>
    <w:p w14:paraId="0EFFE379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构建产物保留策略（保留最近 30 个构建）</w:t>
      </w:r>
    </w:p>
    <w:p w14:paraId="45429AFB">
      <w:pPr>
        <w:pStyle w:val="3"/>
      </w:pPr>
      <w:r>
        <w:rPr>
          <w:color w:val="1A1A2E"/>
        </w:rPr>
        <w:t>6. 后端服务</w:t>
      </w:r>
    </w:p>
    <w:p w14:paraId="2E2A9359">
      <w:pPr>
        <w:pStyle w:val="4"/>
      </w:pPr>
      <w:r>
        <w:rPr>
          <w:color w:val="1A1A2E"/>
        </w:rPr>
        <w:t>6.1 消息队列初始化</w:t>
      </w:r>
    </w:p>
    <w:p w14:paraId="5165879C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创建 RocketMQ Topic — bash infrastructure/message-queue/rocketmq/topic-init.sh</w:t>
      </w:r>
    </w:p>
    <w:p w14:paraId="46B34034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创建 Kafka Topic — infrastructure/message-queue/kafka/topic-init.sh</w:t>
      </w:r>
    </w:p>
    <w:p w14:paraId="21AEDFF0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验证消息收发</w:t>
      </w:r>
    </w:p>
    <w:p w14:paraId="3AA147F4">
      <w:pPr>
        <w:pStyle w:val="4"/>
      </w:pPr>
      <w:r>
        <w:rPr>
          <w:color w:val="1A1A2E"/>
        </w:rPr>
        <w:t>6.2 分布式事务</w:t>
      </w:r>
    </w:p>
    <w:p w14:paraId="5A2075C8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确认 Seata Server 已启动</w:t>
      </w:r>
    </w:p>
    <w:p w14:paraId="18EA0C4C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初始化 Seata 数据库表</w:t>
      </w:r>
    </w:p>
    <w:p w14:paraId="37E8DDE2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配置微服务 Seata 分组</w:t>
      </w:r>
    </w:p>
    <w:p w14:paraId="67584774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验证 AT 模式回滚</w:t>
      </w:r>
    </w:p>
    <w:p w14:paraId="6E297C87">
      <w:pPr>
        <w:pStyle w:val="4"/>
      </w:pPr>
      <w:r>
        <w:rPr>
          <w:color w:val="1A1A2E"/>
        </w:rPr>
        <w:t>6.3 数据库</w:t>
      </w:r>
    </w:p>
    <w:p w14:paraId="289E4CA9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确认 init-schema.sql 已执行</w:t>
      </w:r>
    </w:p>
    <w:p w14:paraId="2D3040E9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确认 nacos_config 数据库已初始化</w:t>
      </w:r>
    </w:p>
    <w:p w14:paraId="0B7CF8AC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验证表名一致性（fund_account vs t_fund_account 等）</w:t>
      </w:r>
    </w:p>
    <w:p w14:paraId="5A9B40DF">
      <w:pPr>
        <w:pStyle w:val="4"/>
      </w:pPr>
      <w:r>
        <w:rPr>
          <w:color w:val="1A1A2E"/>
        </w:rPr>
        <w:t>6.4 配置中心</w:t>
      </w:r>
    </w:p>
    <w:p w14:paraId="4EED1C4F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将 Nacos 生产配置导入 Nacos</w:t>
      </w:r>
    </w:p>
    <w:p w14:paraId="431A7208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将各微服务 prod 配置导入 Nacos</w:t>
      </w:r>
    </w:p>
    <w:p w14:paraId="0CAF85AA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验证配置动态刷新</w:t>
      </w:r>
    </w:p>
    <w:p w14:paraId="7EF5CCAE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删除 Nacos 默认用户或修改密码</w:t>
      </w:r>
    </w:p>
    <w:p w14:paraId="2441A1D6">
      <w:pPr>
        <w:pStyle w:val="3"/>
      </w:pPr>
      <w:r>
        <w:rPr>
          <w:color w:val="1A1A2E"/>
        </w:rPr>
        <w:t>7. 前端交付</w:t>
      </w:r>
    </w:p>
    <w:p w14:paraId="0A4AABFF">
      <w:pPr>
        <w:pStyle w:val="4"/>
      </w:pPr>
      <w:r>
        <w:rPr>
          <w:color w:val="1A1A2E"/>
        </w:rPr>
        <w:t>7.1 生产构建</w:t>
      </w:r>
    </w:p>
    <w:p w14:paraId="4E7EC553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运行完整生产构建：npm run build</w:t>
      </w:r>
    </w:p>
    <w:p w14:paraId="1D448B65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验证所有 chunk 大小（总 gzip &lt; 500 kB）</w:t>
      </w:r>
    </w:p>
    <w:p w14:paraId="7EE22063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验证 sourcemap 不泄露源码</w:t>
      </w:r>
    </w:p>
    <w:p w14:paraId="7B5A5118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检查被标记的大 chunk（&gt; 500 kB）</w:t>
      </w:r>
    </w:p>
    <w:p w14:paraId="033A5CD4">
      <w:pPr>
        <w:pStyle w:val="4"/>
      </w:pPr>
      <w:r>
        <w:rPr>
          <w:color w:val="1A1A2E"/>
        </w:rPr>
        <w:t>7.2 性能验证</w:t>
      </w:r>
    </w:p>
    <w:p w14:paraId="54E05D4B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在真实浏览器中运行 Lighthouse</w:t>
      </w:r>
    </w:p>
    <w:p w14:paraId="76E4B9CB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验证桌面端评分 ≥ 90</w:t>
      </w:r>
    </w:p>
    <w:p w14:paraId="3AD2750B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验证移动端评分 ≥ 70</w:t>
      </w:r>
    </w:p>
    <w:p w14:paraId="641B2CB1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验证 FCP &lt; 1.8s, LCP &lt; 2.5s</w:t>
      </w:r>
    </w:p>
    <w:p w14:paraId="2F71CEE2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运行性能测试：bash smoke-test.sh / load-test.sh</w:t>
      </w:r>
    </w:p>
    <w:p w14:paraId="21A1D474">
      <w:pPr>
        <w:pStyle w:val="4"/>
      </w:pPr>
      <w:r>
        <w:rPr>
          <w:color w:val="1A1A2E"/>
        </w:rPr>
        <w:t>7.3 前端框架集成</w:t>
      </w:r>
    </w:p>
    <w:tbl>
      <w:tblPr>
        <w:tblStyle w:val="32"/>
        <w:tblW w:w="0" w:type="auto"/>
        <w:jc w:val="center"/>
        <w:tblBorders>
          <w:top w:val="single" w:color="000CCC" w:sz="4" w:space="0"/>
          <w:left w:val="single" w:color="000CCC" w:sz="4" w:space="0"/>
          <w:bottom w:val="single" w:color="000CCC" w:sz="4" w:space="0"/>
          <w:right w:val="single" w:color="000CCC" w:sz="4" w:space="0"/>
          <w:insideH w:val="single" w:color="000CCC" w:sz="4" w:space="0"/>
          <w:insideV w:val="single" w:color="000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5E056A8">
        <w:trPr>
          <w:jc w:val="center"/>
        </w:trPr>
        <w:tc>
          <w:tcPr>
            <w:tcW w:w="2880" w:type="dxa"/>
            <w:shd w:val="clear" w:color="auto" w:fill="1677FF"/>
          </w:tcPr>
          <w:p w14:paraId="2807240E">
            <w:pPr>
              <w:jc w:val="center"/>
            </w:pPr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w="2880" w:type="dxa"/>
            <w:shd w:val="clear" w:color="auto" w:fill="1677FF"/>
          </w:tcPr>
          <w:p w14:paraId="0EBCBDD9"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w="2880" w:type="dxa"/>
            <w:shd w:val="clear" w:color="auto" w:fill="1677FF"/>
          </w:tcPr>
          <w:p w14:paraId="3A32FD2F">
            <w:pPr>
              <w:jc w:val="center"/>
            </w:pPr>
            <w:r>
              <w:rPr>
                <w:b/>
                <w:color w:val="FFFFFF"/>
                <w:sz w:val="18"/>
              </w:rPr>
              <w:t>操作</w:t>
            </w:r>
          </w:p>
        </w:tc>
      </w:tr>
      <w:tr w14:paraId="0D1708E1">
        <w:trPr>
          <w:jc w:val="center"/>
        </w:trPr>
        <w:tc>
          <w:tcPr>
            <w:tcW w:w="2880" w:type="dxa"/>
          </w:tcPr>
          <w:p w14:paraId="04831605">
            <w:r>
              <w:rPr>
                <w:sz w:val="17"/>
              </w:rPr>
              <w:t>Watchlist（自选股）</w:t>
            </w:r>
          </w:p>
        </w:tc>
        <w:tc>
          <w:tcPr>
            <w:tcW w:w="2880" w:type="dxa"/>
          </w:tcPr>
          <w:p w14:paraId="517F8C97">
            <w:r>
              <w:rPr>
                <w:sz w:val="17"/>
              </w:rPr>
              <w:t>代码已就绪</w:t>
            </w:r>
          </w:p>
        </w:tc>
        <w:tc>
          <w:tcPr>
            <w:tcW w:w="2880" w:type="dxa"/>
          </w:tcPr>
          <w:p w14:paraId="59BD520D">
            <w:r>
              <w:rPr>
                <w:sz w:val="17"/>
              </w:rPr>
              <w:t>集成到 Trading 页面布局</w:t>
            </w:r>
          </w:p>
        </w:tc>
      </w:tr>
      <w:tr w14:paraId="68702FAA">
        <w:trPr>
          <w:jc w:val="center"/>
        </w:trPr>
        <w:tc>
          <w:tcPr>
            <w:tcW w:w="2880" w:type="dxa"/>
            <w:shd w:val="clear" w:color="auto" w:fill="F5F7FA"/>
          </w:tcPr>
          <w:p w14:paraId="00A98842">
            <w:r>
              <w:rPr>
                <w:sz w:val="17"/>
              </w:rPr>
              <w:t>RefreshRate（刷新频率）</w:t>
            </w:r>
          </w:p>
        </w:tc>
        <w:tc>
          <w:tcPr>
            <w:tcW w:w="2880" w:type="dxa"/>
            <w:shd w:val="clear" w:color="auto" w:fill="F5F7FA"/>
          </w:tcPr>
          <w:p w14:paraId="4CBB97E3">
            <w:r>
              <w:rPr>
                <w:sz w:val="17"/>
              </w:rPr>
              <w:t>Hook 已就绪</w:t>
            </w:r>
          </w:p>
        </w:tc>
        <w:tc>
          <w:tcPr>
            <w:tcW w:w="2880" w:type="dxa"/>
            <w:shd w:val="clear" w:color="auto" w:fill="F5F7FA"/>
          </w:tcPr>
          <w:p w14:paraId="2B5DE845">
            <w:r>
              <w:rPr>
                <w:sz w:val="17"/>
              </w:rPr>
              <w:t>集成到 StatusBar</w:t>
            </w:r>
          </w:p>
        </w:tc>
      </w:tr>
      <w:tr w14:paraId="18BFF6A0">
        <w:trPr>
          <w:jc w:val="center"/>
        </w:trPr>
        <w:tc>
          <w:tcPr>
            <w:tcW w:w="2880" w:type="dxa"/>
          </w:tcPr>
          <w:p w14:paraId="73EAD540">
            <w:r>
              <w:rPr>
                <w:sz w:val="17"/>
              </w:rPr>
              <w:t>Sounds（操作音效）</w:t>
            </w:r>
          </w:p>
        </w:tc>
        <w:tc>
          <w:tcPr>
            <w:tcW w:w="2880" w:type="dxa"/>
          </w:tcPr>
          <w:p w14:paraId="6125C1C3">
            <w:r>
              <w:rPr>
                <w:sz w:val="17"/>
              </w:rPr>
              <w:t>工具已就绪</w:t>
            </w:r>
          </w:p>
        </w:tc>
        <w:tc>
          <w:tcPr>
            <w:tcW w:w="2880" w:type="dxa"/>
          </w:tcPr>
          <w:p w14:paraId="271AB5CE">
            <w:r>
              <w:rPr>
                <w:sz w:val="17"/>
              </w:rPr>
              <w:t>集成到 OrderPanel 回调</w:t>
            </w:r>
          </w:p>
        </w:tc>
      </w:tr>
      <w:tr w14:paraId="205E0003">
        <w:trPr>
          <w:jc w:val="center"/>
        </w:trPr>
        <w:tc>
          <w:tcPr>
            <w:tcW w:w="2880" w:type="dxa"/>
            <w:shd w:val="clear" w:color="auto" w:fill="F5F7FA"/>
          </w:tcPr>
          <w:p w14:paraId="1A4B9B92">
            <w:r>
              <w:rPr>
                <w:sz w:val="17"/>
              </w:rPr>
              <w:t>Drag Layout（拖拽布局）</w:t>
            </w:r>
          </w:p>
        </w:tc>
        <w:tc>
          <w:tcPr>
            <w:tcW w:w="2880" w:type="dxa"/>
            <w:shd w:val="clear" w:color="auto" w:fill="F5F7FA"/>
          </w:tcPr>
          <w:p w14:paraId="32B7ADA8">
            <w:r>
              <w:rPr>
                <w:sz w:val="17"/>
              </w:rPr>
              <w:t>框架待创建</w:t>
            </w:r>
          </w:p>
        </w:tc>
        <w:tc>
          <w:tcPr>
            <w:tcW w:w="2880" w:type="dxa"/>
            <w:shd w:val="clear" w:color="auto" w:fill="F5F7FA"/>
          </w:tcPr>
          <w:p w14:paraId="58A4767F">
            <w:r>
              <w:rPr>
                <w:sz w:val="17"/>
              </w:rPr>
              <w:t>安装 react-grid-layout</w:t>
            </w:r>
          </w:p>
        </w:tc>
      </w:tr>
    </w:tbl>
    <w:p w14:paraId="6713C08F"/>
    <w:p w14:paraId="166C2233">
      <w:pPr>
        <w:pStyle w:val="4"/>
      </w:pPr>
      <w:r>
        <w:rPr>
          <w:color w:val="1A1A2E"/>
        </w:rPr>
        <w:t>7.4 包体积优化</w:t>
      </w:r>
    </w:p>
    <w:p w14:paraId="1866BA21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使用 rollup-plugin-visualizer 分析 bundle</w:t>
      </w:r>
    </w:p>
    <w:p w14:paraId="6AEF9081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Ant Design Icons 按需导入（减少 ui-vendor ~60%）</w:t>
      </w:r>
    </w:p>
    <w:p w14:paraId="07AEF614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使用 lazy() 拆分非首屏重型组件</w:t>
      </w:r>
    </w:p>
    <w:p w14:paraId="5E3CFE5A">
      <w:pPr>
        <w:pStyle w:val="3"/>
      </w:pPr>
      <w:r>
        <w:rPr>
          <w:color w:val="1A1A2E"/>
        </w:rPr>
        <w:t>8. 性能测试</w:t>
      </w:r>
    </w:p>
    <w:p w14:paraId="3B8BDF0E">
      <w:pPr>
        <w:pStyle w:val="4"/>
      </w:pPr>
      <w:r>
        <w:rPr>
          <w:color w:val="1A1A2E"/>
        </w:rPr>
        <w:t>8.1 压力测试</w:t>
      </w:r>
    </w:p>
    <w:p w14:paraId="5A9A841B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安装 k6 或 ab</w:t>
      </w:r>
    </w:p>
    <w:p w14:paraId="64584AAF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执行撮合引擎压力测试 — 目标 &gt; 1000 TPS</w:t>
      </w:r>
    </w:p>
    <w:p w14:paraId="7EB51254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执行 API 压力测试 — ab -n 10000 -c 100</w:t>
      </w:r>
    </w:p>
    <w:p w14:paraId="04B10F2A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验证 P99 响应时间 &lt; 500ms</w:t>
      </w:r>
    </w:p>
    <w:p w14:paraId="4701B375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验证系统在 100+ 并发下不崩溃</w:t>
      </w:r>
    </w:p>
    <w:p w14:paraId="6C277CD9">
      <w:pPr>
        <w:pStyle w:val="4"/>
      </w:pPr>
      <w:r>
        <w:rPr>
          <w:color w:val="1A1A2E"/>
        </w:rPr>
        <w:t>8.2 稳定性测试</w:t>
      </w:r>
    </w:p>
    <w:p w14:paraId="11E9BDBB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连续运行 2 小时监控内存增长（目标 &lt; 50MB）</w:t>
      </w:r>
    </w:p>
    <w:p w14:paraId="63D3A445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验证 WebSocket 断线重连 &lt; 3s</w:t>
      </w:r>
    </w:p>
    <w:p w14:paraId="1D12EE0D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验证 Redis / MySQL 连接池不泄漏</w:t>
      </w:r>
    </w:p>
    <w:p w14:paraId="6762883E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验证消息队列不堆积</w:t>
      </w:r>
    </w:p>
    <w:p w14:paraId="0BD4C87E">
      <w:pPr>
        <w:pStyle w:val="3"/>
      </w:pPr>
      <w:r>
        <w:rPr>
          <w:color w:val="1A1A2E"/>
        </w:rPr>
        <w:t>9. 文档与交接</w:t>
      </w:r>
    </w:p>
    <w:p w14:paraId="034E4339">
      <w:pPr>
        <w:pStyle w:val="4"/>
      </w:pPr>
      <w:r>
        <w:rPr>
          <w:color w:val="1A1A2E"/>
        </w:rPr>
        <w:t>9.1 已有文档（已就绪）</w:t>
      </w:r>
    </w:p>
    <w:p w14:paraId="172420E8">
      <w:pPr>
        <w:pStyle w:val="16"/>
      </w:pPr>
      <w:r>
        <w:rPr>
          <w:rFonts w:ascii="Segoe UI Symbol" w:hAnsi="Segoe UI Symbol"/>
          <w:color w:val="089981"/>
        </w:rPr>
        <w:t xml:space="preserve">☑ </w:t>
      </w:r>
      <w:r>
        <w:rPr>
          <w:color w:val="089981"/>
          <w:sz w:val="20"/>
        </w:rPr>
        <w:t>架构文档: infrastructure/architecture.md</w:t>
      </w:r>
    </w:p>
    <w:p w14:paraId="2EC5993A">
      <w:pPr>
        <w:pStyle w:val="16"/>
      </w:pPr>
      <w:r>
        <w:rPr>
          <w:rFonts w:ascii="Segoe UI Symbol" w:hAnsi="Segoe UI Symbol"/>
          <w:color w:val="089981"/>
        </w:rPr>
        <w:t xml:space="preserve">☑ </w:t>
      </w:r>
      <w:r>
        <w:rPr>
          <w:color w:val="089981"/>
          <w:sz w:val="20"/>
        </w:rPr>
        <w:t>部署方案: doc/DEPLOYMENT.md</w:t>
      </w:r>
    </w:p>
    <w:p w14:paraId="7642A305">
      <w:pPr>
        <w:pStyle w:val="16"/>
      </w:pPr>
      <w:r>
        <w:rPr>
          <w:rFonts w:ascii="Segoe UI Symbol" w:hAnsi="Segoe UI Symbol"/>
          <w:color w:val="089981"/>
        </w:rPr>
        <w:t xml:space="preserve">☑ </w:t>
      </w:r>
      <w:r>
        <w:rPr>
          <w:color w:val="089981"/>
          <w:sz w:val="20"/>
        </w:rPr>
        <w:t>运维手册: doc/OPS.md</w:t>
      </w:r>
    </w:p>
    <w:p w14:paraId="4D775DA8">
      <w:pPr>
        <w:pStyle w:val="16"/>
      </w:pPr>
      <w:r>
        <w:rPr>
          <w:rFonts w:ascii="Segoe UI Symbol" w:hAnsi="Segoe UI Symbol"/>
          <w:color w:val="089981"/>
        </w:rPr>
        <w:t xml:space="preserve">☑ </w:t>
      </w:r>
      <w:r>
        <w:rPr>
          <w:color w:val="089981"/>
          <w:sz w:val="20"/>
        </w:rPr>
        <w:t>SLA/SLO: doc/SLA.md</w:t>
      </w:r>
    </w:p>
    <w:p w14:paraId="537C51D0">
      <w:pPr>
        <w:pStyle w:val="16"/>
      </w:pPr>
      <w:r>
        <w:rPr>
          <w:rFonts w:ascii="Segoe UI Symbol" w:hAnsi="Segoe UI Symbol"/>
          <w:color w:val="089981"/>
        </w:rPr>
        <w:t xml:space="preserve">☑ </w:t>
      </w:r>
      <w:r>
        <w:rPr>
          <w:color w:val="089981"/>
          <w:sz w:val="20"/>
        </w:rPr>
        <w:t>性能计划: doc/PERFORMANCE.md</w:t>
      </w:r>
    </w:p>
    <w:p w14:paraId="0CE0C386">
      <w:pPr>
        <w:pStyle w:val="16"/>
      </w:pPr>
      <w:r>
        <w:rPr>
          <w:rFonts w:ascii="Segoe UI Symbol" w:hAnsi="Segoe UI Symbol"/>
          <w:color w:val="089981"/>
        </w:rPr>
        <w:t xml:space="preserve">☑ </w:t>
      </w:r>
      <w:r>
        <w:rPr>
          <w:color w:val="089981"/>
          <w:sz w:val="20"/>
        </w:rPr>
        <w:t>灾备计划: infrastructure/disaster-recovery.md</w:t>
      </w:r>
    </w:p>
    <w:p w14:paraId="14F11ADA">
      <w:pPr>
        <w:pStyle w:val="16"/>
      </w:pPr>
      <w:r>
        <w:rPr>
          <w:rFonts w:ascii="Segoe UI Symbol" w:hAnsi="Segoe UI Symbol"/>
          <w:color w:val="089981"/>
        </w:rPr>
        <w:t xml:space="preserve">☑ </w:t>
      </w:r>
      <w:r>
        <w:rPr>
          <w:color w:val="089981"/>
          <w:sz w:val="20"/>
        </w:rPr>
        <w:t>凭据迁移: infrastructure/secrets-migration.md</w:t>
      </w:r>
    </w:p>
    <w:p w14:paraId="6C90C385">
      <w:pPr>
        <w:pStyle w:val="16"/>
      </w:pPr>
      <w:r>
        <w:rPr>
          <w:rFonts w:ascii="Segoe UI Symbol" w:hAnsi="Segoe UI Symbol"/>
          <w:color w:val="089981"/>
        </w:rPr>
        <w:t xml:space="preserve">☑ </w:t>
      </w:r>
      <w:r>
        <w:rPr>
          <w:color w:val="089981"/>
          <w:sz w:val="20"/>
        </w:rPr>
        <w:t>版本矩阵: infrastructure/version-matrix.md</w:t>
      </w:r>
    </w:p>
    <w:p w14:paraId="7D64D5A6">
      <w:pPr>
        <w:pStyle w:val="16"/>
      </w:pPr>
      <w:r>
        <w:rPr>
          <w:rFonts w:ascii="Segoe UI Symbol" w:hAnsi="Segoe UI Symbol"/>
          <w:color w:val="089981"/>
        </w:rPr>
        <w:t xml:space="preserve">☑ </w:t>
      </w:r>
      <w:r>
        <w:rPr>
          <w:color w:val="089981"/>
          <w:sz w:val="20"/>
        </w:rPr>
        <w:t>资源规格: infrastructure/resource-specs.md</w:t>
      </w:r>
    </w:p>
    <w:p w14:paraId="338E0535">
      <w:pPr>
        <w:pStyle w:val="16"/>
      </w:pPr>
      <w:r>
        <w:rPr>
          <w:rFonts w:ascii="Segoe UI Symbol" w:hAnsi="Segoe UI Symbol"/>
          <w:color w:val="089981"/>
        </w:rPr>
        <w:t xml:space="preserve">☑ </w:t>
      </w:r>
      <w:r>
        <w:rPr>
          <w:color w:val="089981"/>
          <w:sz w:val="20"/>
        </w:rPr>
        <w:t>交付清单: DELIVERY_CHECKLIST.md</w:t>
      </w:r>
    </w:p>
    <w:p w14:paraId="69E8DA59">
      <w:pPr>
        <w:pStyle w:val="4"/>
      </w:pPr>
      <w:r>
        <w:rPr>
          <w:color w:val="1A1A2E"/>
        </w:rPr>
        <w:t>9.2 待补充文档</w:t>
      </w:r>
    </w:p>
    <w:p w14:paraId="0E3BC9DC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值班手册：故障响应流程、联系人、升级路径</w:t>
      </w:r>
    </w:p>
    <w:p w14:paraId="7C82DA87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回滚手册：版本回退步骤</w:t>
      </w:r>
    </w:p>
    <w:p w14:paraId="2CA0A0ED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扩容手册：水平/垂直扩容步骤</w:t>
      </w:r>
    </w:p>
    <w:p w14:paraId="049481E4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API 文档：完整接口文档（Swagger / OpenAPI）</w:t>
      </w:r>
    </w:p>
    <w:p w14:paraId="70169556">
      <w:pPr>
        <w:pStyle w:val="4"/>
      </w:pPr>
      <w:r>
        <w:rPr>
          <w:color w:val="1A1A2E"/>
        </w:rPr>
        <w:t>9.3 知识转移</w:t>
      </w:r>
    </w:p>
    <w:p w14:paraId="7B77570E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备份所有 application.yml 和 bootstrap.yml 到安全位置</w:t>
      </w:r>
    </w:p>
    <w:p w14:paraId="1CE9007F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记录所有管理员账号和初始密码</w:t>
      </w:r>
    </w:p>
    <w:p w14:paraId="1AC04609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记录所有第三方服务的 API Key 和 Secret</w:t>
      </w:r>
    </w:p>
    <w:p w14:paraId="5A2F556C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组建值班群（钉钉/微信）并导入告警通知</w:t>
      </w:r>
    </w:p>
    <w:p w14:paraId="1835C772">
      <w:r>
        <w:br w:type="page"/>
      </w:r>
    </w:p>
    <w:p w14:paraId="494068E5">
      <w:pPr>
        <w:pStyle w:val="3"/>
      </w:pPr>
      <w:r>
        <w:rPr>
          <w:color w:val="1A1A2E"/>
        </w:rPr>
        <w:t>优先级速查</w:t>
      </w:r>
    </w:p>
    <w:p w14:paraId="3AC4FB86">
      <w:r>
        <w:rPr>
          <w:b/>
          <w:color w:val="F23645"/>
          <w:sz w:val="22"/>
        </w:rPr>
        <w:t>P0 — 上线前必须完成</w:t>
      </w:r>
    </w:p>
    <w:p w14:paraId="51B4C0DD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1.2 部署 MySQL / Redis / Nacos 生产集群</w:t>
      </w:r>
    </w:p>
    <w:p w14:paraId="128C0F94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2.1 配置 Secret 管理平台</w:t>
      </w:r>
    </w:p>
    <w:p w14:paraId="0BA9F4F6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2.2 配置 HTTPS + 防火墙</w:t>
      </w:r>
    </w:p>
    <w:p w14:paraId="21557EEA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2.3 删除所有明文密码</w:t>
      </w:r>
    </w:p>
    <w:p w14:paraId="187CA7B1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3.1 配置 Grafana + 修改密码</w:t>
      </w:r>
    </w:p>
    <w:p w14:paraId="2070D08D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3.2 配置至少一个告警通道</w:t>
      </w:r>
    </w:p>
    <w:p w14:paraId="439095AA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4.1 配置定时备份</w:t>
      </w:r>
    </w:p>
    <w:p w14:paraId="7928DDB1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6.4 修改 Nacos 默认密码</w:t>
      </w:r>
    </w:p>
    <w:p w14:paraId="4E580996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7.2 运行 Lighthouse 验证</w:t>
      </w:r>
    </w:p>
    <w:p w14:paraId="7FB0B477">
      <w:r>
        <w:rPr>
          <w:b/>
          <w:color w:val="D4943B"/>
          <w:sz w:val="22"/>
        </w:rPr>
        <w:t>P1 — 上线后第一周完成</w:t>
      </w:r>
    </w:p>
    <w:p w14:paraId="0DFFFEA3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3.3 配置日志聚合</w:t>
      </w:r>
    </w:p>
    <w:p w14:paraId="1D05AA3D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4.2 配置跨可用区部署</w:t>
      </w:r>
    </w:p>
    <w:p w14:paraId="3D700AA4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5.1 配置 CI/CD 流水线</w:t>
      </w:r>
    </w:p>
    <w:p w14:paraId="0BADBD38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6.1 初始化消息队列 Topic</w:t>
      </w:r>
    </w:p>
    <w:p w14:paraId="0BDA56DC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6.2 验证分布式事务</w:t>
      </w:r>
    </w:p>
    <w:p w14:paraId="60A31B91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7.3 集成 Watchlist / RefreshRate / Sounds</w:t>
      </w:r>
    </w:p>
    <w:p w14:paraId="1AC95E31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8.1 执行压力测试</w:t>
      </w:r>
    </w:p>
    <w:p w14:paraId="4C667B61">
      <w:r>
        <w:rPr>
          <w:b/>
          <w:color w:val="787B86"/>
          <w:sz w:val="22"/>
        </w:rPr>
        <w:t>P2 — 上线后第一个月完成</w:t>
      </w:r>
    </w:p>
    <w:p w14:paraId="03B0313A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3.4 部署 SkyWalking 链路追踪</w:t>
      </w:r>
    </w:p>
    <w:p w14:paraId="28DBED1D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5.3 配置冒烟测试 + 性能预算检查</w:t>
      </w:r>
    </w:p>
    <w:p w14:paraId="18D60238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7.4 包体积二次优化</w:t>
      </w:r>
    </w:p>
    <w:p w14:paraId="13F9CF2F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8.2 稳定性测试</w:t>
      </w:r>
    </w:p>
    <w:p w14:paraId="22A8200C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9.2 补充值班/回滚/扩容手册</w:t>
      </w:r>
    </w:p>
    <w:p w14:paraId="385FE687">
      <w:pPr>
        <w:pStyle w:val="16"/>
      </w:pPr>
      <w:r>
        <w:rPr>
          <w:rFonts w:ascii="Segoe UI Symbol" w:hAnsi="Segoe UI Symbol"/>
          <w:color w:val="333333"/>
        </w:rPr>
        <w:t xml:space="preserve">□ </w:t>
      </w:r>
      <w:r>
        <w:rPr>
          <w:color w:val="333333"/>
          <w:sz w:val="20"/>
        </w:rPr>
        <w:t>9.3 知识转移 + 值班群组建</w:t>
      </w:r>
    </w:p>
    <w:p w14:paraId="1E1919F2"/>
    <w:p w14:paraId="1423691F">
      <w:r>
        <w:rPr>
          <w:i/>
          <w:color w:val="787B86"/>
          <w:sz w:val="17"/>
        </w:rPr>
        <w:t>提示: ☑ 标记的任务表示代码/脚本/文档已就绪，只需执行命令即可。</w:t>
      </w:r>
    </w:p>
    <w:p w14:paraId="617D9F96">
      <w:r>
        <w:rPr>
          <w:i/>
          <w:color w:val="787B86"/>
          <w:sz w:val="17"/>
        </w:rPr>
        <w:t>□ 方框表示需要人工操作（创建账号、填写配置、部署资源等）。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 Symbol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3AB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76" w:lineRule="auto"/>
    </w:pPr>
    <w:rPr>
      <w:rFonts w:ascii="微软雅黑" w:hAnsi="微软雅黑" w:eastAsiaTheme="minorEastAsia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863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微信用户</cp:lastModifiedBy>
  <dcterms:modified xsi:type="dcterms:W3CDTF">2026-07-14T14:10:49Z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69A06084469FD4CDE9D2556A38F06871_42</vt:lpwstr>
  </property>
</Properties>
</file>