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ind w:firstLine="0"/>
      </w:pPr>
    </w:p>
    <w:p>
      <w:pPr>
        <w:pStyle w:val="Title"/>
        <w:ind w:firstLine="0"/>
        <w:jc w:val="center"/>
      </w:pPr>
      <w:r>
        <w:t>润物细无声项目计划书</w:t>
      </w:r>
    </w:p>
    <w:p>
      <w:pPr>
        <w:pStyle w:val="Subtitle"/>
        <w:ind w:firstLine="0"/>
        <w:jc w:val="center"/>
      </w:pPr>
      <w:r>
        <w:t>大学生家教机会与学习过程服务平台</w:t>
      </w:r>
    </w:p>
    <w:p>
      <w:pPr>
        <w:spacing w:after="920"/>
        <w:ind w:firstLine="0"/>
      </w:pPr>
    </w:p>
    <w:p>
      <w:pPr>
        <w:spacing w:after="240"/>
        <w:ind w:firstLine="0"/>
        <w:jc w:val="center"/>
      </w:pPr>
      <w:r>
        <w:t>参赛赛事及届次  ＿＿＿＿＿＿＿＿＿＿＿＿＿＿＿＿</w:t>
      </w:r>
    </w:p>
    <w:p>
      <w:pPr>
        <w:spacing w:after="240"/>
        <w:ind w:firstLine="0"/>
        <w:jc w:val="center"/>
      </w:pPr>
      <w:r>
        <w:t>参赛赛道及组别  ＿＿＿＿＿＿＿＿＿＿＿＿＿＿＿＿</w:t>
      </w:r>
    </w:p>
    <w:p>
      <w:pPr>
        <w:spacing w:after="240"/>
        <w:ind w:firstLine="0"/>
        <w:jc w:val="center"/>
      </w:pPr>
      <w:r>
        <w:t>申报学校  ＿＿＿＿＿＿＿＿＿＿＿＿＿＿＿＿</w:t>
      </w:r>
    </w:p>
    <w:p>
      <w:pPr>
        <w:spacing w:after="240"/>
        <w:ind w:firstLine="0"/>
        <w:jc w:val="center"/>
      </w:pPr>
      <w:r>
        <w:t>所属学院  ＿＿＿＿＿＿＿＿＿＿＿＿＿＿＿＿</w:t>
      </w:r>
    </w:p>
    <w:p>
      <w:pPr>
        <w:spacing w:after="240"/>
        <w:ind w:firstLine="0"/>
        <w:jc w:val="center"/>
      </w:pPr>
      <w:r>
        <w:t>项目负责人  ＿＿＿＿＿＿＿＿＿＿＿＿＿＿＿＿</w:t>
      </w:r>
    </w:p>
    <w:p>
      <w:pPr>
        <w:spacing w:after="240"/>
        <w:ind w:firstLine="0"/>
        <w:jc w:val="center"/>
      </w:pPr>
      <w:r>
        <w:t>团队名称  ＿＿＿＿＿＿＿＿＿＿＿＿＿＿＿＿</w:t>
      </w:r>
    </w:p>
    <w:p>
      <w:pPr>
        <w:spacing w:after="240"/>
        <w:ind w:firstLine="0"/>
        <w:jc w:val="center"/>
      </w:pPr>
      <w:r>
        <w:t>指导教师  ＿＿＿＿＿＿＿＿＿＿＿＿＿＿＿＿</w:t>
      </w:r>
    </w:p>
    <w:p>
      <w:pPr>
        <w:spacing w:after="240"/>
        <w:ind w:firstLine="0"/>
        <w:jc w:val="center"/>
      </w:pPr>
      <w:r>
        <w:t>联系电话  ＿＿＿＿＿＿＿＿＿＿＿＿＿＿＿＿</w:t>
      </w:r>
    </w:p>
    <w:p>
      <w:pPr>
        <w:spacing w:after="240"/>
        <w:ind w:firstLine="0"/>
        <w:jc w:val="center"/>
      </w:pPr>
      <w:r>
        <w:t>提交日期  ＿＿＿＿＿＿＿＿＿＿＿＿＿＿＿＿</w:t>
      </w:r>
    </w:p>
    <w:p>
      <w:pPr>
        <w:pStyle w:val="Heading1"/>
      </w:pPr>
      <w:r>
        <w:t>项目基本信息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6690"/>
      </w:tblGrid>
      <w:tr>
        <w:trPr>
          <w:cantSplit/>
          <w:tblHeader w:val="true"/>
        </w:trPr>
        <w:tc>
          <w:tcPr>
            <w:tcW w:type="dxa" w:w="249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信息项</w:t>
            </w:r>
          </w:p>
        </w:tc>
        <w:tc>
          <w:tcPr>
            <w:tcW w:type="dxa" w:w="6690"/>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填写内容</w:t>
            </w:r>
          </w:p>
        </w:tc>
      </w:tr>
      <w:tr>
        <w:trPr>
          <w:cantSplit/>
        </w:trPr>
        <w:tc>
          <w:tcPr>
            <w:tcW w:type="dxa" w:w="249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项目名称</w:t>
            </w:r>
          </w:p>
        </w:tc>
        <w:tc>
          <w:tcPr>
            <w:tcW w:type="dxa" w:w="6690"/>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润物细无声 NURTURE</w:t>
            </w:r>
          </w:p>
        </w:tc>
      </w:tr>
      <w:tr>
        <w:trPr>
          <w:cantSplit/>
        </w:trPr>
        <w:tc>
          <w:tcPr>
            <w:tcW w:type="dxa" w:w="249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项目定位</w:t>
            </w:r>
          </w:p>
        </w:tc>
        <w:tc>
          <w:tcPr>
            <w:tcW w:type="dxa" w:w="6690"/>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面向大学生教员与学习者家庭的机会匹配和学习过程服务平台</w:t>
            </w:r>
          </w:p>
        </w:tc>
      </w:tr>
      <w:tr>
        <w:trPr>
          <w:cantSplit/>
        </w:trPr>
        <w:tc>
          <w:tcPr>
            <w:tcW w:type="dxa" w:w="249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产品现状</w:t>
            </w:r>
          </w:p>
        </w:tc>
        <w:tc>
          <w:tcPr>
            <w:tcW w:type="dxa" w:w="6690"/>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已完成本地功能实现与技术验收；外部渠道及线上商业运营尚待验证</w:t>
            </w:r>
          </w:p>
        </w:tc>
      </w:tr>
      <w:tr>
        <w:trPr>
          <w:cantSplit/>
        </w:trPr>
        <w:tc>
          <w:tcPr>
            <w:tcW w:type="dxa" w:w="249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参赛年度和赛事</w:t>
            </w:r>
          </w:p>
        </w:tc>
        <w:tc>
          <w:tcPr>
            <w:tcW w:type="dxa" w:w="6690"/>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赛道和组别</w:t>
            </w:r>
          </w:p>
        </w:tc>
        <w:tc>
          <w:tcPr>
            <w:tcW w:type="dxa" w:w="6690"/>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学校和学院</w:t>
            </w:r>
          </w:p>
        </w:tc>
        <w:tc>
          <w:tcPr>
            <w:tcW w:type="dxa" w:w="6690"/>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负责人姓名和学籍</w:t>
            </w:r>
          </w:p>
        </w:tc>
        <w:tc>
          <w:tcPr>
            <w:tcW w:type="dxa" w:w="6690"/>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项目启动日期</w:t>
            </w:r>
          </w:p>
        </w:tc>
        <w:tc>
          <w:tcPr>
            <w:tcW w:type="dxa" w:w="6690"/>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企业名称和登记状态</w:t>
            </w:r>
          </w:p>
        </w:tc>
        <w:tc>
          <w:tcPr>
            <w:tcW w:type="dxa" w:w="6690"/>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注册资本及股权结构</w:t>
            </w:r>
          </w:p>
        </w:tc>
        <w:tc>
          <w:tcPr>
            <w:tcW w:type="dxa" w:w="6690"/>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知识产权登记状态</w:t>
            </w:r>
          </w:p>
        </w:tc>
        <w:tc>
          <w:tcPr>
            <w:tcW w:type="dxa" w:w="6690"/>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试点地区及合规服务范围</w:t>
            </w:r>
          </w:p>
        </w:tc>
        <w:tc>
          <w:tcPr>
            <w:tcW w:type="dxa" w:w="6690"/>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真实用户和经营收入</w:t>
            </w:r>
          </w:p>
        </w:tc>
        <w:tc>
          <w:tcPr>
            <w:tcW w:type="dxa" w:w="6690"/>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累计投入和融资需求</w:t>
            </w:r>
          </w:p>
        </w:tc>
        <w:tc>
          <w:tcPr>
            <w:tcW w:type="dxa" w:w="6690"/>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49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联系方式</w:t>
            </w:r>
          </w:p>
        </w:tc>
        <w:tc>
          <w:tcPr>
            <w:tcW w:type="dxa" w:w="6690"/>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ind w:firstLine="0"/>
      </w:pPr>
      <w:r>
        <w:rPr>
          <w:b w:val="0"/>
        </w:rPr>
        <w:t>财务金额、市场统计、团队身份、调研结论、合作关系及获奖证明由对应材料确认后填写。留白不代表数值为零或事项不存在。</w:t>
      </w:r>
    </w:p>
    <w:p>
      <w:pPr>
        <w:pStyle w:val="Heading1"/>
      </w:pPr>
      <w:r>
        <w:t>目录</w:t>
      </w:r>
    </w:p>
    <w:p>
      <w:pPr>
        <w:tabs>
          <w:tab w:pos="9071" w:val="right" w:leader="dot"/>
        </w:tabs>
        <w:spacing w:line="460" w:lineRule="exact" w:after="40"/>
        <w:ind w:firstLine="0"/>
      </w:pPr>
      <w:hyperlink w:anchor="chapter_1">
        <w:r>
          <w:t>第一章 执行摘要</w:t>
        </w:r>
      </w:hyperlink>
      <w:r>
        <w:tab/>
      </w:r>
      <w:fldSimple w:instr="PAGEREF chapter_1 \h">
        <w:r>
          <w:t>4</w:t>
        </w:r>
      </w:fldSimple>
    </w:p>
    <w:p>
      <w:pPr>
        <w:tabs>
          <w:tab w:pos="9071" w:val="right" w:leader="dot"/>
        </w:tabs>
        <w:spacing w:line="460" w:lineRule="exact" w:after="40"/>
        <w:ind w:firstLine="0"/>
      </w:pPr>
      <w:hyperlink w:anchor="chapter_2">
        <w:r>
          <w:t>第二章 项目背景与创办初衷</w:t>
        </w:r>
      </w:hyperlink>
      <w:r>
        <w:tab/>
      </w:r>
      <w:fldSimple w:instr="PAGEREF chapter_2 \h">
        <w:r>
          <w:t>5</w:t>
        </w:r>
      </w:fldSimple>
    </w:p>
    <w:p>
      <w:pPr>
        <w:tabs>
          <w:tab w:pos="9071" w:val="right" w:leader="dot"/>
        </w:tabs>
        <w:spacing w:line="460" w:lineRule="exact" w:after="40"/>
        <w:ind w:firstLine="0"/>
      </w:pPr>
      <w:hyperlink w:anchor="chapter_3">
        <w:r>
          <w:t>第三章 需求与市场分析</w:t>
        </w:r>
      </w:hyperlink>
      <w:r>
        <w:tab/>
      </w:r>
      <w:fldSimple w:instr="PAGEREF chapter_3 \h">
        <w:r>
          <w:t>6</w:t>
        </w:r>
      </w:fldSimple>
    </w:p>
    <w:p>
      <w:pPr>
        <w:tabs>
          <w:tab w:pos="9071" w:val="right" w:leader="dot"/>
        </w:tabs>
        <w:spacing w:line="460" w:lineRule="exact" w:after="40"/>
        <w:ind w:firstLine="0"/>
      </w:pPr>
      <w:hyperlink w:anchor="chapter_4">
        <w:r>
          <w:t>第四章 竞争分析与项目定位</w:t>
        </w:r>
      </w:hyperlink>
      <w:r>
        <w:tab/>
      </w:r>
      <w:fldSimple w:instr="PAGEREF chapter_4 \h">
        <w:r>
          <w:t>7</w:t>
        </w:r>
      </w:fldSimple>
    </w:p>
    <w:p>
      <w:pPr>
        <w:tabs>
          <w:tab w:pos="9071" w:val="right" w:leader="dot"/>
        </w:tabs>
        <w:spacing w:line="460" w:lineRule="exact" w:after="40"/>
        <w:ind w:firstLine="0"/>
      </w:pPr>
      <w:hyperlink w:anchor="chapter_5">
        <w:r>
          <w:t>第五章 产品与服务方案</w:t>
        </w:r>
      </w:hyperlink>
      <w:r>
        <w:tab/>
      </w:r>
      <w:fldSimple w:instr="PAGEREF chapter_5 \h">
        <w:r>
          <w:t>8</w:t>
        </w:r>
      </w:fldSimple>
    </w:p>
    <w:p>
      <w:pPr>
        <w:tabs>
          <w:tab w:pos="9071" w:val="right" w:leader="dot"/>
        </w:tabs>
        <w:spacing w:line="460" w:lineRule="exact" w:after="40"/>
        <w:ind w:firstLine="0"/>
      </w:pPr>
      <w:hyperlink w:anchor="chapter_6">
        <w:r>
          <w:t>第六章 技术方案与创新特点</w:t>
        </w:r>
      </w:hyperlink>
      <w:r>
        <w:tab/>
      </w:r>
      <w:fldSimple w:instr="PAGEREF chapter_6 \h">
        <w:r>
          <w:t>10</w:t>
        </w:r>
      </w:fldSimple>
    </w:p>
    <w:p>
      <w:pPr>
        <w:tabs>
          <w:tab w:pos="9071" w:val="right" w:leader="dot"/>
        </w:tabs>
        <w:spacing w:line="460" w:lineRule="exact" w:after="40"/>
        <w:ind w:firstLine="0"/>
      </w:pPr>
      <w:hyperlink w:anchor="chapter_7">
        <w:r>
          <w:t>第七章 研发进展与实践验证</w:t>
        </w:r>
      </w:hyperlink>
      <w:r>
        <w:tab/>
      </w:r>
      <w:fldSimple w:instr="PAGEREF chapter_7 \h">
        <w:r>
          <w:t>11</w:t>
        </w:r>
      </w:fldSimple>
    </w:p>
    <w:p>
      <w:pPr>
        <w:tabs>
          <w:tab w:pos="9071" w:val="right" w:leader="dot"/>
        </w:tabs>
        <w:spacing w:line="460" w:lineRule="exact" w:after="40"/>
        <w:ind w:firstLine="0"/>
      </w:pPr>
      <w:hyperlink w:anchor="chapter_8">
        <w:r>
          <w:t>第八章 商业模式与单位经济逻辑</w:t>
        </w:r>
      </w:hyperlink>
      <w:r>
        <w:tab/>
      </w:r>
      <w:fldSimple w:instr="PAGEREF chapter_8 \h">
        <w:r>
          <w:t>12</w:t>
        </w:r>
      </w:fldSimple>
    </w:p>
    <w:p>
      <w:pPr>
        <w:tabs>
          <w:tab w:pos="9071" w:val="right" w:leader="dot"/>
        </w:tabs>
        <w:spacing w:line="460" w:lineRule="exact" w:after="40"/>
        <w:ind w:firstLine="0"/>
      </w:pPr>
      <w:hyperlink w:anchor="chapter_9">
        <w:r>
          <w:t>第九章 营销与推广策略</w:t>
        </w:r>
      </w:hyperlink>
      <w:r>
        <w:tab/>
      </w:r>
      <w:fldSimple w:instr="PAGEREF chapter_9 \h">
        <w:r>
          <w:t>13</w:t>
        </w:r>
      </w:fldSimple>
    </w:p>
    <w:p>
      <w:pPr>
        <w:tabs>
          <w:tab w:pos="9071" w:val="right" w:leader="dot"/>
        </w:tabs>
        <w:spacing w:line="460" w:lineRule="exact" w:after="40"/>
        <w:ind w:firstLine="0"/>
      </w:pPr>
      <w:hyperlink w:anchor="chapter_10">
        <w:r>
          <w:t>第十章 运营管理与服务质量</w:t>
        </w:r>
      </w:hyperlink>
      <w:r>
        <w:tab/>
      </w:r>
      <w:fldSimple w:instr="PAGEREF chapter_10 \h">
        <w:r>
          <w:t>13</w:t>
        </w:r>
      </w:fldSimple>
    </w:p>
    <w:p>
      <w:pPr>
        <w:tabs>
          <w:tab w:pos="9071" w:val="right" w:leader="dot"/>
        </w:tabs>
        <w:spacing w:line="460" w:lineRule="exact" w:after="40"/>
        <w:ind w:firstLine="0"/>
      </w:pPr>
      <w:hyperlink w:anchor="chapter_11">
        <w:r>
          <w:t>第十一章 社会价值与就业带动</w:t>
        </w:r>
      </w:hyperlink>
      <w:r>
        <w:tab/>
      </w:r>
      <w:fldSimple w:instr="PAGEREF chapter_11 \h">
        <w:r>
          <w:t>14</w:t>
        </w:r>
      </w:fldSimple>
    </w:p>
    <w:p>
      <w:pPr>
        <w:tabs>
          <w:tab w:pos="9071" w:val="right" w:leader="dot"/>
        </w:tabs>
        <w:spacing w:line="460" w:lineRule="exact" w:after="40"/>
        <w:ind w:firstLine="0"/>
      </w:pPr>
      <w:hyperlink w:anchor="chapter_12">
        <w:r>
          <w:t>第十二章 团队与组织管理</w:t>
        </w:r>
      </w:hyperlink>
      <w:r>
        <w:tab/>
      </w:r>
      <w:fldSimple w:instr="PAGEREF chapter_12 \h">
        <w:r>
          <w:t>15</w:t>
        </w:r>
      </w:fldSimple>
    </w:p>
    <w:p>
      <w:pPr>
        <w:tabs>
          <w:tab w:pos="9071" w:val="right" w:leader="dot"/>
        </w:tabs>
        <w:spacing w:line="460" w:lineRule="exact" w:after="40"/>
        <w:ind w:firstLine="0"/>
      </w:pPr>
      <w:hyperlink w:anchor="chapter_13">
        <w:r>
          <w:t>第十三章 专业实践与个人成长</w:t>
        </w:r>
      </w:hyperlink>
      <w:r>
        <w:tab/>
      </w:r>
      <w:fldSimple w:instr="PAGEREF chapter_13 \h">
        <w:r>
          <w:t>16</w:t>
        </w:r>
      </w:fldSimple>
    </w:p>
    <w:p>
      <w:pPr>
        <w:tabs>
          <w:tab w:pos="9071" w:val="right" w:leader="dot"/>
        </w:tabs>
        <w:spacing w:line="460" w:lineRule="exact" w:after="40"/>
        <w:ind w:firstLine="0"/>
      </w:pPr>
      <w:hyperlink w:anchor="chapter_14">
        <w:r>
          <w:t>第十四章 合规方案与知识产权</w:t>
        </w:r>
      </w:hyperlink>
      <w:r>
        <w:tab/>
      </w:r>
      <w:fldSimple w:instr="PAGEREF chapter_14 \h">
        <w:r>
          <w:t>17</w:t>
        </w:r>
      </w:fldSimple>
    </w:p>
    <w:p>
      <w:pPr>
        <w:tabs>
          <w:tab w:pos="9071" w:val="right" w:leader="dot"/>
        </w:tabs>
        <w:spacing w:line="460" w:lineRule="exact" w:after="40"/>
        <w:ind w:firstLine="0"/>
      </w:pPr>
      <w:hyperlink w:anchor="chapter_15">
        <w:r>
          <w:t>第十五章 财务预测与经济可行性</w:t>
        </w:r>
      </w:hyperlink>
      <w:r>
        <w:tab/>
      </w:r>
      <w:fldSimple w:instr="PAGEREF chapter_15 \h">
        <w:r>
          <w:t>19</w:t>
        </w:r>
      </w:fldSimple>
    </w:p>
    <w:p>
      <w:pPr>
        <w:tabs>
          <w:tab w:pos="9071" w:val="right" w:leader="dot"/>
        </w:tabs>
        <w:spacing w:line="460" w:lineRule="exact" w:after="40"/>
        <w:ind w:firstLine="0"/>
      </w:pPr>
      <w:hyperlink w:anchor="chapter_16">
        <w:r>
          <w:t>第十六章 融资方案与资金使用</w:t>
        </w:r>
      </w:hyperlink>
      <w:r>
        <w:tab/>
      </w:r>
      <w:fldSimple w:instr="PAGEREF chapter_16 \h">
        <w:r>
          <w:t>22</w:t>
        </w:r>
      </w:fldSimple>
    </w:p>
    <w:p>
      <w:pPr>
        <w:tabs>
          <w:tab w:pos="9071" w:val="right" w:leader="dot"/>
        </w:tabs>
        <w:spacing w:line="460" w:lineRule="exact" w:after="40"/>
        <w:ind w:firstLine="0"/>
      </w:pPr>
      <w:hyperlink w:anchor="chapter_17">
        <w:r>
          <w:t>第十七章 实施进度与阶段目标</w:t>
        </w:r>
      </w:hyperlink>
      <w:r>
        <w:tab/>
      </w:r>
      <w:fldSimple w:instr="PAGEREF chapter_17 \h">
        <w:r>
          <w:t>23</w:t>
        </w:r>
      </w:fldSimple>
    </w:p>
    <w:p>
      <w:pPr>
        <w:tabs>
          <w:tab w:pos="9071" w:val="right" w:leader="dot"/>
        </w:tabs>
        <w:spacing w:line="460" w:lineRule="exact" w:after="40"/>
        <w:ind w:firstLine="0"/>
      </w:pPr>
      <w:hyperlink w:anchor="chapter_18">
        <w:r>
          <w:t>第十八章 风险分析与应对</w:t>
        </w:r>
      </w:hyperlink>
      <w:r>
        <w:tab/>
      </w:r>
      <w:fldSimple w:instr="PAGEREF chapter_18 \h">
        <w:r>
          <w:t>24</w:t>
        </w:r>
      </w:fldSimple>
    </w:p>
    <w:p>
      <w:pPr>
        <w:tabs>
          <w:tab w:pos="9071" w:val="right" w:leader="dot"/>
        </w:tabs>
        <w:spacing w:line="460" w:lineRule="exact" w:after="40"/>
        <w:ind w:firstLine="0"/>
      </w:pPr>
      <w:hyperlink w:anchor="chapter_19">
        <w:r>
          <w:t>第十九章 中长期发展规划</w:t>
        </w:r>
      </w:hyperlink>
      <w:r>
        <w:tab/>
      </w:r>
      <w:fldSimple w:instr="PAGEREF chapter_19 \h">
        <w:r>
          <w:t>25</w:t>
        </w:r>
      </w:fldSimple>
    </w:p>
    <w:p>
      <w:pPr>
        <w:tabs>
          <w:tab w:pos="9071" w:val="right" w:leader="dot"/>
        </w:tabs>
        <w:spacing w:line="460" w:lineRule="exact" w:after="40"/>
        <w:ind w:firstLine="0"/>
      </w:pPr>
      <w:hyperlink w:anchor="chapter_20">
        <w:r>
          <w:t>第二十章 附件与参赛证明材料</w:t>
        </w:r>
      </w:hyperlink>
      <w:r>
        <w:tab/>
      </w:r>
      <w:fldSimple w:instr="PAGEREF chapter_20 \h">
        <w:r>
          <w:t>26</w:t>
        </w:r>
      </w:fldSimple>
    </w:p>
    <w:p>
      <w:bookmarkStart w:id="101" w:name="chapter_1"/>
      <w:pPr>
        <w:pStyle w:val="Heading1"/>
        <w:pageBreakBefore/>
      </w:pPr>
      <w:r>
        <w:t>第一章 执行摘要</w:t>
      </w:r>
      <w:bookmarkEnd w:id="101"/>
    </w:p>
    <w:p>
      <w:pPr>
        <w:pStyle w:val="Heading2"/>
      </w:pPr>
      <w:r>
        <w:t>项目概述</w:t>
      </w:r>
    </w:p>
    <w:p>
      <w:pPr>
        <w:ind w:firstLine="480"/>
      </w:pPr>
      <w:r>
        <w:rPr>
          <w:b w:val="0"/>
        </w:rPr>
        <w:t>润物细无声源于大学生寻找家教兼职的亲身经历，致力于连接认真教学的大学生与有学习需求的家庭，通过机会匹配和持续反馈，让教员有机会被看见，让家长理解服务过程，让学习者按照自己的节奏成长。</w:t>
      </w:r>
    </w:p>
    <w:p>
      <w:pPr>
        <w:ind w:firstLine="480"/>
      </w:pPr>
      <w:r>
        <w:rPr>
          <w:b w:val="0"/>
        </w:rPr>
        <w:t>现有产品实现四类角色工作台及约课、订单、退款、课堂记录、学习任务、测评和申诉等流程，已完成独立本地环境验收。真实用户增长、教学效果和盈利能力仍需试点证据验证。</w:t>
      </w:r>
    </w:p>
    <w:p>
      <w:pPr>
        <w:pStyle w:val="Heading2"/>
      </w:pPr>
      <w:r>
        <w:t>问题与解决思路</w:t>
      </w:r>
    </w:p>
    <w:p>
      <w:pPr>
        <w:ind w:firstLine="480"/>
      </w:pPr>
      <w:r>
        <w:rPr>
          <w:b w:val="0"/>
        </w:rPr>
        <w:t>项目以真实教员展示回应信息渠道不足，以约课与交易确认明确责任，以课堂和任务记录回应家长对学习过程的关注。需求的普遍性、严重程度和付费意愿将在第三章的调研中验证。</w:t>
      </w:r>
    </w:p>
    <w:p>
      <w:pPr>
        <w:pStyle w:val="Heading2"/>
      </w:pPr>
      <w:r>
        <w:t>阶段成果与落地条件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082"/>
        <w:gridCol w:w="3402"/>
      </w:tblGrid>
      <w:tr>
        <w:trPr>
          <w:cantSplit/>
          <w:tblHeader w:val="true"/>
        </w:trPr>
        <w:tc>
          <w:tcPr>
            <w:tcW w:type="dxa" w:w="170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事项</w:t>
            </w:r>
          </w:p>
        </w:tc>
        <w:tc>
          <w:tcPr>
            <w:tcW w:type="dxa" w:w="408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现有依据</w:t>
            </w:r>
          </w:p>
        </w:tc>
        <w:tc>
          <w:tcPr>
            <w:tcW w:type="dxa" w:w="340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下一步</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产品可运行性</w:t>
            </w:r>
          </w:p>
        </w:tc>
        <w:tc>
          <w:tcPr>
            <w:tcW w:type="dxa" w:w="408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213项后端测试、220项接口检查、33页面双尺寸走查通过</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在独立服务器复验并开展真实使用观察</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交易与权限治理</w:t>
            </w:r>
          </w:p>
        </w:tc>
        <w:tc>
          <w:tcPr>
            <w:tcW w:type="dxa" w:w="408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19项越权拒绝检查；退款预览执行和备注隔离验证</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合规审查及持牌渠道对接</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市场与社会价值</w:t>
            </w:r>
          </w:p>
        </w:tc>
        <w:tc>
          <w:tcPr>
            <w:tcW w:type="dxa" w:w="408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创办动机和完整服务流程已形成</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补充访谈、问卷、试点反馈与就业质量指标</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商业可持续性</w:t>
            </w:r>
          </w:p>
        </w:tc>
        <w:tc>
          <w:tcPr>
            <w:tcW w:type="dxa" w:w="408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收费与运营方案可设计</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确定实际收费、单位经济模型及现金流</w:t>
            </w:r>
          </w:p>
        </w:tc>
      </w:tr>
    </w:tbl>
    <w:p>
      <w:pPr>
        <w:spacing w:line="20" w:lineRule="exact" w:after="80" w:before="0"/>
        <w:ind w:firstLine="0"/>
      </w:pPr>
    </w:p>
    <w:p>
      <w:pPr>
        <w:pStyle w:val="Heading2"/>
      </w:pPr>
      <w:r>
        <w:t>商业模式与资源需求</w:t>
      </w:r>
    </w:p>
    <w:p>
      <w:pPr>
        <w:ind w:firstLine="480"/>
      </w:pPr>
      <w:r>
        <w:rPr>
          <w:b w:val="0"/>
        </w:rPr>
        <w:t>拟在服务合规确认后开展小规模验证，检验按已履约服务收取公开费用的可行性。收费、成本、收入和融资预测留待真实材料确定；真实短信、支付渠道与线上部署仍需外部资源。</w:t>
      </w:r>
    </w:p>
    <w:p>
      <w:pPr>
        <w:keepLines/>
        <w:ind w:firstLine="0"/>
      </w:pPr>
      <w:r>
        <w:rPr>
          <w:b w:val="0"/>
        </w:rPr>
        <w:t>试点地区及首年服务目标：</w:t>
      </w:r>
      <w:r>
        <w:t>＿＿＿＿＿＿＿＿＿＿＿＿＿＿＿＿＿＿＿＿＿＿＿＿</w:t>
      </w:r>
    </w:p>
    <w:p>
      <w:pPr>
        <w:keepLines/>
        <w:ind w:firstLine="0"/>
      </w:pPr>
      <w:r>
        <w:rPr>
          <w:b w:val="0"/>
        </w:rPr>
        <w:t>拟定收费标准：</w:t>
      </w:r>
      <w:r>
        <w:t>＿＿＿＿＿＿＿＿＿＿＿＿＿＿＿＿＿＿＿＿＿＿＿＿＿＿＿＿＿</w:t>
      </w:r>
    </w:p>
    <w:p>
      <w:pPr>
        <w:keepLines/>
        <w:ind w:firstLine="0"/>
      </w:pPr>
      <w:r>
        <w:rPr>
          <w:b w:val="0"/>
        </w:rPr>
        <w:t>资金需求与预期财务结果：</w:t>
      </w:r>
      <w:r>
        <w:t>＿＿＿＿＿＿＿＿＿＿＿＿＿＿＿＿＿＿＿＿＿＿＿＿</w:t>
      </w:r>
    </w:p>
    <w:p>
      <w:bookmarkStart w:id="102" w:name="chapter_2"/>
      <w:pPr>
        <w:pStyle w:val="Heading1"/>
        <w:pageBreakBefore/>
      </w:pPr>
      <w:r>
        <w:t>第二章 项目背景与创办初衷</w:t>
      </w:r>
      <w:bookmarkEnd w:id="102"/>
    </w:p>
    <w:p>
      <w:pPr>
        <w:pStyle w:val="Heading2"/>
      </w:pPr>
      <w:r>
        <w:t>创办初衷</w:t>
      </w:r>
    </w:p>
    <w:p>
      <w:pPr>
        <w:ind w:firstLine="480"/>
      </w:pPr>
      <w:r>
        <w:rPr>
          <w:b w:val="0"/>
        </w:rPr>
        <w:t>在大一下学期的时候，由于家庭经济条件有限，我开始尝试通过兼职来减轻生活上的经济负担。</w:t>
      </w:r>
    </w:p>
    <w:p>
      <w:pPr>
        <w:ind w:firstLine="480"/>
      </w:pPr>
      <w:r>
        <w:rPr>
          <w:b w:val="0"/>
        </w:rPr>
        <w:t>当时，我想到了家教。对于一名大学生而言，家教不仅能够发挥自己所学的知识，也是一种相对灵活的兼职方式。</w:t>
      </w:r>
    </w:p>
    <w:p>
      <w:pPr>
        <w:ind w:firstLine="480"/>
      </w:pPr>
      <w:r>
        <w:rPr>
          <w:b w:val="0"/>
        </w:rPr>
        <w:t>然而，真正开始寻找家教机会时，我才发现，事情远没有想象中那么简单。</w:t>
      </w:r>
    </w:p>
    <w:p>
      <w:pPr>
        <w:ind w:firstLine="480"/>
      </w:pPr>
      <w:r>
        <w:rPr>
          <w:b w:val="0"/>
        </w:rPr>
        <w:t>对于没有人脉、没有资源的普通大学生来说，想要找到一份合适的家教工作并不容易。可靠的信息渠道有限，一些中介机构还会收取信息服务费用，而支付了费用，也未必意味着能够顺利获得工作机会。更让我担忧的是，在缺乏有效保障的情况下，个人信息、资金交易乃至双方的合法权益，都可能面临风险。</w:t>
      </w:r>
    </w:p>
    <w:p>
      <w:pPr>
        <w:ind w:firstLine="480"/>
      </w:pPr>
      <w:r>
        <w:rPr>
          <w:b w:val="0"/>
        </w:rPr>
        <w:t>那时，我开始思考一个问题：</w:t>
      </w:r>
    </w:p>
    <w:p>
      <w:pPr>
        <w:ind w:firstLine="480"/>
      </w:pPr>
      <w:r>
        <w:rPr>
          <w:b/>
        </w:rPr>
        <w:t>为什么一个愿意认真教学的大学生，想要获得一份家教机会，会如此困难？</w:t>
      </w:r>
    </w:p>
    <w:p>
      <w:pPr>
        <w:ind w:firstLine="480"/>
      </w:pPr>
      <w:r>
        <w:rPr>
          <w:b w:val="0"/>
        </w:rPr>
        <w:t>后来，我又逐渐意识到，困难并不只存在于大学生这一端。</w:t>
      </w:r>
    </w:p>
    <w:p>
      <w:pPr>
        <w:ind w:firstLine="480"/>
      </w:pPr>
      <w:r>
        <w:rPr>
          <w:b w:val="0"/>
        </w:rPr>
        <w:t>对于家长而言，寻找一位合适、负责、值得信任的家教老师，同样不是一件容易的事。即使顺利开始补课，家长也未必能够清楚地了解孩子每一阶段学到了什么、哪些问题得到了解决、又取得了怎样的进步。</w:t>
      </w:r>
    </w:p>
    <w:p>
      <w:pPr>
        <w:ind w:firstLine="480"/>
      </w:pPr>
      <w:r>
        <w:rPr>
          <w:b w:val="0"/>
        </w:rPr>
        <w:t>于是，一个想法慢慢在我心中形成。</w:t>
      </w:r>
    </w:p>
    <w:p>
      <w:pPr>
        <w:ind w:firstLine="480"/>
      </w:pPr>
      <w:r>
        <w:rPr>
          <w:b/>
        </w:rPr>
        <w:t>能不能建立这样一个平台？</w:t>
      </w:r>
    </w:p>
    <w:p>
      <w:pPr>
        <w:ind w:firstLine="480"/>
      </w:pPr>
      <w:r>
        <w:rPr>
          <w:b w:val="0"/>
        </w:rPr>
        <w:t>让有能力、有责任心的大学生，不必因为缺少渠道而失去展示自己的机会；让有需求的家长，能够更加方便、透明地寻找适合孩子的老师；让每一次约课、授课、支付与反馈，都有清晰的流程和相应的保障。</w:t>
      </w:r>
    </w:p>
    <w:p>
      <w:pPr>
        <w:ind w:firstLine="480"/>
      </w:pPr>
      <w:r>
        <w:rPr>
          <w:b w:val="0"/>
        </w:rPr>
        <w:t>更重要的是，我希望家教不再只是一次简单的知识交易。</w:t>
      </w:r>
    </w:p>
    <w:p>
      <w:pPr>
        <w:ind w:firstLine="480"/>
      </w:pPr>
      <w:r>
        <w:rPr>
          <w:b w:val="0"/>
        </w:rPr>
        <w:t>老师能够认真了解每一个孩子的学习情况，家长能够看见孩子一点一滴的变化，而孩子也能够按照自己的节奏，在循序渐进的引导中建立信心、获得成长。</w:t>
      </w:r>
    </w:p>
    <w:p>
      <w:pPr>
        <w:ind w:firstLine="480"/>
      </w:pPr>
      <w:r>
        <w:rPr>
          <w:b w:val="0"/>
        </w:rPr>
        <w:t>这便是我萌生创办这个平台想法的原因。</w:t>
      </w:r>
    </w:p>
    <w:p>
      <w:pPr>
        <w:ind w:firstLine="480"/>
      </w:pPr>
      <w:r>
        <w:rPr>
          <w:b w:val="0"/>
        </w:rPr>
        <w:t>它最初源于一个普通大学生想要通过自己的努力减轻家庭负担的愿望，却也承载着我后来逐渐坚定的期待：</w:t>
      </w:r>
    </w:p>
    <w:p>
      <w:pPr>
        <w:ind w:firstLine="480"/>
      </w:pPr>
      <w:r>
        <w:rPr>
          <w:b/>
        </w:rPr>
        <w:t>让认真付出的教员有机会被看见，让每一份托付都得到认真回应，让教育的每一点进步都有迹可循。</w:t>
      </w:r>
    </w:p>
    <w:p>
      <w:pPr>
        <w:pStyle w:val="Heading2"/>
      </w:pPr>
      <w:r>
        <w:t>项目使命与服务原则</w:t>
      </w:r>
    </w:p>
    <w:p>
      <w:pPr>
        <w:ind w:firstLine="480"/>
      </w:pPr>
      <w:r>
        <w:rPr>
          <w:b w:val="0"/>
        </w:rPr>
        <w:t>项目将机会公平、服务透明和学习过程可见作为产品设计原则。教员能够凭真实资料与持续教学记录建立可信形象；家长能够了解课程目标、约课状态和反馈；学习者能够在阶段目标和具体任务中看见自己的变化。平台应保护个人信息，明确各方责任，不以保证提分或保证获得工作替代实际服务。</w:t>
      </w:r>
    </w:p>
    <w:p>
      <w:pPr>
        <w:pStyle w:val="Heading2"/>
      </w:pPr>
      <w:r>
        <w:t>问题来源与发展记录</w:t>
      </w:r>
    </w:p>
    <w:p>
      <w:pPr>
        <w:keepLines/>
        <w:ind w:firstLine="0"/>
      </w:pPr>
      <w:r>
        <w:rPr>
          <w:b w:val="0"/>
        </w:rPr>
        <w:t>创办经历发生时间及相关材料：</w:t>
      </w:r>
      <w:r>
        <w:t>＿＿＿＿＿＿＿＿＿＿＿＿＿＿＿＿＿＿＿＿＿＿</w:t>
      </w:r>
    </w:p>
    <w:p>
      <w:pPr>
        <w:keepLines/>
        <w:ind w:firstLine="0"/>
      </w:pPr>
      <w:r>
        <w:rPr>
          <w:b w:val="0"/>
        </w:rPr>
        <w:t>项目立项时间：</w:t>
      </w:r>
      <w:r>
        <w:t>＿＿＿＿＿＿＿＿＿＿＿＿＿＿＿＿＿＿＿＿＿＿＿＿＿＿＿＿＿</w:t>
      </w:r>
    </w:p>
    <w:p>
      <w:pPr>
        <w:keepLines/>
        <w:ind w:firstLine="0"/>
      </w:pPr>
      <w:r>
        <w:rPr>
          <w:b w:val="0"/>
        </w:rPr>
        <w:t>重要版本和人员贡献记录：</w:t>
      </w:r>
      <w:r>
        <w:t>＿＿＿＿＿＿＿＿＿＿＿＿＿＿＿＿＿＿＿＿＿＿＿＿</w:t>
      </w:r>
    </w:p>
    <w:p>
      <w:bookmarkStart w:id="103" w:name="chapter_3"/>
      <w:pPr>
        <w:pStyle w:val="Heading1"/>
        <w:pageBreakBefore w:val="0"/>
      </w:pPr>
      <w:r>
        <w:t>第三章 需求与市场分析</w:t>
      </w:r>
      <w:bookmarkEnd w:id="103"/>
    </w:p>
    <w:p>
      <w:pPr>
        <w:pStyle w:val="Heading2"/>
      </w:pPr>
      <w:r>
        <w:t>目标用户和需求假设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685"/>
        <w:gridCol w:w="4025"/>
      </w:tblGrid>
      <w:tr>
        <w:trPr>
          <w:cantSplit/>
          <w:tblHeader w:val="true"/>
        </w:trPr>
        <w:tc>
          <w:tcPr>
            <w:tcW w:type="dxa" w:w="147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用户</w:t>
            </w:r>
          </w:p>
        </w:tc>
        <w:tc>
          <w:tcPr>
            <w:tcW w:type="dxa" w:w="368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需要解决的问题</w:t>
            </w:r>
          </w:p>
        </w:tc>
        <w:tc>
          <w:tcPr>
            <w:tcW w:type="dxa" w:w="402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需要验证的证据</w:t>
            </w:r>
          </w:p>
        </w:tc>
      </w:tr>
      <w:tr>
        <w:trPr>
          <w:cantSplit/>
        </w:trPr>
        <w:tc>
          <w:tcPr>
            <w:tcW w:type="dxa" w:w="147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大学生教员</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可靠机会、资料展示、明确报酬和工作安排</w:t>
            </w:r>
          </w:p>
        </w:tc>
        <w:tc>
          <w:tcPr>
            <w:tcW w:type="dxa" w:w="402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求职经历访谈、渠道成本、机会转化和收入到账情况</w:t>
            </w:r>
          </w:p>
        </w:tc>
      </w:tr>
      <w:tr>
        <w:trPr>
          <w:cantSplit/>
        </w:trPr>
        <w:tc>
          <w:tcPr>
            <w:tcW w:type="dxa" w:w="147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学习者家庭</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教员适配、费用透明、过程反馈和纠纷处理</w:t>
            </w:r>
          </w:p>
        </w:tc>
        <w:tc>
          <w:tcPr>
            <w:tcW w:type="dxa" w:w="402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家长访谈、选择标准、付费意愿与投诉经历</w:t>
            </w:r>
          </w:p>
        </w:tc>
      </w:tr>
      <w:tr>
        <w:trPr>
          <w:cantSplit/>
        </w:trPr>
        <w:tc>
          <w:tcPr>
            <w:tcW w:type="dxa" w:w="147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学习者</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适合的学习节奏、具体任务和及时反馈</w:t>
            </w:r>
          </w:p>
        </w:tc>
        <w:tc>
          <w:tcPr>
            <w:tcW w:type="dxa" w:w="402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在监护与授权下的使用观察及阶段学习记录</w:t>
            </w:r>
          </w:p>
        </w:tc>
      </w:tr>
      <w:tr>
        <w:trPr>
          <w:cantSplit/>
        </w:trPr>
        <w:tc>
          <w:tcPr>
            <w:tcW w:type="dxa" w:w="147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运营与合作方</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准入审核、质量追踪、异常处理和审计</w:t>
            </w:r>
          </w:p>
        </w:tc>
        <w:tc>
          <w:tcPr>
            <w:tcW w:type="dxa" w:w="402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管理工作量、服务规则和合规访谈</w:t>
            </w:r>
          </w:p>
        </w:tc>
      </w:tr>
    </w:tbl>
    <w:p>
      <w:pPr>
        <w:spacing w:line="20" w:lineRule="exact" w:after="80" w:before="0"/>
        <w:ind w:firstLine="0"/>
      </w:pPr>
    </w:p>
    <w:p>
      <w:pPr>
        <w:ind w:firstLine="480"/>
      </w:pPr>
      <w:r>
        <w:rPr>
          <w:b w:val="0"/>
        </w:rPr>
        <w:t>初期拟限定一个地区或高校周边的可管理范围，围绕经过合规确认的服务内容组织小规模验证。具体城市、院校、学段和学科范围尚未确认，不能把全国在校生或家庭数量直接当作本项目可服务市场。</w:t>
      </w:r>
    </w:p>
    <w:p>
      <w:pPr>
        <w:keepLines/>
        <w:ind w:firstLine="0"/>
      </w:pPr>
      <w:r>
        <w:rPr>
          <w:b w:val="0"/>
        </w:rPr>
        <w:t>首个目标地区：</w:t>
      </w:r>
      <w:r>
        <w:t>＿＿＿＿＿＿＿＿＿＿＿＿＿＿＿＿＿＿＿＿＿＿＿＿＿＿＿＿＿</w:t>
      </w:r>
    </w:p>
    <w:p>
      <w:pPr>
        <w:keepLines/>
        <w:ind w:firstLine="0"/>
      </w:pPr>
      <w:r>
        <w:rPr>
          <w:b w:val="0"/>
        </w:rPr>
        <w:t>首批教员来源：</w:t>
      </w:r>
      <w:r>
        <w:t>＿＿＿＿＿＿＿＿＿＿＿＿＿＿＿＿＿＿＿＿＿＿＿＿＿＿＿＿＿</w:t>
      </w:r>
    </w:p>
    <w:p>
      <w:pPr>
        <w:keepLines/>
        <w:ind w:firstLine="0"/>
      </w:pPr>
      <w:r>
        <w:rPr>
          <w:b w:val="0"/>
        </w:rPr>
        <w:t>允许服务的年龄及内容范围：</w:t>
      </w:r>
      <w:r>
        <w:t>＿＿＿＿＿＿＿＿＿＿＿＿＿＿＿＿＿＿＿＿＿＿＿</w:t>
      </w:r>
    </w:p>
    <w:p>
      <w:pPr>
        <w:pStyle w:val="Heading2"/>
      </w:pPr>
      <w:r>
        <w:t>行业环境和市场容量</w:t>
      </w:r>
    </w:p>
    <w:p>
      <w:pPr>
        <w:ind w:firstLine="480"/>
      </w:pPr>
      <w:r>
        <w:rPr>
          <w:b w:val="0"/>
        </w:rPr>
        <w:t>市场容量采用由具体地区、可服务人群和实际付费行为逐层估计的方法。总体潜在需求、团队可覆盖需求和试点可获得需求分别测算；使用公开统计时记录发布机构、年份、区域与统计口径。学科类培训的政策限制先于交易规模测算，不能将不具备经营条件的需求计入可服务收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701"/>
        <w:gridCol w:w="4082"/>
      </w:tblGrid>
      <w:tr>
        <w:trPr>
          <w:cantSplit/>
          <w:tblHeader w:val="true"/>
        </w:trPr>
        <w:tc>
          <w:tcPr>
            <w:tcW w:type="dxa" w:w="340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指标</w:t>
            </w:r>
          </w:p>
        </w:tc>
        <w:tc>
          <w:tcPr>
            <w:tcW w:type="dxa" w:w="170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数值</w:t>
            </w:r>
          </w:p>
        </w:tc>
        <w:tc>
          <w:tcPr>
            <w:tcW w:type="dxa" w:w="408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统计口径和来源</w:t>
            </w:r>
          </w:p>
        </w:tc>
      </w:tr>
      <w:tr>
        <w:trPr>
          <w:cantSplit/>
        </w:trPr>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目标地区学习者或家庭数量</w:t>
            </w:r>
          </w:p>
        </w:tc>
        <w:tc>
          <w:tcPr>
            <w:tcW w:type="dxa" w:w="170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4082"/>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符合服务范围的家庭数量</w:t>
            </w:r>
          </w:p>
        </w:tc>
        <w:tc>
          <w:tcPr>
            <w:tcW w:type="dxa" w:w="170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4082"/>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目标高校教员候选数量</w:t>
            </w:r>
          </w:p>
        </w:tc>
        <w:tc>
          <w:tcPr>
            <w:tcW w:type="dxa" w:w="170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4082"/>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实际需求比例</w:t>
            </w:r>
          </w:p>
        </w:tc>
        <w:tc>
          <w:tcPr>
            <w:tcW w:type="dxa" w:w="170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4082"/>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可接受课时费用</w:t>
            </w:r>
          </w:p>
        </w:tc>
        <w:tc>
          <w:tcPr>
            <w:tcW w:type="dxa" w:w="170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4082"/>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预计年度服务次数</w:t>
            </w:r>
          </w:p>
        </w:tc>
        <w:tc>
          <w:tcPr>
            <w:tcW w:type="dxa" w:w="170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4082"/>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可服务市场规模</w:t>
            </w:r>
          </w:p>
        </w:tc>
        <w:tc>
          <w:tcPr>
            <w:tcW w:type="dxa" w:w="170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4082"/>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首年可获得市场规模</w:t>
            </w:r>
          </w:p>
        </w:tc>
        <w:tc>
          <w:tcPr>
            <w:tcW w:type="dxa" w:w="170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4082"/>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一手调研设计与结果</w:t>
      </w:r>
    </w:p>
    <w:p>
      <w:pPr>
        <w:ind w:firstLine="480"/>
      </w:pPr>
      <w:r>
        <w:rPr>
          <w:b w:val="0"/>
        </w:rPr>
        <w:t>拟开展教员、家长、学习者和相关运营人员访谈，并用问卷验证共同问题。访谈重点是上一次找家教或找学生的完整经历、选择依据、支付风险、课后反馈和退出原因；问卷记录有效样本、地域、招募方式与重复样本剔除方法。未成年人参与调研前应取得适当授权，避免索取不必要的敏感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5783"/>
      </w:tblGrid>
      <w:tr>
        <w:trPr>
          <w:cantSplit/>
          <w:tblHeader w:val="true"/>
        </w:trPr>
        <w:tc>
          <w:tcPr>
            <w:tcW w:type="dxa" w:w="340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调研项目</w:t>
            </w:r>
          </w:p>
        </w:tc>
        <w:tc>
          <w:tcPr>
            <w:tcW w:type="dxa" w:w="5783"/>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实际记录</w:t>
            </w:r>
          </w:p>
        </w:tc>
      </w:tr>
      <w:tr>
        <w:trPr>
          <w:cantSplit/>
        </w:trPr>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调研时间和地点</w:t>
            </w:r>
          </w:p>
        </w:tc>
        <w:tc>
          <w:tcPr>
            <w:tcW w:type="dxa" w:w="5783"/>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调研方法及招募方式</w:t>
            </w:r>
          </w:p>
        </w:tc>
        <w:tc>
          <w:tcPr>
            <w:tcW w:type="dxa" w:w="5783"/>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访谈人数和受访者类型</w:t>
            </w:r>
          </w:p>
        </w:tc>
        <w:tc>
          <w:tcPr>
            <w:tcW w:type="dxa" w:w="5783"/>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问卷发放数和有效数</w:t>
            </w:r>
          </w:p>
        </w:tc>
        <w:tc>
          <w:tcPr>
            <w:tcW w:type="dxa" w:w="5783"/>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样本结构及偏差说明</w:t>
            </w:r>
          </w:p>
        </w:tc>
        <w:tc>
          <w:tcPr>
            <w:tcW w:type="dxa" w:w="5783"/>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主要发现与反例</w:t>
            </w:r>
          </w:p>
        </w:tc>
        <w:tc>
          <w:tcPr>
            <w:tcW w:type="dxa" w:w="5783"/>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原始记录或附件编号</w:t>
            </w:r>
          </w:p>
        </w:tc>
        <w:tc>
          <w:tcPr>
            <w:tcW w:type="dxa" w:w="5783"/>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ind w:firstLine="480"/>
      </w:pPr>
      <w:r>
        <w:rPr>
          <w:b w:val="0"/>
        </w:rPr>
        <w:t>访谈记录、统计结果与用户意愿材料在形成后填入附件。创办人的个人经历不能代替完整市场调查，原型测试账户也不能作为真实客户样本。</w:t>
      </w:r>
    </w:p>
    <w:p>
      <w:bookmarkStart w:id="104" w:name="chapter_4"/>
      <w:pPr>
        <w:pStyle w:val="Heading1"/>
        <w:pageBreakBefore w:val="0"/>
      </w:pPr>
      <w:r>
        <w:t>第四章 竞争分析与项目定位</w:t>
      </w:r>
      <w:bookmarkEnd w:id="104"/>
    </w:p>
    <w:p>
      <w:pPr>
        <w:pStyle w:val="Heading2"/>
      </w:pPr>
      <w:r>
        <w:t>可比较的产品和服务类型</w:t>
      </w:r>
    </w:p>
    <w:p>
      <w:pPr>
        <w:ind w:firstLine="480"/>
      </w:pPr>
      <w:r>
        <w:rPr>
          <w:b w:val="0"/>
        </w:rPr>
        <w:t>竞争对象包括教学机会中介、线上教师匹配平台、教学管理软件与互动课堂工具。Preply提供线上教员发现和语言学习服务；Moodle是可部署的开源学习管理系统；ClassIn提供互动课堂和教学管理工具。这些产品对应不同价值环节，不能据此认定其用户人群、经营许可或服务范围与本项目完全相同。[6][7][8]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402"/>
        <w:gridCol w:w="4082"/>
      </w:tblGrid>
      <w:tr>
        <w:trPr>
          <w:cantSplit/>
          <w:tblHeader w:val="true"/>
        </w:trPr>
        <w:tc>
          <w:tcPr>
            <w:tcW w:type="dxa" w:w="170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参照对象</w:t>
            </w:r>
          </w:p>
        </w:tc>
        <w:tc>
          <w:tcPr>
            <w:tcW w:type="dxa" w:w="340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公开定位</w:t>
            </w:r>
          </w:p>
        </w:tc>
        <w:tc>
          <w:tcPr>
            <w:tcW w:type="dxa" w:w="408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本项目的比较重点</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Preply</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线上教员匹配和语言学习</w:t>
            </w:r>
          </w:p>
        </w:tc>
        <w:tc>
          <w:tcPr>
            <w:tcW w:type="dxa" w:w="408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供需匹配、教员展示及持续学习体验</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Moodle</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开源学习管理系统</w:t>
            </w:r>
          </w:p>
        </w:tc>
        <w:tc>
          <w:tcPr>
            <w:tcW w:type="dxa" w:w="408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课程、作业、测评和学习记录的组织方式</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ClassIn</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互动课堂和教学管理工具</w:t>
            </w:r>
          </w:p>
        </w:tc>
        <w:tc>
          <w:tcPr>
            <w:tcW w:type="dxa" w:w="408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课堂协作、教学管理；本项目尚无内置音视频</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本地中介或高校渠道</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具体对象待填写</w:t>
            </w:r>
          </w:p>
        </w:tc>
        <w:tc>
          <w:tcPr>
            <w:tcW w:type="dxa" w:w="408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渠道费用、信息真实性、责任及履约反馈</w:t>
            </w:r>
          </w:p>
        </w:tc>
      </w:tr>
    </w:tbl>
    <w:p>
      <w:pPr>
        <w:spacing w:line="20" w:lineRule="exact" w:after="80" w:before="0"/>
        <w:ind w:firstLine="0"/>
      </w:pPr>
    </w:p>
    <w:p>
      <w:pPr>
        <w:pStyle w:val="Heading2"/>
      </w:pPr>
      <w:r>
        <w:t>定位与差异化假设</w:t>
      </w:r>
    </w:p>
    <w:p>
      <w:pPr>
        <w:ind w:firstLine="480"/>
      </w:pPr>
      <w:r>
        <w:rPr>
          <w:b w:val="0"/>
        </w:rPr>
        <w:t>润物细无声拟围绕大学生教员机会与家庭学习过程的连续关系组织服务：找老师后继续记录约课、课堂、任务和家长反馈。拟形成的差异是服务人群与流程治理的一体化，而不是声称检索、支付、作业或测评功能本身在行业中首创。差异化能否成立，应由目标人群访谈、对照使用和真实留存验证。</w:t>
      </w:r>
    </w:p>
    <w:p>
      <w:pPr>
        <w:ind w:firstLine="480"/>
      </w:pPr>
      <w:r>
        <w:rPr>
          <w:b w:val="0"/>
        </w:rPr>
        <w:t>成熟平台拥有品牌、用户规模、教学资源或课堂技术优势。本项目现阶段的优势是可调整的本地原型和较完整的流程；弱项是真实获客、教员质量控制、合规资源及线上服务保障。上述优势不等于已建立不可复制的技术壁垒。</w:t>
      </w:r>
    </w:p>
    <w:p>
      <w:pPr>
        <w:pStyle w:val="Heading2"/>
      </w:pPr>
      <w:r>
        <w:t>竞品实测记录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041"/>
        <w:gridCol w:w="3061"/>
        <w:gridCol w:w="2381"/>
      </w:tblGrid>
      <w:tr>
        <w:trPr>
          <w:cantSplit/>
          <w:tblHeader w:val="true"/>
        </w:trPr>
        <w:tc>
          <w:tcPr>
            <w:tcW w:type="dxa" w:w="170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实测对象</w:t>
            </w:r>
          </w:p>
        </w:tc>
        <w:tc>
          <w:tcPr>
            <w:tcW w:type="dxa" w:w="204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版本和日期</w:t>
            </w:r>
          </w:p>
        </w:tc>
        <w:tc>
          <w:tcPr>
            <w:tcW w:type="dxa" w:w="306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费用与服务体验</w:t>
            </w:r>
          </w:p>
        </w:tc>
        <w:tc>
          <w:tcPr>
            <w:tcW w:type="dxa" w:w="238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原始依据</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306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306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306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访谈确认的用户选择原因：</w:t>
      </w:r>
      <w:r>
        <w:t>＿＿＿＿＿＿＿＿＿＿＿＿＿＿＿＿＿＿＿＿＿＿＿＿</w:t>
      </w:r>
    </w:p>
    <w:p>
      <w:pPr>
        <w:keepLines/>
        <w:ind w:firstLine="0"/>
      </w:pPr>
      <w:r>
        <w:rPr>
          <w:b w:val="0"/>
        </w:rPr>
        <w:t>试点后形成的可验证竞争优势：</w:t>
      </w:r>
      <w:r>
        <w:t>＿＿＿＿＿＿＿＿＿＿＿＿＿＿＿＿＿＿＿＿＿＿</w:t>
      </w:r>
    </w:p>
    <w:p>
      <w:bookmarkStart w:id="105" w:name="chapter_5"/>
      <w:pPr>
        <w:pStyle w:val="Heading1"/>
        <w:pageBreakBefore w:val="0"/>
      </w:pPr>
      <w:r>
        <w:t>第五章 产品与服务方案</w:t>
      </w:r>
      <w:bookmarkEnd w:id="105"/>
    </w:p>
    <w:p>
      <w:pPr>
        <w:pStyle w:val="Heading2"/>
      </w:pPr>
      <w:r>
        <w:t>四类用户的服务分工</w:t>
      </w:r>
    </w:p>
    <w:p>
      <w:pPr>
        <w:ind w:firstLine="480"/>
      </w:pPr>
      <w:r>
        <w:rPr>
          <w:b w:val="0"/>
        </w:rPr>
        <w:t>学生端表达学习需求、检索教师、管理课程和学习任务；教员端维护资料、档期和定价，审核预约并记录教学反馈；家长端通过有效监护绑定查看学习过程和家庭订单；运营端处理资质、账户、异常交易与申诉。角色之间使用明确的授权关系，教师内部备忘与学生公开反馈分别管理。</w:t>
      </w:r>
    </w:p>
    <w:p>
      <w:pPr>
        <w:pStyle w:val="Heading2"/>
      </w:pPr>
      <w:r>
        <w:t>现有功能与用户价值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798"/>
        <w:gridCol w:w="3685"/>
      </w:tblGrid>
      <w:tr>
        <w:trPr>
          <w:cantSplit/>
          <w:tblHeader w:val="true"/>
        </w:trPr>
        <w:tc>
          <w:tcPr>
            <w:tcW w:type="dxa" w:w="170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功能</w:t>
            </w:r>
          </w:p>
        </w:tc>
        <w:tc>
          <w:tcPr>
            <w:tcW w:type="dxa" w:w="379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已经实现的行为</w:t>
            </w:r>
          </w:p>
        </w:tc>
        <w:tc>
          <w:tcPr>
            <w:tcW w:type="dxa" w:w="368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解决的具体问题</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教员展示与发现</w:t>
            </w:r>
          </w:p>
        </w:tc>
        <w:tc>
          <w:tcPr>
            <w:tcW w:type="dxa" w:w="379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资料、公开详情、科目检索、收藏、最多三人对比</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让教员有可展示的服务信息，让家庭比较适配条件</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档期与约课</w:t>
            </w:r>
          </w:p>
        </w:tc>
        <w:tc>
          <w:tcPr>
            <w:tcW w:type="dxa" w:w="379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可用档期、审批、改期、取消预览与确认</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降低安排冲突，明确变更影响</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监护授权</w:t>
            </w:r>
          </w:p>
        </w:tc>
        <w:tc>
          <w:tcPr>
            <w:tcW w:type="dxa" w:w="379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家长申请、学生确认、有效绑定后授权</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避免以家长身份访问无关学习者信息</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订单与争议处理</w:t>
            </w:r>
          </w:p>
        </w:tc>
        <w:tc>
          <w:tcPr>
            <w:tcW w:type="dxa" w:w="379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订单、演示支付、线下确认、全额退款预览执行</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记录交易过程与处理依据</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课堂履约</w:t>
            </w:r>
          </w:p>
        </w:tc>
        <w:tc>
          <w:tcPr>
            <w:tcW w:type="dxa" w:w="379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课前任务、外部会议链接、开始结课及课堂记录</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把约课与授课事实联系起来</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学习过程</w:t>
            </w:r>
          </w:p>
        </w:tc>
        <w:tc>
          <w:tcPr>
            <w:tcW w:type="dxa" w:w="379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阶段目标、计划、任务提交和教师反馈</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让短期任务与长期目标关联</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资料和作业</w:t>
            </w:r>
          </w:p>
        </w:tc>
        <w:tc>
          <w:tcPr>
            <w:tcW w:type="dxa" w:w="379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资料附件、错题、复习任务和存储容量反馈</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持续保存学习问题与教师反馈</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测评与报告</w:t>
            </w:r>
          </w:p>
        </w:tc>
        <w:tc>
          <w:tcPr>
            <w:tcW w:type="dxa" w:w="379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客观题测评、评分、教师批注和家长查看</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呈现具体作答结果，不虚构掌握度</w:t>
            </w:r>
          </w:p>
        </w:tc>
      </w:tr>
      <w:tr>
        <w:trPr>
          <w:cantSplit/>
        </w:trPr>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沟通与通知</w:t>
            </w:r>
          </w:p>
        </w:tc>
        <w:tc>
          <w:tcPr>
            <w:tcW w:type="dxa" w:w="379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课前咨询、私有附件、站内通知</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保留必要沟通并提示服务状态</w:t>
            </w:r>
          </w:p>
        </w:tc>
      </w:tr>
      <w:tr>
        <w:trPr>
          <w:cantSplit/>
        </w:trPr>
        <w:tc>
          <w:tcPr>
            <w:tcW w:type="dxa" w:w="170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客服与治理</w:t>
            </w:r>
          </w:p>
        </w:tc>
        <w:tc>
          <w:tcPr>
            <w:tcW w:type="dxa" w:w="379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关联课程工单、证据、回复、办结和审计</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形成异常处理路径和责任记录</w:t>
            </w:r>
          </w:p>
        </w:tc>
      </w:tr>
    </w:tbl>
    <w:p>
      <w:pPr>
        <w:spacing w:line="20" w:lineRule="exact" w:after="80" w:before="0"/>
        <w:ind w:firstLine="0"/>
      </w:pPr>
    </w:p>
    <w:p>
      <w:pPr>
        <w:pStyle w:val="Heading2"/>
      </w:pPr>
      <w:r>
        <w:t>完整服务旅程</w:t>
      </w:r>
    </w:p>
    <w:p>
      <w:pPr>
        <w:ind w:firstLine="480"/>
      </w:pPr>
      <w:r>
        <w:rPr>
          <w:b w:val="0"/>
        </w:rPr>
        <w:t>需求填写 → 教员检索与比较 → 档期预约和教师审批 → 监护授权与订单确认 → 授课与课堂记录 → 任务提交和反馈 → 周报查看或问题申诉。每一步均应让用户理解当前状态、下一步动作及可能影响。</w:t>
      </w:r>
    </w:p>
    <w:p>
      <w:pPr>
        <w:ind w:firstLine="480"/>
      </w:pPr>
      <w:r>
        <w:rPr>
          <w:b w:val="0"/>
        </w:rPr>
        <w:t>现有取消、退款使用先预览再确认的流程，预览不直接改变资金。实际课堂使用外部会议链接，平台不提供自研音视频。支付与充值演示只证明状态流程可运行，不证明真实资金托管、第三方担保或真实渠道已开通。</w:t>
      </w:r>
    </w:p>
    <w:p>
      <w:pPr>
        <w:pStyle w:val="Heading2"/>
      </w:pPr>
      <w:r>
        <w:t>服务内容和收费公示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324"/>
        <w:gridCol w:w="2268"/>
        <w:gridCol w:w="2324"/>
      </w:tblGrid>
      <w:tr>
        <w:trPr>
          <w:cantSplit/>
          <w:tblHeader w:val="true"/>
        </w:trPr>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服务内容</w:t>
            </w:r>
          </w:p>
        </w:tc>
        <w:tc>
          <w:tcPr>
            <w:tcW w:type="dxa" w:w="232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适用人群及范围</w:t>
            </w:r>
          </w:p>
        </w:tc>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标准与价格</w:t>
            </w:r>
          </w:p>
        </w:tc>
        <w:tc>
          <w:tcPr>
            <w:tcW w:type="dxa" w:w="232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责任及退款条件</w:t>
            </w:r>
          </w:p>
        </w:tc>
      </w:tr>
      <w:tr>
        <w:trPr>
          <w:cantSplit/>
        </w:trPr>
        <w:tc>
          <w:tcPr>
            <w:tcW w:type="dxa" w:w="226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26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26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正式服务协议及版本：</w:t>
      </w:r>
      <w:r>
        <w:t>＿＿＿＿＿＿＿＿＿＿＿＿＿＿＿＿＿＿＿＿＿＿＿＿＿＿</w:t>
      </w:r>
    </w:p>
    <w:p>
      <w:pPr>
        <w:keepLines/>
        <w:ind w:firstLine="0"/>
      </w:pPr>
      <w:r>
        <w:rPr>
          <w:b w:val="0"/>
        </w:rPr>
        <w:t>服务责任主体：</w:t>
      </w:r>
      <w:r>
        <w:t>＿＿＿＿＿＿＿＿＿＿＿＿＿＿＿＿＿＿＿＿＿＿＿＿＿＿＿＿＿</w:t>
      </w:r>
    </w:p>
    <w:p>
      <w:bookmarkStart w:id="106" w:name="chapter_6"/>
      <w:pPr>
        <w:pStyle w:val="Heading1"/>
        <w:pageBreakBefore w:val="0"/>
      </w:pPr>
      <w:r>
        <w:t>第六章 技术方案与创新特点</w:t>
      </w:r>
      <w:bookmarkEnd w:id="106"/>
    </w:p>
    <w:p>
      <w:pPr>
        <w:pStyle w:val="Heading2"/>
      </w:pPr>
      <w:r>
        <w:t>技术实现</w:t>
      </w:r>
    </w:p>
    <w:p>
      <w:pPr>
        <w:ind w:firstLine="480"/>
      </w:pPr>
      <w:r>
        <w:rPr>
          <w:b w:val="0"/>
        </w:rPr>
        <w:t>平台采用Angular前端、Java25与Spring Boot后端、PostgreSQL数据库的模块化单体结构。功能按业务领域组织，身份、预约、订单、支付、学习与运营之间有明确边界。数据结构通过版本迁移管理，接口权限、输入校验、重复请求控制和关键行为审计共同约束交易及学习操作。</w:t>
      </w:r>
    </w:p>
    <w:p>
      <w:pPr>
        <w:ind w:firstLine="480"/>
      </w:pPr>
      <w:r>
        <w:rPr>
          <w:b w:val="0"/>
        </w:rPr>
        <w:t>架构优先满足当前团队的维护与验证能力，不通过增加微服务数量制造技术先进性。检索使用真实课程与教师数据，推荐理由依照明确条件生成；当前没有接入大模型，不宣称具有人工智能诊断、自动提分或医学干预能力。</w:t>
      </w:r>
    </w:p>
    <w:p>
      <w:pPr>
        <w:pStyle w:val="Heading2"/>
      </w:pPr>
      <w:r>
        <w:t>可验证的创新方向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85"/>
        <w:gridCol w:w="3685"/>
      </w:tblGrid>
      <w:tr>
        <w:trPr>
          <w:cantSplit/>
          <w:tblHeader w:val="true"/>
        </w:trPr>
        <w:tc>
          <w:tcPr>
            <w:tcW w:type="dxa" w:w="181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创新方向</w:t>
            </w:r>
          </w:p>
        </w:tc>
        <w:tc>
          <w:tcPr>
            <w:tcW w:type="dxa" w:w="368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具体设计</w:t>
            </w:r>
          </w:p>
        </w:tc>
        <w:tc>
          <w:tcPr>
            <w:tcW w:type="dxa" w:w="368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可验证方式</w:t>
            </w:r>
          </w:p>
        </w:tc>
      </w:tr>
      <w:tr>
        <w:trPr>
          <w:cantSplit/>
        </w:trPr>
        <w:tc>
          <w:tcPr>
            <w:tcW w:type="dxa" w:w="181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服务流程整合</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机会匹配与课后目标、任务、周报相连接</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对照传统只交换联系方式的使用过程，记录遗漏与管理成本</w:t>
            </w:r>
          </w:p>
        </w:tc>
      </w:tr>
      <w:tr>
        <w:trPr>
          <w:cantSplit/>
        </w:trPr>
        <w:tc>
          <w:tcPr>
            <w:tcW w:type="dxa" w:w="181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授权关系管理</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家长绑定、教师授课关系、记录作者边界</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不同角色真实调用与越权拒绝检查</w:t>
            </w:r>
          </w:p>
        </w:tc>
      </w:tr>
      <w:tr>
        <w:trPr>
          <w:cantSplit/>
        </w:trPr>
        <w:tc>
          <w:tcPr>
            <w:tcW w:type="dxa" w:w="181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操作可追溯</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变更影响预览、关键确认、证据和审计</w:t>
            </w:r>
          </w:p>
        </w:tc>
        <w:tc>
          <w:tcPr>
            <w:tcW w:type="dxa" w:w="368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实际争议处理时核对可还原性</w:t>
            </w:r>
          </w:p>
        </w:tc>
      </w:tr>
      <w:tr>
        <w:trPr>
          <w:cantSplit/>
        </w:trPr>
        <w:tc>
          <w:tcPr>
            <w:tcW w:type="dxa" w:w="181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学习节奏支持</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具体任务、分阶段目标、清楚状态和低干扰界面</w:t>
            </w:r>
          </w:p>
        </w:tc>
        <w:tc>
          <w:tcPr>
            <w:tcW w:type="dxa" w:w="368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观察用户能否理解、完成及持续使用</w:t>
            </w:r>
          </w:p>
        </w:tc>
      </w:tr>
    </w:tbl>
    <w:p>
      <w:pPr>
        <w:spacing w:line="20" w:lineRule="exact" w:after="80" w:before="0"/>
        <w:ind w:firstLine="0"/>
      </w:pPr>
    </w:p>
    <w:p>
      <w:pPr>
        <w:ind w:firstLine="480"/>
      </w:pPr>
      <w:r>
        <w:rPr>
          <w:b w:val="0"/>
        </w:rPr>
        <w:t>这些设计体现本项目的服务组织思路，不等于已获得专利或证明行业独创。创新程度与效果仍需竞品实测及真实用户研究，不把通用开发框架、数据库或普通表单称为原创核心技术。</w:t>
      </w:r>
    </w:p>
    <w:p>
      <w:pPr>
        <w:pStyle w:val="Heading2"/>
      </w:pPr>
      <w:r>
        <w:t>安全与可维护性</w:t>
      </w:r>
    </w:p>
    <w:p>
      <w:pPr>
        <w:ind w:firstLine="480"/>
      </w:pPr>
      <w:r>
        <w:rPr>
          <w:b w:val="0"/>
        </w:rPr>
        <w:t>现有系统以角色及对象归属限制数据访问，敏感材料受控下载，重复高后果操作受幂等和状态约束，重要操作留审计记录。本地测试覆盖并发退款、防重复支付、授权解绑及文件读取等场景；生产监控、安全评估、病毒扫描和服务等级目标仍需正式环境验证。</w:t>
      </w:r>
    </w:p>
    <w:p>
      <w:pPr>
        <w:keepLines/>
        <w:ind w:firstLine="0"/>
      </w:pPr>
      <w:r>
        <w:rPr>
          <w:b w:val="0"/>
        </w:rPr>
        <w:t>核心技术的成员原创贡献说明：</w:t>
      </w:r>
      <w:r>
        <w:t>＿＿＿＿＿＿＿＿＿＿＿＿＿＿＿＿＿＿＿＿＿＿</w:t>
      </w:r>
    </w:p>
    <w:p>
      <w:pPr>
        <w:keepLines/>
        <w:ind w:firstLine="0"/>
      </w:pPr>
      <w:r>
        <w:rPr>
          <w:b w:val="0"/>
        </w:rPr>
        <w:t>代码和依赖知识产权核验材料：</w:t>
      </w:r>
      <w:r>
        <w:t>＿＿＿＿＿＿＿＿＿＿＿＿＿＿＿＿＿＿＿＿＿＿</w:t>
      </w:r>
    </w:p>
    <w:p>
      <w:bookmarkStart w:id="107" w:name="chapter_7"/>
      <w:pPr>
        <w:pStyle w:val="Heading1"/>
        <w:pageBreakBefore w:val="0"/>
      </w:pPr>
      <w:r>
        <w:t>第七章 研发进展与实践验证</w:t>
      </w:r>
      <w:bookmarkEnd w:id="107"/>
    </w:p>
    <w:p>
      <w:pPr>
        <w:pStyle w:val="Heading2"/>
      </w:pPr>
      <w:r>
        <w:t>已经完成的研发成果</w:t>
      </w:r>
    </w:p>
    <w:p>
      <w:pPr>
        <w:ind w:firstLine="480"/>
      </w:pPr>
      <w:r>
        <w:rPr>
          <w:b w:val="0"/>
        </w:rPr>
        <w:t>截至2026年10月12日，平台已有可运行的本地全栈产品，数据库迁移为V1至V22。现有主要功能在隔离数据库和独立端口完成检查，未使用测试程序改变原业务库资金与订单。这一结果支持产品可演示与代码可交付，不直接支持真实用户增长、教学有效性或商业盈利结论。[9]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402"/>
        <w:gridCol w:w="3969"/>
      </w:tblGrid>
      <w:tr>
        <w:trPr>
          <w:cantSplit/>
          <w:tblHeader w:val="true"/>
        </w:trPr>
        <w:tc>
          <w:tcPr>
            <w:tcW w:type="dxa" w:w="181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验证内容</w:t>
            </w:r>
          </w:p>
        </w:tc>
        <w:tc>
          <w:tcPr>
            <w:tcW w:type="dxa" w:w="340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实际结果</w:t>
            </w:r>
          </w:p>
        </w:tc>
        <w:tc>
          <w:tcPr>
            <w:tcW w:type="dxa" w:w="3969"/>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范围</w:t>
            </w:r>
          </w:p>
        </w:tc>
      </w:tr>
      <w:tr>
        <w:trPr>
          <w:cantSplit/>
        </w:trPr>
        <w:tc>
          <w:tcPr>
            <w:tcW w:type="dxa" w:w="181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后端测试</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49单元与架构测试、164集成测试通过</w:t>
            </w:r>
          </w:p>
        </w:tc>
        <w:tc>
          <w:tcPr>
            <w:tcW w:type="dxa" w:w="396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真实PostgreSQL；零失败、错误与跳过</w:t>
            </w:r>
          </w:p>
        </w:tc>
      </w:tr>
      <w:tr>
        <w:trPr>
          <w:cantSplit/>
        </w:trPr>
        <w:tc>
          <w:tcPr>
            <w:tcW w:type="dxa" w:w="181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接口旅程</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220项通过，0失败</w:t>
            </w:r>
          </w:p>
        </w:tc>
        <w:tc>
          <w:tcPr>
            <w:tcW w:type="dxa" w:w="396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全新隔离库，覆盖交易与学习主流程</w:t>
            </w:r>
          </w:p>
        </w:tc>
      </w:tr>
      <w:tr>
        <w:trPr>
          <w:cantSplit/>
        </w:trPr>
        <w:tc>
          <w:tcPr>
            <w:tcW w:type="dxa" w:w="181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权限探针</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19项正确拒绝，0确认漏洞</w:t>
            </w:r>
          </w:p>
        </w:tc>
        <w:tc>
          <w:tcPr>
            <w:tcW w:type="dxa" w:w="396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角色与对象授权抽检，不等于完整渗透测试</w:t>
            </w:r>
          </w:p>
        </w:tc>
      </w:tr>
      <w:tr>
        <w:trPr>
          <w:cantSplit/>
        </w:trPr>
        <w:tc>
          <w:tcPr>
            <w:tcW w:type="dxa" w:w="181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网页使用</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12套实际操作旅程；33页面双尺寸</w:t>
            </w:r>
          </w:p>
        </w:tc>
        <w:tc>
          <w:tcPr>
            <w:tcW w:type="dxa" w:w="396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1280px及375px；111张成功截图</w:t>
            </w:r>
          </w:p>
        </w:tc>
      </w:tr>
      <w:tr>
        <w:trPr>
          <w:cantSplit/>
        </w:trPr>
        <w:tc>
          <w:tcPr>
            <w:tcW w:type="dxa" w:w="181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生产构建</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Angular production构建通过</w:t>
            </w:r>
          </w:p>
        </w:tc>
        <w:tc>
          <w:tcPr>
            <w:tcW w:type="dxa" w:w="396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本地构建，无构建警告</w:t>
            </w:r>
          </w:p>
        </w:tc>
      </w:tr>
      <w:tr>
        <w:trPr>
          <w:cantSplit/>
        </w:trPr>
        <w:tc>
          <w:tcPr>
            <w:tcW w:type="dxa" w:w="181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部署准备</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配置门禁和交付包校验通过</w:t>
            </w:r>
          </w:p>
        </w:tc>
        <w:tc>
          <w:tcPr>
            <w:tcW w:type="dxa" w:w="396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未实际完成公网全栈部署</w:t>
            </w:r>
          </w:p>
        </w:tc>
      </w:tr>
    </w:tbl>
    <w:p>
      <w:pPr>
        <w:spacing w:line="20" w:lineRule="exact" w:after="80" w:before="0"/>
        <w:ind w:firstLine="0"/>
      </w:pPr>
    </w:p>
    <w:p>
      <w:pPr>
        <w:pStyle w:val="Heading2"/>
      </w:pPr>
      <w:r>
        <w:t>发现问题后的改进</w:t>
      </w:r>
    </w:p>
    <w:p>
      <w:pPr>
        <w:ind w:firstLine="480"/>
      </w:pPr>
      <w:r>
        <w:rPr>
          <w:b w:val="0"/>
        </w:rPr>
        <w:t>本轮验收发现并修复了关闭沙箱后仍能发起模拟支付、课堂内部备忘向非作者泄露、手机教师对比和材料表单横向溢出。修复后重新执行完整回归，并通过实际网页操作核对。研发过程以发现问题、解释原因和复验结果形成证据，而不是仅展示页面截图。</w:t>
      </w:r>
    </w:p>
    <w:p>
      <w:pPr>
        <w:pStyle w:val="Heading2"/>
      </w:pPr>
      <w:r>
        <w:t>仍需要真实实践的部分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2041"/>
        <w:gridCol w:w="1928"/>
        <w:gridCol w:w="2551"/>
      </w:tblGrid>
      <w:tr>
        <w:trPr>
          <w:cantSplit/>
          <w:tblHeader w:val="true"/>
        </w:trPr>
        <w:tc>
          <w:tcPr>
            <w:tcW w:type="dxa" w:w="266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实践项目</w:t>
            </w:r>
          </w:p>
        </w:tc>
        <w:tc>
          <w:tcPr>
            <w:tcW w:type="dxa" w:w="204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地点和时间</w:t>
            </w:r>
          </w:p>
        </w:tc>
        <w:tc>
          <w:tcPr>
            <w:tcW w:type="dxa" w:w="192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实际参与者</w:t>
            </w:r>
          </w:p>
        </w:tc>
        <w:tc>
          <w:tcPr>
            <w:tcW w:type="dxa" w:w="255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结果及佐证</w:t>
            </w:r>
          </w:p>
        </w:tc>
      </w:tr>
      <w:tr>
        <w:trPr>
          <w:cantSplit/>
        </w:trPr>
        <w:tc>
          <w:tcPr>
            <w:tcW w:type="dxa" w:w="266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教员与家长访谈</w:t>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2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6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原型可用性观察</w:t>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2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66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合法范围内的服务试点</w:t>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2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6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教师质量及学习过程评估</w:t>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2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66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付费与续用验证</w:t>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2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6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第三方合规和技术审查</w:t>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2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ind w:firstLine="480"/>
      </w:pPr>
      <w:r>
        <w:rPr>
          <w:b w:val="0"/>
        </w:rPr>
        <w:t>测试账户、演示订单和本地钱包不是实际经营数据。真实用户数、成交额、收入、就业增收和教学结果在取得可核对材料后填写，不能用开发数据库统计替代。</w:t>
      </w:r>
    </w:p>
    <w:p>
      <w:bookmarkStart w:id="108" w:name="chapter_8"/>
      <w:pPr>
        <w:pStyle w:val="Heading1"/>
        <w:pageBreakBefore w:val="0"/>
      </w:pPr>
      <w:r>
        <w:t>第八章 商业模式与单位经济逻辑</w:t>
      </w:r>
      <w:bookmarkEnd w:id="108"/>
    </w:p>
    <w:p>
      <w:pPr>
        <w:pStyle w:val="Heading2"/>
      </w:pPr>
      <w:r>
        <w:t>价值创造和交付</w:t>
      </w:r>
    </w:p>
    <w:p>
      <w:pPr>
        <w:ind w:firstLine="480"/>
      </w:pPr>
      <w:r>
        <w:rPr>
          <w:b w:val="0"/>
        </w:rPr>
        <w:t>项目拟把教员准入、需求匹配、约课管理和学习反馈组织为连续服务。家庭获得可理解的选择与过程信息，教员获得真实展示和教学管理工具。商业可持续性取决于这些服务是否降低双方实际成本、提高稳定履约，而不取决于页面功能数量。</w:t>
      </w:r>
    </w:p>
    <w:p>
      <w:pPr>
        <w:pStyle w:val="Heading2"/>
      </w:pPr>
      <w:r>
        <w:t>拟采用的收入方式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402"/>
        <w:gridCol w:w="2551"/>
        <w:gridCol w:w="1304"/>
      </w:tblGrid>
      <w:tr>
        <w:trPr>
          <w:cantSplit/>
          <w:tblHeader w:val="true"/>
        </w:trPr>
        <w:tc>
          <w:tcPr>
            <w:tcW w:type="dxa" w:w="192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拟选方式</w:t>
            </w:r>
          </w:p>
        </w:tc>
        <w:tc>
          <w:tcPr>
            <w:tcW w:type="dxa" w:w="340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收费对象和对应服务</w:t>
            </w:r>
          </w:p>
        </w:tc>
        <w:tc>
          <w:tcPr>
            <w:tcW w:type="dxa" w:w="255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适用条件</w:t>
            </w:r>
          </w:p>
        </w:tc>
        <w:tc>
          <w:tcPr>
            <w:tcW w:type="dxa" w:w="130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实际标准</w:t>
            </w:r>
          </w:p>
        </w:tc>
      </w:tr>
      <w:tr>
        <w:trPr>
          <w:cantSplit/>
        </w:trPr>
        <w:tc>
          <w:tcPr>
            <w:tcW w:type="dxa" w:w="192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履约服务费</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按约定对已完成的服务收取公开费用</w:t>
            </w:r>
          </w:p>
        </w:tc>
        <w:tc>
          <w:tcPr>
            <w:tcW w:type="dxa" w:w="255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用户认可、合同明确、支付结算合规</w:t>
            </w:r>
          </w:p>
        </w:tc>
        <w:tc>
          <w:tcPr>
            <w:tcW w:type="dxa" w:w="130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教学管理工具订阅</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面向确有持续管理需求的教员或合作方</w:t>
            </w:r>
          </w:p>
        </w:tc>
        <w:tc>
          <w:tcPr>
            <w:tcW w:type="dxa" w:w="255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验证付费意愿，不重复收费</w:t>
            </w:r>
          </w:p>
        </w:tc>
        <w:tc>
          <w:tcPr>
            <w:tcW w:type="dxa" w:w="130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合作方管理服务</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向依法开展业务的合作主体提供管理支持</w:t>
            </w:r>
          </w:p>
        </w:tc>
        <w:tc>
          <w:tcPr>
            <w:tcW w:type="dxa" w:w="255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具有合作协议和明确职责</w:t>
            </w:r>
          </w:p>
        </w:tc>
        <w:tc>
          <w:tcPr>
            <w:tcW w:type="dxa" w:w="130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其他收入</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具体内容待确定</w:t>
            </w:r>
          </w:p>
        </w:tc>
        <w:tc>
          <w:tcPr>
            <w:tcW w:type="dxa" w:w="255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不出售个人信息，不影响教员排序公正</w:t>
            </w:r>
          </w:p>
        </w:tc>
        <w:tc>
          <w:tcPr>
            <w:tcW w:type="dxa" w:w="130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ind w:firstLine="480"/>
      </w:pPr>
      <w:r>
        <w:rPr>
          <w:b w:val="0"/>
        </w:rPr>
        <w:t>收费方案属于拟定安排。建议不向大学生预先售卖未经保证的工作机会，避免把注册费、押金或信息费作为主要收入。所有实际费率、收费时间、取消规则和退款扣除条件另行公示；研发中的结算比例不直接成为商业收费承诺。</w:t>
      </w:r>
    </w:p>
    <w:p>
      <w:pPr>
        <w:pStyle w:val="Heading2"/>
      </w:pPr>
      <w:r>
        <w:t>成本和经济性</w:t>
      </w:r>
    </w:p>
    <w:p>
      <w:pPr>
        <w:ind w:firstLine="480"/>
      </w:pPr>
      <w:r>
        <w:rPr>
          <w:b w:val="0"/>
        </w:rPr>
        <w:t>主要成本包括教员审核、服务运营与客服、研发维护、云服务、短信和支付渠道、合规与保险等。应把一次匹配成功后的持续履约成本纳入计算，不能只计算服务器费用。平台成交总额不是平台营业收入，退款及教员报酬也不能混记为平台利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4819"/>
        <w:gridCol w:w="2041"/>
      </w:tblGrid>
      <w:tr>
        <w:trPr>
          <w:cantSplit/>
          <w:tblHeader w:val="true"/>
        </w:trPr>
        <w:tc>
          <w:tcPr>
            <w:tcW w:type="dxa" w:w="232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单位经济指标</w:t>
            </w:r>
          </w:p>
        </w:tc>
        <w:tc>
          <w:tcPr>
            <w:tcW w:type="dxa" w:w="4819"/>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计算口径</w:t>
            </w:r>
          </w:p>
        </w:tc>
        <w:tc>
          <w:tcPr>
            <w:tcW w:type="dxa" w:w="204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实际或预测值</w:t>
            </w:r>
          </w:p>
        </w:tc>
      </w:tr>
      <w:tr>
        <w:trPr>
          <w:cantSplit/>
        </w:trPr>
        <w:tc>
          <w:tcPr>
            <w:tcW w:type="dxa" w:w="232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单笔平台净收入</w:t>
            </w:r>
          </w:p>
        </w:tc>
        <w:tc>
          <w:tcPr>
            <w:tcW w:type="dxa" w:w="481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单笔平台收入减相关退款调整</w:t>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32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单笔可变成本</w:t>
            </w:r>
          </w:p>
        </w:tc>
        <w:tc>
          <w:tcPr>
            <w:tcW w:type="dxa" w:w="481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渠道、运营和服务支持成本</w:t>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32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单笔贡献毛利</w:t>
            </w:r>
          </w:p>
        </w:tc>
        <w:tc>
          <w:tcPr>
            <w:tcW w:type="dxa" w:w="481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单笔净收入减单笔可变成本</w:t>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32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获客成本</w:t>
            </w:r>
          </w:p>
        </w:tc>
        <w:tc>
          <w:tcPr>
            <w:tcW w:type="dxa" w:w="481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同口径获客支出除新增有效付费客户</w:t>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32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客户贡献周期</w:t>
            </w:r>
          </w:p>
        </w:tc>
        <w:tc>
          <w:tcPr>
            <w:tcW w:type="dxa" w:w="481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按实际留存、履约和退款情况估算</w:t>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32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获客回收期</w:t>
            </w:r>
          </w:p>
        </w:tc>
        <w:tc>
          <w:tcPr>
            <w:tcW w:type="dxa" w:w="481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由持续贡献与获客成本测算</w:t>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商业模式验证结果及用户付费证据：</w:t>
      </w:r>
      <w:r>
        <w:t>＿＿＿＿＿＿＿＿＿＿＿＿＿＿＿＿＿＿＿＿</w:t>
      </w:r>
    </w:p>
    <w:p>
      <w:bookmarkStart w:id="109" w:name="chapter_9"/>
      <w:pPr>
        <w:pStyle w:val="Heading1"/>
        <w:pageBreakBefore w:val="0"/>
      </w:pPr>
      <w:r>
        <w:t>第九章 营销与推广策略</w:t>
      </w:r>
      <w:bookmarkEnd w:id="109"/>
    </w:p>
    <w:p>
      <w:pPr>
        <w:pStyle w:val="Heading2"/>
      </w:pPr>
      <w:r>
        <w:t>先验证需求再扩大推广</w:t>
      </w:r>
    </w:p>
    <w:p>
      <w:pPr>
        <w:ind w:firstLine="480"/>
      </w:pPr>
      <w:r>
        <w:rPr>
          <w:b w:val="0"/>
        </w:rPr>
        <w:t>初期拟围绕一个可管理的地域和校园来源组织种子教员，邀请自愿参与的家庭体验经过合规确认的流程。宣传重点应是服务内容、费用、教员真实资料及反馈方式，不使用保证提分、名校身份等无法证实的营销承诺，也不把尚未签约的学校或机构写成合作伙伴。</w:t>
      </w:r>
    </w:p>
    <w:p>
      <w:pPr>
        <w:pStyle w:val="Heading2"/>
      </w:pPr>
      <w:r>
        <w:t>渠道与转化路径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402"/>
        <w:gridCol w:w="2665"/>
        <w:gridCol w:w="1191"/>
      </w:tblGrid>
      <w:tr>
        <w:trPr>
          <w:cantSplit/>
          <w:tblHeader w:val="true"/>
        </w:trPr>
        <w:tc>
          <w:tcPr>
            <w:tcW w:type="dxa" w:w="192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拟试验渠道</w:t>
            </w:r>
          </w:p>
        </w:tc>
        <w:tc>
          <w:tcPr>
            <w:tcW w:type="dxa" w:w="340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具体方式</w:t>
            </w:r>
          </w:p>
        </w:tc>
        <w:tc>
          <w:tcPr>
            <w:tcW w:type="dxa" w:w="266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评价指标</w:t>
            </w:r>
          </w:p>
        </w:tc>
        <w:tc>
          <w:tcPr>
            <w:tcW w:type="dxa" w:w="119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预算</w:t>
            </w:r>
          </w:p>
        </w:tc>
      </w:tr>
      <w:tr>
        <w:trPr>
          <w:cantSplit/>
        </w:trPr>
        <w:tc>
          <w:tcPr>
            <w:tcW w:type="dxa" w:w="192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高校与学生组织</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经授权开展介绍和招募</w:t>
            </w:r>
          </w:p>
        </w:tc>
        <w:tc>
          <w:tcPr>
            <w:tcW w:type="dxa" w:w="266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有效报名、审核通过、持续履约</w:t>
            </w:r>
          </w:p>
        </w:tc>
        <w:tc>
          <w:tcPr>
            <w:tcW w:type="dxa" w:w="119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家庭与社区触达</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经许可开展需求访谈和体验</w:t>
            </w:r>
          </w:p>
        </w:tc>
        <w:tc>
          <w:tcPr>
            <w:tcW w:type="dxa" w:w="266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真实需求、满意度、付费或续用意愿</w:t>
            </w:r>
          </w:p>
        </w:tc>
        <w:tc>
          <w:tcPr>
            <w:tcW w:type="dxa" w:w="119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内容展示</w:t>
            </w:r>
          </w:p>
        </w:tc>
        <w:tc>
          <w:tcPr>
            <w:tcW w:type="dxa" w:w="340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发布真实操作说明和教学过程案例</w:t>
            </w:r>
          </w:p>
        </w:tc>
        <w:tc>
          <w:tcPr>
            <w:tcW w:type="dxa" w:w="266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咨询转化、信息理解和投诉情况</w:t>
            </w:r>
          </w:p>
        </w:tc>
        <w:tc>
          <w:tcPr>
            <w:tcW w:type="dxa" w:w="119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用户转介绍</w:t>
            </w:r>
          </w:p>
        </w:tc>
        <w:tc>
          <w:tcPr>
            <w:tcW w:type="dxa" w:w="340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经明确规则邀请真实用户推荐</w:t>
            </w:r>
          </w:p>
        </w:tc>
        <w:tc>
          <w:tcPr>
            <w:tcW w:type="dxa" w:w="266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推荐质量、持续使用、激励成本</w:t>
            </w:r>
          </w:p>
        </w:tc>
        <w:tc>
          <w:tcPr>
            <w:tcW w:type="dxa" w:w="119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ind w:firstLine="480"/>
      </w:pPr>
      <w:r>
        <w:rPr>
          <w:b w:val="0"/>
        </w:rPr>
        <w:t>转化链路拟按接触、咨询、注册、审核或监护授权、约课、履约、反馈及续用记录。指标分别保留分母、时间窗和流失原因；同时观察无法匹配、退款与退出，不只报告成功案例。</w:t>
      </w:r>
    </w:p>
    <w:p>
      <w:pPr>
        <w:pStyle w:val="Heading2"/>
      </w:pPr>
      <w:r>
        <w:t>品牌和信任建设</w:t>
      </w:r>
    </w:p>
    <w:p>
      <w:pPr>
        <w:ind w:firstLine="480"/>
      </w:pPr>
      <w:r>
        <w:rPr>
          <w:b w:val="0"/>
        </w:rPr>
        <w:t>品牌沿用润物细无声，强调教学中的耐心、持续反馈和责任。公开教员信息应区分自报经历与已核验材料，评价只来自实际服务，商业激励不伪装成自然评价。家长与教员能够清楚找到退款及申诉入口，才能形成长期信任。</w:t>
      </w:r>
    </w:p>
    <w:p>
      <w:pPr>
        <w:keepLines/>
        <w:ind w:firstLine="0"/>
      </w:pPr>
      <w:r>
        <w:rPr>
          <w:b w:val="0"/>
        </w:rPr>
        <w:t>实际推广渠道和合作授权：</w:t>
      </w:r>
      <w:r>
        <w:t>＿＿＿＿＿＿＿＿＿＿＿＿＿＿＿＿＿＿＿＿＿＿＿＿</w:t>
      </w:r>
    </w:p>
    <w:p>
      <w:pPr>
        <w:keepLines/>
        <w:ind w:firstLine="0"/>
      </w:pPr>
      <w:r>
        <w:rPr>
          <w:b w:val="0"/>
        </w:rPr>
        <w:t>阶段获客目标与测量方法：</w:t>
      </w:r>
      <w:r>
        <w:t>＿＿＿＿＿＿＿＿＿＿＿＿＿＿＿＿＿＿＿＿＿＿＿＿</w:t>
      </w:r>
    </w:p>
    <w:p>
      <w:pPr>
        <w:keepLines/>
        <w:ind w:firstLine="0"/>
      </w:pPr>
      <w:r>
        <w:rPr>
          <w:b w:val="0"/>
        </w:rPr>
        <w:t>品牌素材与使用授权：</w:t>
      </w:r>
      <w:r>
        <w:t>＿＿＿＿＿＿＿＿＿＿＿＿＿＿＿＿＿＿＿＿＿＿＿＿＿＿</w:t>
      </w:r>
    </w:p>
    <w:p>
      <w:bookmarkStart w:id="110" w:name="chapter_10"/>
      <w:pPr>
        <w:pStyle w:val="Heading1"/>
        <w:pageBreakBefore w:val="0"/>
      </w:pPr>
      <w:r>
        <w:t>第十章 运营管理与服务质量</w:t>
      </w:r>
      <w:bookmarkEnd w:id="110"/>
    </w:p>
    <w:p>
      <w:pPr>
        <w:pStyle w:val="Heading2"/>
      </w:pPr>
      <w:r>
        <w:t>教员招募与准入</w:t>
      </w:r>
    </w:p>
    <w:p>
      <w:pPr>
        <w:ind w:firstLine="480"/>
      </w:pPr>
      <w:r>
        <w:rPr>
          <w:b w:val="0"/>
        </w:rPr>
        <w:t>拟设置身份、教育背景、适用资格及教学能力审核，审核结果与有效期限分别记录。大学生身份不自动等于具备全部教学服务资格；面对未成年人学科类服务时，须先核实相关规定。准入后通过示范授课、持续反馈、投诉和复核管理质量，不能只凭上传证件一次性认定合格。</w:t>
      </w:r>
    </w:p>
    <w:p>
      <w:pPr>
        <w:pStyle w:val="Heading2"/>
      </w:pPr>
      <w:r>
        <w:t>履约与教学反馈</w:t>
      </w:r>
    </w:p>
    <w:p>
      <w:pPr>
        <w:ind w:firstLine="480"/>
      </w:pPr>
      <w:r>
        <w:rPr>
          <w:b w:val="0"/>
        </w:rPr>
        <w:t>运营应检查预约确认、课前沟通、到课情况、课堂目标、课后任务和阶段反馈是否完整。退款、改期与缺勤规则在服务前告知；异常预约应提供处理入口。学习报告以实际课程和作答记录为依据，不把单次测评直接解释成长期能力提升，也不承诺考试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4309"/>
        <w:gridCol w:w="1361"/>
        <w:gridCol w:w="1587"/>
      </w:tblGrid>
      <w:tr>
        <w:trPr>
          <w:cantSplit/>
          <w:tblHeader w:val="true"/>
        </w:trPr>
        <w:tc>
          <w:tcPr>
            <w:tcW w:type="dxa" w:w="192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运营事项</w:t>
            </w:r>
          </w:p>
        </w:tc>
        <w:tc>
          <w:tcPr>
            <w:tcW w:type="dxa" w:w="4309"/>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拟定控制措施</w:t>
            </w:r>
          </w:p>
        </w:tc>
        <w:tc>
          <w:tcPr>
            <w:tcW w:type="dxa" w:w="136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责任人</w:t>
            </w:r>
          </w:p>
        </w:tc>
        <w:tc>
          <w:tcPr>
            <w:tcW w:type="dxa" w:w="158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时限标准</w:t>
            </w:r>
          </w:p>
        </w:tc>
      </w:tr>
      <w:tr>
        <w:trPr>
          <w:cantSplit/>
        </w:trPr>
        <w:tc>
          <w:tcPr>
            <w:tcW w:type="dxa" w:w="192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教员审核和复核</w:t>
            </w:r>
          </w:p>
        </w:tc>
        <w:tc>
          <w:tcPr>
            <w:tcW w:type="dxa" w:w="430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材料核验、异常留证、定期复核</w:t>
            </w:r>
          </w:p>
        </w:tc>
        <w:tc>
          <w:tcPr>
            <w:tcW w:type="dxa" w:w="136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58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课程执行</w:t>
            </w:r>
          </w:p>
        </w:tc>
        <w:tc>
          <w:tcPr>
            <w:tcW w:type="dxa" w:w="430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状态与授课事实核对、缺勤处理</w:t>
            </w:r>
          </w:p>
        </w:tc>
        <w:tc>
          <w:tcPr>
            <w:tcW w:type="dxa" w:w="136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58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投诉和申诉</w:t>
            </w:r>
          </w:p>
        </w:tc>
        <w:tc>
          <w:tcPr>
            <w:tcW w:type="dxa" w:w="430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证据、双方陈述、处理与复查记录</w:t>
            </w:r>
          </w:p>
        </w:tc>
        <w:tc>
          <w:tcPr>
            <w:tcW w:type="dxa" w:w="136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58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退款和对账</w:t>
            </w:r>
          </w:p>
        </w:tc>
        <w:tc>
          <w:tcPr>
            <w:tcW w:type="dxa" w:w="430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审核、授权执行、重复操作保护</w:t>
            </w:r>
          </w:p>
        </w:tc>
        <w:tc>
          <w:tcPr>
            <w:tcW w:type="dxa" w:w="136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58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数据与资料</w:t>
            </w:r>
          </w:p>
        </w:tc>
        <w:tc>
          <w:tcPr>
            <w:tcW w:type="dxa" w:w="430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访问控制、最小采集、保留与退出规则</w:t>
            </w:r>
          </w:p>
        </w:tc>
        <w:tc>
          <w:tcPr>
            <w:tcW w:type="dxa" w:w="136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58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2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系统故障</w:t>
            </w:r>
          </w:p>
        </w:tc>
        <w:tc>
          <w:tcPr>
            <w:tcW w:type="dxa" w:w="430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监控、备份、恢复与用户通知</w:t>
            </w:r>
          </w:p>
        </w:tc>
        <w:tc>
          <w:tcPr>
            <w:tcW w:type="dxa" w:w="136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58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异常处置与服务退出</w:t>
      </w:r>
    </w:p>
    <w:p>
      <w:pPr>
        <w:ind w:firstLine="480"/>
      </w:pPr>
      <w:r>
        <w:rPr>
          <w:b w:val="0"/>
        </w:rPr>
        <w:t>发生人身安全、未成年人权益、信息泄露或资金异常时，应先控制影响并保护证据，按责任分工通知相关主体；普通投诉不能直接替代退款决定。平台内部处理并不排除消费者依法投诉或救济。停运时须有订单、退款、教员报酬与数据处置安排。</w:t>
      </w:r>
    </w:p>
    <w:p>
      <w:pPr>
        <w:keepLines/>
        <w:ind w:firstLine="0"/>
      </w:pPr>
      <w:r>
        <w:rPr>
          <w:b w:val="0"/>
        </w:rPr>
        <w:t>实际服务质量标准及反馈结果：</w:t>
      </w:r>
      <w:r>
        <w:t>＿＿＿＿＿＿＿＿＿＿＿＿＿＿＿＿＿＿＿＿＿＿</w:t>
      </w:r>
    </w:p>
    <w:p>
      <w:pPr>
        <w:keepLines/>
        <w:ind w:firstLine="0"/>
      </w:pPr>
      <w:r>
        <w:rPr>
          <w:b w:val="0"/>
        </w:rPr>
        <w:t>客服排班和复核制度：</w:t>
      </w:r>
      <w:r>
        <w:t>＿＿＿＿＿＿＿＿＿＿＿＿＿＿＿＿＿＿＿＿＿＿＿＿＿＿</w:t>
      </w:r>
    </w:p>
    <w:p>
      <w:pPr>
        <w:keepLines/>
        <w:ind w:firstLine="0"/>
      </w:pPr>
      <w:r>
        <w:rPr>
          <w:b w:val="0"/>
        </w:rPr>
        <w:t>应急联系人及流程附件：</w:t>
      </w:r>
      <w:r>
        <w:t>＿＿＿＿＿＿＿＿＿＿＿＿＿＿＿＿＿＿＿＿＿＿＿＿＿</w:t>
      </w:r>
    </w:p>
    <w:p>
      <w:bookmarkStart w:id="111" w:name="chapter_11"/>
      <w:pPr>
        <w:pStyle w:val="Heading1"/>
        <w:pageBreakBefore w:val="0"/>
      </w:pPr>
      <w:r>
        <w:t>第十一章 社会价值与就业带动</w:t>
      </w:r>
      <w:bookmarkEnd w:id="111"/>
    </w:p>
    <w:p>
      <w:pPr>
        <w:pStyle w:val="Heading2"/>
      </w:pPr>
      <w:r>
        <w:t>预期社会价值</w:t>
      </w:r>
    </w:p>
    <w:p>
      <w:pPr>
        <w:ind w:firstLine="480"/>
      </w:pPr>
      <w:r>
        <w:rPr>
          <w:b w:val="0"/>
        </w:rPr>
        <w:t>项目希望减少普通大学生因信息渠道不足而失去机会的情形，让教员的认真投入能够通过真实资料、课堂记录和反馈被识别。就业价值应体现为依法获得的真实机会、稳定履约和合理报酬，而不是把平台注册量当作带动就业人数。</w:t>
      </w:r>
    </w:p>
    <w:p>
      <w:pPr>
        <w:ind w:firstLine="480"/>
      </w:pPr>
      <w:r>
        <w:rPr>
          <w:b w:val="0"/>
        </w:rPr>
        <w:t>对家庭和学习者而言，平台拟通过明确目标、持续反馈和可追溯记录帮助理解学习过程，减少费用与责任信息不清产生的纠纷。平台不以增加补课频次作为唯一成功标准，也不将困难家庭或学习困难群体用于营销标签。</w:t>
      </w:r>
    </w:p>
    <w:p>
      <w:pPr>
        <w:pStyle w:val="Heading2"/>
      </w:pPr>
      <w:r>
        <w:t>公益与普惠方案</w:t>
      </w:r>
    </w:p>
    <w:p>
      <w:pPr>
        <w:ind w:firstLine="480"/>
      </w:pPr>
      <w:r>
        <w:rPr>
          <w:b w:val="0"/>
        </w:rPr>
        <w:t>可探索与经确认的公益组织或社区共同开展学习支持，但公益对象、服务内容、经费来源和志愿者责任应事先明确。公益服务与商业服务分别统计、分别告知；尚未实际开展的活动不写成既有公益成果。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3855"/>
        <w:gridCol w:w="1304"/>
        <w:gridCol w:w="1304"/>
      </w:tblGrid>
      <w:tr>
        <w:trPr>
          <w:cantSplit/>
          <w:tblHeader w:val="true"/>
        </w:trPr>
        <w:tc>
          <w:tcPr>
            <w:tcW w:type="dxa" w:w="272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评价指标</w:t>
            </w:r>
          </w:p>
        </w:tc>
        <w:tc>
          <w:tcPr>
            <w:tcW w:type="dxa" w:w="385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统计方法</w:t>
            </w:r>
          </w:p>
        </w:tc>
        <w:tc>
          <w:tcPr>
            <w:tcW w:type="dxa" w:w="130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目标值</w:t>
            </w:r>
          </w:p>
        </w:tc>
        <w:tc>
          <w:tcPr>
            <w:tcW w:type="dxa" w:w="130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实际值</w:t>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获得真实机会的教员</w:t>
            </w:r>
          </w:p>
        </w:tc>
        <w:tc>
          <w:tcPr>
            <w:tcW w:type="dxa" w:w="385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去重且实际完成至少一次合法服务</w:t>
            </w:r>
          </w:p>
        </w:tc>
        <w:tc>
          <w:tcPr>
            <w:tcW w:type="dxa" w:w="130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30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教员报酬与工作质量</w:t>
            </w:r>
          </w:p>
        </w:tc>
        <w:tc>
          <w:tcPr>
            <w:tcW w:type="dxa" w:w="385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真实到账、工时及纠纷记录</w:t>
            </w:r>
          </w:p>
        </w:tc>
        <w:tc>
          <w:tcPr>
            <w:tcW w:type="dxa" w:w="130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30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家庭服务透明度</w:t>
            </w:r>
          </w:p>
        </w:tc>
        <w:tc>
          <w:tcPr>
            <w:tcW w:type="dxa" w:w="385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费用理解、记录可查、申诉体验</w:t>
            </w:r>
          </w:p>
        </w:tc>
        <w:tc>
          <w:tcPr>
            <w:tcW w:type="dxa" w:w="130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30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学习过程改善</w:t>
            </w:r>
          </w:p>
        </w:tc>
        <w:tc>
          <w:tcPr>
            <w:tcW w:type="dxa" w:w="385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目标和反馈质量、用户观察</w:t>
            </w:r>
          </w:p>
        </w:tc>
        <w:tc>
          <w:tcPr>
            <w:tcW w:type="dxa" w:w="130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30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公益覆盖和支持质量</w:t>
            </w:r>
          </w:p>
        </w:tc>
        <w:tc>
          <w:tcPr>
            <w:tcW w:type="dxa" w:w="385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合法授权、实际服务记录与反馈</w:t>
            </w:r>
          </w:p>
        </w:tc>
        <w:tc>
          <w:tcPr>
            <w:tcW w:type="dxa" w:w="130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30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就业带动</w:t>
            </w:r>
          </w:p>
        </w:tc>
        <w:tc>
          <w:tcPr>
            <w:tcW w:type="dxa" w:w="385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直接岗位与教员机会分别统计</w:t>
            </w:r>
          </w:p>
        </w:tc>
        <w:tc>
          <w:tcPr>
            <w:tcW w:type="dxa" w:w="130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30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已开展社会实践或公益活动：</w:t>
      </w:r>
      <w:r>
        <w:t>＿＿＿＿＿＿＿＿＿＿＿＿＿＿＿＿＿＿＿＿＿＿＿</w:t>
      </w:r>
    </w:p>
    <w:p>
      <w:pPr>
        <w:keepLines/>
        <w:ind w:firstLine="0"/>
      </w:pPr>
      <w:r>
        <w:rPr>
          <w:b w:val="0"/>
        </w:rPr>
        <w:t>实际受益证明与反馈附件：</w:t>
      </w:r>
      <w:r>
        <w:t>＿＿＿＿＿＿＿＿＿＿＿＿＿＿＿＿＿＿＿＿＿＿＿＿</w:t>
      </w:r>
    </w:p>
    <w:p>
      <w:bookmarkStart w:id="112" w:name="chapter_12"/>
      <w:pPr>
        <w:pStyle w:val="Heading1"/>
        <w:pageBreakBefore w:val="0"/>
      </w:pPr>
      <w:r>
        <w:t>第十二章 团队与组织管理</w:t>
      </w:r>
      <w:bookmarkEnd w:id="112"/>
    </w:p>
    <w:p>
      <w:pPr>
        <w:pStyle w:val="Heading2"/>
      </w:pPr>
      <w:r>
        <w:t>创办人与核心成员</w:t>
      </w:r>
    </w:p>
    <w:p>
      <w:pPr>
        <w:ind w:firstLine="480"/>
      </w:pPr>
      <w:r>
        <w:rPr>
          <w:b w:val="0"/>
        </w:rPr>
        <w:t>创办人的动机来自大学生兼职经历，项目需要技术、教育服务、运营、市场及财务合规能力相互配合。现有成员的姓名、专业、履历和实际贡献在下表填写，不因拟设岗位而认定人员已到位。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835"/>
        <w:gridCol w:w="1984"/>
        <w:gridCol w:w="2948"/>
      </w:tblGrid>
      <w:tr>
        <w:trPr>
          <w:cantSplit/>
          <w:tblHeader w:val="true"/>
        </w:trPr>
        <w:tc>
          <w:tcPr>
            <w:tcW w:type="dxa" w:w="141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姓名</w:t>
            </w:r>
          </w:p>
        </w:tc>
        <w:tc>
          <w:tcPr>
            <w:tcW w:type="dxa" w:w="283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学校专业和年级</w:t>
            </w:r>
          </w:p>
        </w:tc>
        <w:tc>
          <w:tcPr>
            <w:tcW w:type="dxa" w:w="198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项目岗位</w:t>
            </w:r>
          </w:p>
        </w:tc>
        <w:tc>
          <w:tcPr>
            <w:tcW w:type="dxa" w:w="294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实质贡献与投入</w:t>
            </w:r>
          </w:p>
        </w:tc>
      </w:tr>
      <w:tr>
        <w:trPr>
          <w:cantSplit/>
        </w:trPr>
        <w:tc>
          <w:tcPr>
            <w:tcW w:type="dxa" w:w="141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94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41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94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41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94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41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94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41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94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41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94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指导教师与外部支持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324"/>
        <w:gridCol w:w="2835"/>
        <w:gridCol w:w="2041"/>
      </w:tblGrid>
      <w:tr>
        <w:trPr>
          <w:cantSplit/>
          <w:tblHeader w:val="true"/>
        </w:trPr>
        <w:tc>
          <w:tcPr>
            <w:tcW w:type="dxa" w:w="198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姓名或单位</w:t>
            </w:r>
          </w:p>
        </w:tc>
        <w:tc>
          <w:tcPr>
            <w:tcW w:type="dxa" w:w="232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身份及专业领域</w:t>
            </w:r>
          </w:p>
        </w:tc>
        <w:tc>
          <w:tcPr>
            <w:tcW w:type="dxa" w:w="283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实际支持内容</w:t>
            </w:r>
          </w:p>
        </w:tc>
        <w:tc>
          <w:tcPr>
            <w:tcW w:type="dxa" w:w="204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证明材料</w:t>
            </w:r>
          </w:p>
        </w:tc>
      </w:tr>
      <w:tr>
        <w:trPr>
          <w:cantSplit/>
        </w:trPr>
        <w:tc>
          <w:tcPr>
            <w:tcW w:type="dxa" w:w="198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8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98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8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32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835"/>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拟定组织和协作机制</w:t>
      </w:r>
    </w:p>
    <w:p>
      <w:pPr>
        <w:ind w:firstLine="480"/>
      </w:pPr>
      <w:r>
        <w:rPr>
          <w:b w:val="0"/>
        </w:rPr>
        <w:t>拟由项目负责人统筹范围与阶段目标；产品研发负责功能与安全；教学运营负责教员和服务质量；市场负责调研及推广；财务合规负责资金记录、合同和许可核查。重要定价、收费上线、敏感信息和退款执行应明确审批与复核权限，避免只由研发人员决定经营规则。</w:t>
      </w:r>
    </w:p>
    <w:p>
      <w:pPr>
        <w:ind w:firstLine="480"/>
      </w:pPr>
      <w:r>
        <w:rPr>
          <w:b w:val="0"/>
        </w:rPr>
        <w:t>拟以版本记录、会议纪要、任务成果与用户反馈记录成员贡献。人员变更时维护代码、资料和账户权限的交接；股权、收益和知识产权归属由实际参与者协商形成书面约定。</w:t>
      </w:r>
    </w:p>
    <w:p>
      <w:pPr>
        <w:keepLines/>
        <w:ind w:firstLine="0"/>
      </w:pPr>
      <w:r>
        <w:rPr>
          <w:b w:val="0"/>
        </w:rPr>
        <w:t>团队分工和决策机制：</w:t>
      </w:r>
      <w:r>
        <w:t>＿＿＿＿＿＿＿＿＿＿＿＿＿＿＿＿＿＿＿＿＿＿＿＿＿＿</w:t>
      </w:r>
    </w:p>
    <w:p>
      <w:pPr>
        <w:keepLines/>
        <w:ind w:firstLine="0"/>
      </w:pPr>
      <w:r>
        <w:rPr>
          <w:b w:val="0"/>
        </w:rPr>
        <w:t>股权或收益分配：</w:t>
      </w:r>
      <w:r>
        <w:t>＿＿＿＿＿＿＿＿＿＿＿＿＿＿＿＿＿＿＿＿＿＿＿＿＿＿＿＿</w:t>
      </w:r>
    </w:p>
    <w:p>
      <w:pPr>
        <w:keepLines/>
        <w:ind w:firstLine="0"/>
      </w:pPr>
      <w:r>
        <w:rPr>
          <w:b w:val="0"/>
        </w:rPr>
        <w:t>成员稳定性和激励安排：</w:t>
      </w:r>
      <w:r>
        <w:t>＿＿＿＿＿＿＿＿＿＿＿＿＿＿＿＿＿＿＿＿＿＿＿＿＿</w:t>
      </w:r>
    </w:p>
    <w:p>
      <w:pPr>
        <w:keepLines/>
        <w:ind w:firstLine="0"/>
      </w:pPr>
      <w:r>
        <w:rPr>
          <w:b w:val="0"/>
        </w:rPr>
        <w:t>人员补充计划：</w:t>
      </w:r>
      <w:r>
        <w:t>＿＿＿＿＿＿＿＿＿＿＿＿＿＿＿＿＿＿＿＿＿＿＿＿＿＿＿＿＿</w:t>
      </w:r>
    </w:p>
    <w:p>
      <w:bookmarkStart w:id="113" w:name="chapter_13"/>
      <w:pPr>
        <w:pStyle w:val="Heading1"/>
        <w:pageBreakBefore w:val="0"/>
      </w:pPr>
      <w:r>
        <w:t>第十三章 专业实践与个人成长</w:t>
      </w:r>
      <w:bookmarkEnd w:id="113"/>
    </w:p>
    <w:p>
      <w:pPr>
        <w:pStyle w:val="Heading2"/>
      </w:pPr>
      <w:r>
        <w:t>从亲身问题到项目实践</w:t>
      </w:r>
    </w:p>
    <w:p>
      <w:pPr>
        <w:ind w:firstLine="480"/>
      </w:pPr>
      <w:r>
        <w:rPr>
          <w:b w:val="0"/>
        </w:rPr>
        <w:t>项目体现从生活经历中发现问题、把问题拆解为具体服务流程、用软件原型检验流程的实践路径。创办人需要从关注能否找到一份兼职，进一步理解家庭需求、信息可信度、履约责任与社会服务边界。个人成长应由实际参与与反思呈现，不用团队职务或工具生成内容替代能力证明。</w:t>
      </w:r>
    </w:p>
    <w:p>
      <w:pPr>
        <w:pStyle w:val="Heading2"/>
      </w:pPr>
      <w:r>
        <w:t>专业知识与创业知识结合</w:t>
      </w:r>
    </w:p>
    <w:p>
      <w:pPr>
        <w:ind w:firstLine="480"/>
      </w:pPr>
      <w:r>
        <w:rPr>
          <w:b w:val="0"/>
        </w:rPr>
        <w:t>产品研发可以体现需求分析、软件设计、数据库、测试与权限治理知识的应用；真实创业实践还需要学习用户研究、教学质量、财务测算、组织协作与合规判断。具体课程、科研训练、指导教师投入和学校孵化支持依据真实材料填写，不推定项目已经与某课程或科研成果关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417"/>
        <w:gridCol w:w="3231"/>
        <w:gridCol w:w="2268"/>
      </w:tblGrid>
      <w:tr>
        <w:trPr>
          <w:cantSplit/>
          <w:tblHeader w:val="true"/>
        </w:trPr>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课程或训练经历</w:t>
            </w:r>
          </w:p>
        </w:tc>
        <w:tc>
          <w:tcPr>
            <w:tcW w:type="dxa" w:w="141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参与成员</w:t>
            </w:r>
          </w:p>
        </w:tc>
        <w:tc>
          <w:tcPr>
            <w:tcW w:type="dxa" w:w="323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如何应用于项目</w:t>
            </w:r>
          </w:p>
        </w:tc>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成果及反思</w:t>
            </w:r>
          </w:p>
        </w:tc>
      </w:tr>
      <w:tr>
        <w:trPr>
          <w:cantSplit/>
        </w:trPr>
        <w:tc>
          <w:tcPr>
            <w:tcW w:type="dxa" w:w="226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32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26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323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26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32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26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323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26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32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团队贡献与成长证据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268"/>
        <w:gridCol w:w="2665"/>
        <w:gridCol w:w="2268"/>
      </w:tblGrid>
      <w:tr>
        <w:trPr>
          <w:cantSplit/>
          <w:tblHeader w:val="true"/>
        </w:trPr>
        <w:tc>
          <w:tcPr>
            <w:tcW w:type="dxa" w:w="198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成员或教师</w:t>
            </w:r>
          </w:p>
        </w:tc>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实际任务</w:t>
            </w:r>
          </w:p>
        </w:tc>
        <w:tc>
          <w:tcPr>
            <w:tcW w:type="dxa" w:w="266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投入及成果</w:t>
            </w:r>
          </w:p>
        </w:tc>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能力变化及证明</w:t>
            </w:r>
          </w:p>
        </w:tc>
      </w:tr>
      <w:tr>
        <w:trPr>
          <w:cantSplit/>
        </w:trPr>
        <w:tc>
          <w:tcPr>
            <w:tcW w:type="dxa" w:w="198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66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8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665"/>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98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66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8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665"/>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学校支持及孵化材料：</w:t>
      </w:r>
      <w:r>
        <w:t>＿＿＿＿＿＿＿＿＿＿＿＿＿＿＿＿＿＿＿＿＿＿＿＿＿＿</w:t>
      </w:r>
    </w:p>
    <w:p>
      <w:pPr>
        <w:keepLines/>
        <w:ind w:firstLine="0"/>
      </w:pPr>
      <w:r>
        <w:rPr>
          <w:b w:val="0"/>
        </w:rPr>
        <w:t>复盘和个人成长叙述：</w:t>
      </w:r>
      <w:r>
        <w:t>＿＿＿＿＿＿＿＿＿＿＿＿＿＿＿＿＿＿＿＿＿＿＿＿＿＿</w:t>
      </w:r>
    </w:p>
    <w:p>
      <w:bookmarkStart w:id="114" w:name="chapter_14"/>
      <w:pPr>
        <w:pStyle w:val="Heading1"/>
        <w:pageBreakBefore w:val="0"/>
      </w:pPr>
      <w:r>
        <w:t>第十四章 合规方案与知识产权</w:t>
      </w:r>
      <w:bookmarkEnd w:id="114"/>
    </w:p>
    <w:p>
      <w:pPr>
        <w:pStyle w:val="Heading2"/>
      </w:pPr>
      <w:r>
        <w:t>教育服务范围与经营前提</w:t>
      </w:r>
    </w:p>
    <w:p>
      <w:pPr>
        <w:ind w:firstLine="480"/>
      </w:pPr>
      <w:r>
        <w:rPr>
          <w:b w:val="0"/>
        </w:rPr>
        <w:t>项目涉及未成年人及家教场景，服务范围需要结合校外培训监管规则和当地执行要求核实。《校外培训行政处罚暂行办法》对未经审批开展校外培训及变相学科类培训作出规定；仅改称家教、咨询或信息撮合不当然排除监管适用。产品具备约课功能，不等于已经取得经营条件或教员资格。[3]</w:t>
      </w:r>
    </w:p>
    <w:p>
      <w:pPr>
        <w:ind w:firstLine="480"/>
      </w:pPr>
      <w:r>
        <w:rPr>
          <w:b w:val="0"/>
        </w:rPr>
        <w:t>在面向未成年人组织付费服务前，拟向所在地相关主管部门或专业机构核实业务属性、服务内容、人员要求和许可责任。未完成确认前以非经营性的产品演示和自愿需求调研为主；具体允许开展的服务、经营主体及合作方式在取得材料后填写，不擅自扩大承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49"/>
        <w:gridCol w:w="1928"/>
        <w:gridCol w:w="2608"/>
      </w:tblGrid>
      <w:tr>
        <w:trPr>
          <w:cantSplit/>
          <w:tblHeader w:val="true"/>
        </w:trPr>
        <w:tc>
          <w:tcPr>
            <w:tcW w:type="dxa" w:w="4649"/>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核验事项</w:t>
            </w:r>
          </w:p>
        </w:tc>
        <w:tc>
          <w:tcPr>
            <w:tcW w:type="dxa" w:w="192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责任主体</w:t>
            </w:r>
          </w:p>
        </w:tc>
        <w:tc>
          <w:tcPr>
            <w:tcW w:type="dxa" w:w="260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结论及材料编号</w:t>
            </w:r>
          </w:p>
        </w:tc>
      </w:tr>
      <w:tr>
        <w:trPr>
          <w:cantSplit/>
        </w:trPr>
        <w:tc>
          <w:tcPr>
            <w:tcW w:type="dxa" w:w="464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服务对象、内容及学科属性</w:t>
            </w:r>
          </w:p>
        </w:tc>
        <w:tc>
          <w:tcPr>
            <w:tcW w:type="dxa" w:w="192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464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办学或经营条件与相关许可</w:t>
            </w:r>
          </w:p>
        </w:tc>
        <w:tc>
          <w:tcPr>
            <w:tcW w:type="dxa" w:w="192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464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教员资格和身份审核要求</w:t>
            </w:r>
          </w:p>
        </w:tc>
        <w:tc>
          <w:tcPr>
            <w:tcW w:type="dxa" w:w="192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464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平台及合作方责任边界</w:t>
            </w:r>
          </w:p>
        </w:tc>
        <w:tc>
          <w:tcPr>
            <w:tcW w:type="dxa" w:w="192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464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网站、网络服务备案与适用资质</w:t>
            </w:r>
          </w:p>
        </w:tc>
        <w:tc>
          <w:tcPr>
            <w:tcW w:type="dxa" w:w="192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464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服务协议与消费者权益条款</w:t>
            </w:r>
          </w:p>
        </w:tc>
        <w:tc>
          <w:tcPr>
            <w:tcW w:type="dxa" w:w="192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未成年人及个人信息保护</w:t>
      </w:r>
    </w:p>
    <w:p>
      <w:pPr>
        <w:ind w:firstLine="480"/>
      </w:pPr>
      <w:r>
        <w:rPr>
          <w:b w:val="0"/>
        </w:rPr>
        <w:t>拟按最小必要原则收集资料，分别说明使用目的、公开范围和保留期限。个人信息保护法对敏感信息及不满十四周岁未成年人的信息处理有专门规定，包括监护人同意要求；现有角色与监护绑定功能不能替代完整的告知、同意和权益响应机制。[4]</w:t>
      </w:r>
    </w:p>
    <w:p>
      <w:pPr>
        <w:ind w:firstLine="480"/>
      </w:pPr>
      <w:r>
        <w:rPr>
          <w:b w:val="0"/>
        </w:rPr>
        <w:t>公开教师资料应与私有证件分离；课堂公开反馈与教师内部备忘分别授权。试点前完善监护人授权、隐私告知、访问和删除申请、第三方服务协议、泄露应急和数据保留规则。健康或注意力相关信息不用于医学判断，且不在非必要情况下采集。</w:t>
      </w:r>
    </w:p>
    <w:p>
      <w:pPr>
        <w:pStyle w:val="Heading2"/>
      </w:pPr>
      <w:r>
        <w:t>支付结算及消费者权益</w:t>
      </w:r>
    </w:p>
    <w:p>
      <w:pPr>
        <w:ind w:firstLine="480"/>
      </w:pPr>
      <w:r>
        <w:rPr>
          <w:b w:val="0"/>
        </w:rPr>
        <w:t>真实支付须选择有相应资质的银行或支付服务机构，并核实平台的收款、分账、退款与结算安排。非银行支付业务受专门监管，产品中的钱包和余额记录不证明平台获得资金托管或支付业务资格；不能以演示余额承诺对真实资金提供担保。[5]</w:t>
      </w:r>
    </w:p>
    <w:p>
      <w:pPr>
        <w:ind w:firstLine="480"/>
      </w:pPr>
      <w:r>
        <w:rPr>
          <w:b w:val="0"/>
        </w:rPr>
        <w:t>正式服务须明确授课费用、平台收入、教员报酬、退款条件和取消责任。是否允许储值、预付费以及资金路径须另行审查；上线前应完成真实回调验签、异常对账和重复退款测试。未经确认，不让客户向个人账户支付平台承诺托管的费用。</w:t>
      </w:r>
    </w:p>
    <w:p>
      <w:pPr>
        <w:pStyle w:val="Heading2"/>
      </w:pPr>
      <w:r>
        <w:t>知识产权与成果归属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68"/>
        <w:gridCol w:w="2494"/>
        <w:gridCol w:w="1814"/>
      </w:tblGrid>
      <w:tr>
        <w:trPr>
          <w:cantSplit/>
          <w:tblHeader w:val="true"/>
        </w:trPr>
        <w:tc>
          <w:tcPr>
            <w:tcW w:type="dxa" w:w="260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事项</w:t>
            </w:r>
          </w:p>
        </w:tc>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权利人或授权方</w:t>
            </w:r>
          </w:p>
        </w:tc>
        <w:tc>
          <w:tcPr>
            <w:tcW w:type="dxa" w:w="249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登记或授权记录</w:t>
            </w:r>
          </w:p>
        </w:tc>
        <w:tc>
          <w:tcPr>
            <w:tcW w:type="dxa" w:w="181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证明附件</w:t>
            </w:r>
          </w:p>
        </w:tc>
      </w:tr>
      <w:tr>
        <w:trPr>
          <w:cantSplit/>
        </w:trPr>
        <w:tc>
          <w:tcPr>
            <w:tcW w:type="dxa" w:w="260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软件源代码及原创范围</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49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第三方代码和开源许可</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49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品牌、域名与商标</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49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图像、字体和界面素材</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49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教学资料和试题版权</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49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软件著作权或专利</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49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成员和学校成果归属约定：</w:t>
      </w:r>
      <w:r>
        <w:t>＿＿＿＿＿＿＿＿＿＿＿＿＿＿＿＿＿＿＿＿＿＿＿＿</w:t>
      </w:r>
    </w:p>
    <w:p>
      <w:pPr>
        <w:keepLines/>
        <w:ind w:firstLine="0"/>
      </w:pPr>
      <w:r>
        <w:rPr>
          <w:b w:val="0"/>
        </w:rPr>
        <w:t>外部法律或合规核验结论：</w:t>
      </w:r>
      <w:r>
        <w:t>＿＿＿＿＿＿＿＿＿＿＿＿＿＿＿＿＿＿＿＿＿＿＿＿</w:t>
      </w:r>
    </w:p>
    <w:p>
      <w:bookmarkStart w:id="115" w:name="chapter_15"/>
      <w:pPr>
        <w:pStyle w:val="Heading1"/>
        <w:pageBreakBefore/>
      </w:pPr>
      <w:r>
        <w:t>第十五章 财务预测与经济可行性</w:t>
      </w:r>
      <w:bookmarkEnd w:id="115"/>
    </w:p>
    <w:p>
      <w:pPr>
        <w:pStyle w:val="Heading2"/>
      </w:pPr>
      <w:r>
        <w:t>预测基础和数据口径</w:t>
      </w:r>
    </w:p>
    <w:p>
      <w:pPr>
        <w:ind w:firstLine="480"/>
      </w:pPr>
      <w:r>
        <w:rPr>
          <w:b w:val="0"/>
        </w:rPr>
        <w:t>预测以已确认的合法服务范围、收费方案和实际运营能力为基础。下列报表按第一年至第三年保留，起始年份、实际历史数据和全部金额待填写。成交额、客户预付资金与教员报酬不直接作为平台营业收入；补贴、融资和主营收入分别记录，收入确认及税务处理由适用会计规则确认。</w:t>
      </w:r>
    </w:p>
    <w:p>
      <w:pPr>
        <w:keepLines/>
        <w:ind w:firstLine="0"/>
      </w:pPr>
      <w:r>
        <w:rPr>
          <w:b w:val="0"/>
        </w:rPr>
        <w:t>预测起始年份：</w:t>
      </w:r>
      <w:r>
        <w:t>＿＿＿＿＿＿＿＿＿＿＿＿＿＿＿＿＿＿＿＿＿＿＿＿＿＿＿＿＿</w:t>
      </w:r>
    </w:p>
    <w:p>
      <w:pPr>
        <w:keepLines/>
        <w:ind w:firstLine="0"/>
      </w:pPr>
      <w:r>
        <w:rPr>
          <w:b w:val="0"/>
        </w:rPr>
        <w:t>金额单位：</w:t>
      </w:r>
      <w:r>
        <w:t>＿＿＿＿＿＿＿＿＿＿＿＿＿＿＿＿＿＿＿＿＿＿＿＿＿＿＿＿＿＿＿</w:t>
      </w:r>
    </w:p>
    <w:p>
      <w:pPr>
        <w:keepLines/>
        <w:ind w:firstLine="0"/>
      </w:pPr>
      <w:r>
        <w:rPr>
          <w:b w:val="0"/>
        </w:rPr>
        <w:t>期初资金与实际投入：</w:t>
      </w:r>
      <w:r>
        <w:t>＿＿＿＿＿＿＿＿＿＿＿＿＿＿＿＿＿＿＿＿＿＿＿＿＿＿</w:t>
      </w:r>
    </w:p>
    <w:p>
      <w:pPr>
        <w:keepLines/>
        <w:ind w:firstLine="0"/>
      </w:pPr>
      <w:r>
        <w:rPr>
          <w:b w:val="0"/>
        </w:rPr>
        <w:t>主要数据来源和编制责任人：</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1757"/>
        <w:gridCol w:w="1757"/>
        <w:gridCol w:w="1757"/>
      </w:tblGrid>
      <w:tr>
        <w:trPr>
          <w:cantSplit/>
          <w:tblHeader w:val="true"/>
        </w:trPr>
        <w:tc>
          <w:tcPr>
            <w:tcW w:type="dxa" w:w="391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关键假设</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第一年</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第二年</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第三年</w:t>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有效付费家庭数</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参与并履约的教员数</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每家庭平均年度履约课时</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平均每课时收费</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平台实际费率或单笔收费</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退款率和取消率</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持续使用或续用比例</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新增付费用户获客成本</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每单运营与渠道成本</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人员规模和固定成本</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税费与收入确认假设</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三年利润预测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1757"/>
        <w:gridCol w:w="1757"/>
        <w:gridCol w:w="1757"/>
      </w:tblGrid>
      <w:tr>
        <w:trPr>
          <w:cantSplit/>
          <w:tblHeader w:val="true"/>
        </w:trPr>
        <w:tc>
          <w:tcPr>
            <w:tcW w:type="dxa" w:w="391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项目</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第一年</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第二年</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第三年</w:t>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履约服务收入</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工具或合作服务收入</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其他营业收入</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营业收入合计</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营业成本</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毛利</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市场推广费用</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运营管理费用</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研发维护费用</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财务费用</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税金及附加</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其他损益</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利润总额</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所得税费用</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净利润</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三年现金流预测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1757"/>
        <w:gridCol w:w="1757"/>
        <w:gridCol w:w="1757"/>
      </w:tblGrid>
      <w:tr>
        <w:trPr>
          <w:cantSplit/>
          <w:tblHeader w:val="true"/>
        </w:trPr>
        <w:tc>
          <w:tcPr>
            <w:tcW w:type="dxa" w:w="391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项目</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第一年</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第二年</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第三年</w:t>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期初现金余额</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经营现金流入</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经营现金流出</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经营现金净额</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投资现金流入</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投资现金流出</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投资现金净额</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筹资现金流入</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筹资现金流出</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筹资现金净额</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现金净增加额</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期末现金余额</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ind w:firstLine="480"/>
      </w:pPr>
      <w:r>
        <w:rPr>
          <w:b w:val="0"/>
        </w:rPr>
        <w:t>现金余额不包含无权自由使用的客户资金。即使收入增长，退款、应付教员报酬和渠道结算时间差也可能形成资金压力，应逐月核对首年的现金安排。</w:t>
      </w:r>
    </w:p>
    <w:p>
      <w:pPr>
        <w:pStyle w:val="Heading2"/>
      </w:pPr>
      <w:r>
        <w:t>三年资产负债预测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12"/>
        <w:gridCol w:w="1757"/>
        <w:gridCol w:w="1757"/>
        <w:gridCol w:w="1757"/>
      </w:tblGrid>
      <w:tr>
        <w:trPr>
          <w:cantSplit/>
          <w:tblHeader w:val="true"/>
        </w:trPr>
        <w:tc>
          <w:tcPr>
            <w:tcW w:type="dxa" w:w="3912"/>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项目</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第一年</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第二年</w:t>
            </w:r>
          </w:p>
        </w:tc>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第三年</w:t>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货币资金</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应收款项</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预付款及其他流动资产</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固定及无形资产净额</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资产总额</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应付教员报酬及其他应付款</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预收及合同负债</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借款及其他负债</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负债总额</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实收资本及资本公积</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累计未分配利润</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所有者权益合计</w:t>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912"/>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负债和所有者权益合计</w:t>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75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盈亏平衡和敏感性分析</w:t>
      </w:r>
    </w:p>
    <w:p>
      <w:pPr>
        <w:ind w:firstLine="480"/>
      </w:pPr>
      <w:r>
        <w:rPr>
          <w:b w:val="0"/>
        </w:rPr>
        <w:t>单期平台净收入按已履约服务数量、收费方式和退款调整测算；贡献毛利为平台净收入扣除相关可变成本。固定成本除以单笔贡献毛利可以估计盈亏平衡所需单量，但当贡献毛利非正时不能据此声称可以通过扩大规模实现盈利。现金安全期另以可自由使用资金和净流出测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2268"/>
        <w:gridCol w:w="1984"/>
        <w:gridCol w:w="2211"/>
      </w:tblGrid>
      <w:tr>
        <w:trPr>
          <w:cantSplit/>
          <w:tblHeader w:val="true"/>
        </w:trPr>
        <w:tc>
          <w:tcPr>
            <w:tcW w:type="dxa" w:w="272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情景或指标</w:t>
            </w:r>
          </w:p>
        </w:tc>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对应假设</w:t>
            </w:r>
          </w:p>
        </w:tc>
        <w:tc>
          <w:tcPr>
            <w:tcW w:type="dxa" w:w="198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结果</w:t>
            </w:r>
          </w:p>
        </w:tc>
        <w:tc>
          <w:tcPr>
            <w:tcW w:type="dxa" w:w="221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采取的措施</w:t>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基准情景</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1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需求较低情景</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1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获客成本上升情景</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1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退款增加情景</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1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盈亏平衡单量或收入</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1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现金安全期</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1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投入回收期</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98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1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实际经营财务记录及凭证编号：</w:t>
      </w:r>
      <w:r>
        <w:t>＿＿＿＿＿＿＿＿＿＿＿＿＿＿＿＿＿＿＿＿＿＿</w:t>
      </w:r>
    </w:p>
    <w:p>
      <w:bookmarkStart w:id="116" w:name="chapter_16"/>
      <w:pPr>
        <w:pStyle w:val="Heading1"/>
        <w:pageBreakBefore w:val="0"/>
      </w:pPr>
      <w:r>
        <w:t>第十六章 融资方案与资金使用</w:t>
      </w:r>
      <w:bookmarkEnd w:id="116"/>
    </w:p>
    <w:p>
      <w:pPr>
        <w:pStyle w:val="Heading2"/>
      </w:pPr>
      <w:r>
        <w:t>资金需求与来源</w:t>
      </w:r>
    </w:p>
    <w:p>
      <w:pPr>
        <w:ind w:firstLine="480"/>
      </w:pPr>
      <w:r>
        <w:rPr>
          <w:b w:val="0"/>
        </w:rPr>
        <w:t>项目拟先确定小规模验证所需的最低资金和可交付成果，再决定自筹、学校支持、合规资助或外部融资。融资金额、估值和股权比例不由示例数字推定；已获得资金和拟申请资金分别记录，不将尚未批准的资助当作到位现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68"/>
        <w:gridCol w:w="2268"/>
        <w:gridCol w:w="2041"/>
      </w:tblGrid>
      <w:tr>
        <w:trPr>
          <w:cantSplit/>
          <w:tblHeader w:val="true"/>
        </w:trPr>
        <w:tc>
          <w:tcPr>
            <w:tcW w:type="dxa" w:w="260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资金来源</w:t>
            </w:r>
          </w:p>
        </w:tc>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拟申请或投入金额</w:t>
            </w:r>
          </w:p>
        </w:tc>
        <w:tc>
          <w:tcPr>
            <w:tcW w:type="dxa" w:w="226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已实际到位金额</w:t>
            </w:r>
          </w:p>
        </w:tc>
        <w:tc>
          <w:tcPr>
            <w:tcW w:type="dxa" w:w="204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条件与证明</w:t>
            </w:r>
          </w:p>
        </w:tc>
      </w:tr>
      <w:tr>
        <w:trPr>
          <w:cantSplit/>
        </w:trPr>
        <w:tc>
          <w:tcPr>
            <w:tcW w:type="dxa" w:w="260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发起人及团队自筹</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学校创新创业支持</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政府或公益资助</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外部股权融资</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其他来源</w:t>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60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合计</w:t>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26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04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资金用途与里程碑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474"/>
        <w:gridCol w:w="2381"/>
        <w:gridCol w:w="2381"/>
      </w:tblGrid>
      <w:tr>
        <w:trPr>
          <w:cantSplit/>
          <w:tblHeader w:val="true"/>
        </w:trPr>
        <w:tc>
          <w:tcPr>
            <w:tcW w:type="dxa" w:w="294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用途</w:t>
            </w:r>
          </w:p>
        </w:tc>
        <w:tc>
          <w:tcPr>
            <w:tcW w:type="dxa" w:w="147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预算</w:t>
            </w:r>
          </w:p>
        </w:tc>
        <w:tc>
          <w:tcPr>
            <w:tcW w:type="dxa" w:w="238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支付安排</w:t>
            </w:r>
          </w:p>
        </w:tc>
        <w:tc>
          <w:tcPr>
            <w:tcW w:type="dxa" w:w="238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对应交付结果</w:t>
            </w:r>
          </w:p>
        </w:tc>
      </w:tr>
      <w:tr>
        <w:trPr>
          <w:cantSplit/>
        </w:trPr>
        <w:tc>
          <w:tcPr>
            <w:tcW w:type="dxa" w:w="294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调研与用户研究</w:t>
            </w:r>
          </w:p>
        </w:tc>
        <w:tc>
          <w:tcPr>
            <w:tcW w:type="dxa" w:w="147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94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教员审核与教学质量</w:t>
            </w:r>
          </w:p>
        </w:tc>
        <w:tc>
          <w:tcPr>
            <w:tcW w:type="dxa" w:w="147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94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服务器、短信及渠道</w:t>
            </w:r>
          </w:p>
        </w:tc>
        <w:tc>
          <w:tcPr>
            <w:tcW w:type="dxa" w:w="147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94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研发维护与安全验证</w:t>
            </w:r>
          </w:p>
        </w:tc>
        <w:tc>
          <w:tcPr>
            <w:tcW w:type="dxa" w:w="147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94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合规、合同及知识产权</w:t>
            </w:r>
          </w:p>
        </w:tc>
        <w:tc>
          <w:tcPr>
            <w:tcW w:type="dxa" w:w="147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94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试点运营与推广</w:t>
            </w:r>
          </w:p>
        </w:tc>
        <w:tc>
          <w:tcPr>
            <w:tcW w:type="dxa" w:w="147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94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风险准备和周转资金</w:t>
            </w:r>
          </w:p>
        </w:tc>
        <w:tc>
          <w:tcPr>
            <w:tcW w:type="dxa" w:w="147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融资条件与投资退出</w:t>
      </w:r>
    </w:p>
    <w:p>
      <w:pPr>
        <w:keepLines/>
        <w:ind w:firstLine="0"/>
      </w:pPr>
      <w:r>
        <w:rPr>
          <w:b w:val="0"/>
        </w:rPr>
        <w:t>拟融资总额：</w:t>
      </w:r>
      <w:r>
        <w:t>＿＿＿＿＿＿＿＿＿＿＿＿＿＿＿＿＿＿＿＿＿＿＿＿＿＿＿＿＿＿</w:t>
      </w:r>
    </w:p>
    <w:p>
      <w:pPr>
        <w:keepLines/>
        <w:ind w:firstLine="0"/>
      </w:pPr>
      <w:r>
        <w:rPr>
          <w:b w:val="0"/>
        </w:rPr>
        <w:t>拟议估值及股权安排：</w:t>
      </w:r>
      <w:r>
        <w:t>＿＿＿＿＿＿＿＿＿＿＿＿＿＿＿＿＿＿＿＿＿＿＿＿＿＿</w:t>
      </w:r>
    </w:p>
    <w:p>
      <w:pPr>
        <w:keepLines/>
        <w:ind w:firstLine="0"/>
      </w:pPr>
      <w:r>
        <w:rPr>
          <w:b w:val="0"/>
        </w:rPr>
        <w:t>融资用途和使用期限：</w:t>
      </w:r>
      <w:r>
        <w:t>＿＿＿＿＿＿＿＿＿＿＿＿＿＿＿＿＿＿＿＿＿＿＿＿＿＿</w:t>
      </w:r>
    </w:p>
    <w:p>
      <w:pPr>
        <w:keepLines/>
        <w:ind w:firstLine="0"/>
      </w:pPr>
      <w:r>
        <w:rPr>
          <w:b w:val="0"/>
        </w:rPr>
        <w:t>投资人权利与治理约定：</w:t>
      </w:r>
      <w:r>
        <w:t>＿＿＿＿＿＿＿＿＿＿＿＿＿＿＿＿＿＿＿＿＿＿＿＿＿</w:t>
      </w:r>
    </w:p>
    <w:p>
      <w:pPr>
        <w:keepLines/>
        <w:ind w:firstLine="0"/>
      </w:pPr>
      <w:r>
        <w:rPr>
          <w:b w:val="0"/>
        </w:rPr>
        <w:t>后续融资条件：</w:t>
      </w:r>
      <w:r>
        <w:t>＿＿＿＿＿＿＿＿＿＿＿＿＿＿＿＿＿＿＿＿＿＿＿＿＿＿＿＿＿</w:t>
      </w:r>
    </w:p>
    <w:p>
      <w:pPr>
        <w:keepLines/>
        <w:ind w:firstLine="0"/>
      </w:pPr>
      <w:r>
        <w:rPr>
          <w:b w:val="0"/>
        </w:rPr>
        <w:t>依法约定的退出机制：</w:t>
      </w:r>
      <w:r>
        <w:t>＿＿＿＿＿＿＿＿＿＿＿＿＿＿＿＿＿＿＿＿＿＿＿＿＿＿</w:t>
      </w:r>
    </w:p>
    <w:p>
      <w:pPr>
        <w:ind w:firstLine="480"/>
      </w:pPr>
      <w:r>
        <w:rPr>
          <w:b w:val="0"/>
        </w:rPr>
        <w:t>涉及股权、借款或回购安排时，须说明适用条件和现金流约束，不承诺固定收益、保本回报或必然退出。融资计划不能以未验证的市场份额或模拟订单估值。</w:t>
      </w:r>
    </w:p>
    <w:p>
      <w:bookmarkStart w:id="117" w:name="chapter_17"/>
      <w:pPr>
        <w:pStyle w:val="Heading1"/>
        <w:pageBreakBefore w:val="0"/>
      </w:pPr>
      <w:r>
        <w:t>第十七章 实施进度与阶段目标</w:t>
      </w:r>
      <w:bookmarkEnd w:id="117"/>
    </w:p>
    <w:p>
      <w:pPr>
        <w:pStyle w:val="Heading2"/>
      </w:pPr>
      <w:r>
        <w:t>按证据推进的实施路径</w:t>
      </w:r>
    </w:p>
    <w:p>
      <w:pPr>
        <w:ind w:firstLine="480"/>
      </w:pPr>
      <w:r>
        <w:rPr>
          <w:b w:val="0"/>
        </w:rPr>
        <w:t>研发原型已完成本地验收。接续工作拟先核实服务范围与经营前提，补充真实需求调查，再完善正式渠道和开展可控试点；产品、市场与资金条件均成立后才扩大服务。某一阶段缺少关键条件时调整时间与范围，不把尚未具备的资源写成已完成事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891"/>
        <w:gridCol w:w="2948"/>
        <w:gridCol w:w="1701"/>
      </w:tblGrid>
      <w:tr>
        <w:trPr>
          <w:cantSplit/>
          <w:tblHeader w:val="true"/>
        </w:trPr>
        <w:tc>
          <w:tcPr>
            <w:tcW w:type="dxa" w:w="164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阶段</w:t>
            </w:r>
          </w:p>
        </w:tc>
        <w:tc>
          <w:tcPr>
            <w:tcW w:type="dxa" w:w="289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主要工作</w:t>
            </w:r>
          </w:p>
        </w:tc>
        <w:tc>
          <w:tcPr>
            <w:tcW w:type="dxa" w:w="294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验收成果</w:t>
            </w:r>
          </w:p>
        </w:tc>
        <w:tc>
          <w:tcPr>
            <w:tcW w:type="dxa" w:w="170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起止时间</w:t>
            </w:r>
          </w:p>
        </w:tc>
      </w:tr>
      <w:tr>
        <w:trPr>
          <w:cantSplit/>
        </w:trPr>
        <w:tc>
          <w:tcPr>
            <w:tcW w:type="dxa" w:w="164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本地原型</w:t>
            </w:r>
          </w:p>
        </w:tc>
        <w:tc>
          <w:tcPr>
            <w:tcW w:type="dxa" w:w="289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现有交易与学习流程研发验证</w:t>
            </w:r>
          </w:p>
        </w:tc>
        <w:tc>
          <w:tcPr>
            <w:tcW w:type="dxa" w:w="294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已形成报告、测试记录与源码交付</w:t>
            </w:r>
          </w:p>
        </w:tc>
        <w:tc>
          <w:tcPr>
            <w:tcW w:type="dxa" w:w="170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截至2026年10月12日</w:t>
            </w:r>
          </w:p>
        </w:tc>
      </w:tr>
      <w:tr>
        <w:trPr>
          <w:cantSplit/>
        </w:trPr>
        <w:tc>
          <w:tcPr>
            <w:tcW w:type="dxa" w:w="164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范围核验</w:t>
            </w:r>
          </w:p>
        </w:tc>
        <w:tc>
          <w:tcPr>
            <w:tcW w:type="dxa" w:w="289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服务主体、合规范围、数据与收费规则</w:t>
            </w:r>
          </w:p>
        </w:tc>
        <w:tc>
          <w:tcPr>
            <w:tcW w:type="dxa" w:w="294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明确可开展的服务及证明</w:t>
            </w:r>
          </w:p>
        </w:tc>
        <w:tc>
          <w:tcPr>
            <w:tcW w:type="dxa" w:w="170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64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需求研究</w:t>
            </w:r>
          </w:p>
        </w:tc>
        <w:tc>
          <w:tcPr>
            <w:tcW w:type="dxa" w:w="289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教员及家庭访谈、原型可用性观察</w:t>
            </w:r>
          </w:p>
        </w:tc>
        <w:tc>
          <w:tcPr>
            <w:tcW w:type="dxa" w:w="294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可核对的原始材料和问题清单</w:t>
            </w:r>
          </w:p>
        </w:tc>
        <w:tc>
          <w:tcPr>
            <w:tcW w:type="dxa" w:w="170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64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渠道与部署</w:t>
            </w:r>
          </w:p>
        </w:tc>
        <w:tc>
          <w:tcPr>
            <w:tcW w:type="dxa" w:w="289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独立服务器、短信、持牌支付及安全配置</w:t>
            </w:r>
          </w:p>
        </w:tc>
        <w:tc>
          <w:tcPr>
            <w:tcW w:type="dxa" w:w="294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真实投递、结算、恢复与监控验证</w:t>
            </w:r>
          </w:p>
        </w:tc>
        <w:tc>
          <w:tcPr>
            <w:tcW w:type="dxa" w:w="170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64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小规模试点</w:t>
            </w:r>
          </w:p>
        </w:tc>
        <w:tc>
          <w:tcPr>
            <w:tcW w:type="dxa" w:w="289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合法范围内招募、履约与质量追踪</w:t>
            </w:r>
          </w:p>
        </w:tc>
        <w:tc>
          <w:tcPr>
            <w:tcW w:type="dxa" w:w="294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真实用户、成本、投诉和反馈记录</w:t>
            </w:r>
          </w:p>
        </w:tc>
        <w:tc>
          <w:tcPr>
            <w:tcW w:type="dxa" w:w="170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64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运营改进</w:t>
            </w:r>
          </w:p>
        </w:tc>
        <w:tc>
          <w:tcPr>
            <w:tcW w:type="dxa" w:w="289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复核单位经济、人员能力与服务标准</w:t>
            </w:r>
          </w:p>
        </w:tc>
        <w:tc>
          <w:tcPr>
            <w:tcW w:type="dxa" w:w="294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达到继续或暂停条件的复盘</w:t>
            </w:r>
          </w:p>
        </w:tc>
        <w:tc>
          <w:tcPr>
            <w:tcW w:type="dxa" w:w="170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64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稳步扩展</w:t>
            </w:r>
          </w:p>
        </w:tc>
        <w:tc>
          <w:tcPr>
            <w:tcW w:type="dxa" w:w="289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按地区和服务能力复制</w:t>
            </w:r>
          </w:p>
        </w:tc>
        <w:tc>
          <w:tcPr>
            <w:tcW w:type="dxa" w:w="294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证明质量及现金流可持续</w:t>
            </w:r>
          </w:p>
        </w:tc>
        <w:tc>
          <w:tcPr>
            <w:tcW w:type="dxa" w:w="170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资源依赖与阶段门槛</w:t>
      </w:r>
    </w:p>
    <w:p>
      <w:pPr>
        <w:ind w:firstLine="480"/>
      </w:pPr>
      <w:r>
        <w:rPr>
          <w:b w:val="0"/>
        </w:rPr>
        <w:t>当前尚无短信服务商、支付商户、测试服务器与域名。真实在线服务须先具备这些资源和适用许可，才能进行全栈验收。性能P95在既有本机负载验证中未达预设门槛，需在独立环境复测；不能由本地功能通过直接推断支持大规模商业用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1531"/>
        <w:gridCol w:w="1531"/>
        <w:gridCol w:w="3118"/>
      </w:tblGrid>
      <w:tr>
        <w:trPr>
          <w:cantSplit/>
          <w:tblHeader w:val="true"/>
        </w:trPr>
        <w:tc>
          <w:tcPr>
            <w:tcW w:type="dxa" w:w="300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阶段指标</w:t>
            </w:r>
          </w:p>
        </w:tc>
        <w:tc>
          <w:tcPr>
            <w:tcW w:type="dxa" w:w="153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目标值</w:t>
            </w:r>
          </w:p>
        </w:tc>
        <w:tc>
          <w:tcPr>
            <w:tcW w:type="dxa" w:w="153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实际值</w:t>
            </w:r>
          </w:p>
        </w:tc>
        <w:tc>
          <w:tcPr>
            <w:tcW w:type="dxa" w:w="311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继续或暂停判据</w:t>
            </w:r>
          </w:p>
        </w:tc>
      </w:tr>
      <w:tr>
        <w:trPr>
          <w:cantSplit/>
        </w:trPr>
        <w:tc>
          <w:tcPr>
            <w:tcW w:type="dxa" w:w="300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供需匹配与履约质量</w:t>
            </w:r>
          </w:p>
        </w:tc>
        <w:tc>
          <w:tcPr>
            <w:tcW w:type="dxa" w:w="15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5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311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00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用户理解和可用性</w:t>
            </w:r>
          </w:p>
        </w:tc>
        <w:tc>
          <w:tcPr>
            <w:tcW w:type="dxa" w:w="153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53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311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00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教员审核与投诉处理</w:t>
            </w:r>
          </w:p>
        </w:tc>
        <w:tc>
          <w:tcPr>
            <w:tcW w:type="dxa" w:w="15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5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311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00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单位经济和现金安全</w:t>
            </w:r>
          </w:p>
        </w:tc>
        <w:tc>
          <w:tcPr>
            <w:tcW w:type="dxa" w:w="153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53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311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00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系统性能及恢复</w:t>
            </w:r>
          </w:p>
        </w:tc>
        <w:tc>
          <w:tcPr>
            <w:tcW w:type="dxa" w:w="15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53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311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00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服务许可与授权</w:t>
            </w:r>
          </w:p>
        </w:tc>
        <w:tc>
          <w:tcPr>
            <w:tcW w:type="dxa" w:w="153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53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311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bookmarkStart w:id="118" w:name="chapter_18"/>
      <w:pPr>
        <w:pStyle w:val="Heading1"/>
        <w:pageBreakBefore w:val="0"/>
      </w:pPr>
      <w:r>
        <w:t>第十八章 风险分析与应对</w:t>
      </w:r>
      <w:bookmarkEnd w:id="118"/>
    </w:p>
    <w:p>
      <w:pPr>
        <w:pStyle w:val="Heading2"/>
      </w:pPr>
      <w:r>
        <w:t>主要风险及应对措施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118"/>
        <w:gridCol w:w="4309"/>
      </w:tblGrid>
      <w:tr>
        <w:trPr>
          <w:cantSplit/>
          <w:tblHeader w:val="true"/>
        </w:trPr>
        <w:tc>
          <w:tcPr>
            <w:tcW w:type="dxa" w:w="175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风险</w:t>
            </w:r>
          </w:p>
        </w:tc>
        <w:tc>
          <w:tcPr>
            <w:tcW w:type="dxa" w:w="311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对项目的影响</w:t>
            </w:r>
          </w:p>
        </w:tc>
        <w:tc>
          <w:tcPr>
            <w:tcW w:type="dxa" w:w="4309"/>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拟采取措施</w:t>
            </w:r>
          </w:p>
        </w:tc>
      </w:tr>
      <w:tr>
        <w:trPr>
          <w:cantSplit/>
        </w:trPr>
        <w:tc>
          <w:tcPr>
            <w:tcW w:type="dxa" w:w="175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监管与资质</w:t>
            </w:r>
          </w:p>
        </w:tc>
        <w:tc>
          <w:tcPr>
            <w:tcW w:type="dxa" w:w="311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服务内容或组织方式不符合要求</w:t>
            </w:r>
          </w:p>
        </w:tc>
        <w:tc>
          <w:tcPr>
            <w:tcW w:type="dxa" w:w="430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先核实业务属性和人员条件；未确认前不收费上线</w:t>
            </w:r>
          </w:p>
        </w:tc>
      </w:tr>
      <w:tr>
        <w:trPr>
          <w:cantSplit/>
        </w:trPr>
        <w:tc>
          <w:tcPr>
            <w:tcW w:type="dxa" w:w="175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供需不足</w:t>
            </w:r>
          </w:p>
        </w:tc>
        <w:tc>
          <w:tcPr>
            <w:tcW w:type="dxa" w:w="311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无法形成有效匹配，推广浪费</w:t>
            </w:r>
          </w:p>
        </w:tc>
        <w:tc>
          <w:tcPr>
            <w:tcW w:type="dxa" w:w="430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限定试点范围，记录无匹配原因和退出意愿</w:t>
            </w:r>
          </w:p>
        </w:tc>
      </w:tr>
      <w:tr>
        <w:trPr>
          <w:cantSplit/>
        </w:trPr>
        <w:tc>
          <w:tcPr>
            <w:tcW w:type="dxa" w:w="175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教学质量</w:t>
            </w:r>
          </w:p>
        </w:tc>
        <w:tc>
          <w:tcPr>
            <w:tcW w:type="dxa" w:w="311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未达到承诺、损害用户信任</w:t>
            </w:r>
          </w:p>
        </w:tc>
        <w:tc>
          <w:tcPr>
            <w:tcW w:type="dxa" w:w="430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审核、示范授课、过程反馈、投诉与复核</w:t>
            </w:r>
          </w:p>
        </w:tc>
      </w:tr>
      <w:tr>
        <w:trPr>
          <w:cantSplit/>
        </w:trPr>
        <w:tc>
          <w:tcPr>
            <w:tcW w:type="dxa" w:w="175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人身和未成年人权益</w:t>
            </w:r>
          </w:p>
        </w:tc>
        <w:tc>
          <w:tcPr>
            <w:tcW w:type="dxa" w:w="311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服务互动产生安全或权益问题</w:t>
            </w:r>
          </w:p>
        </w:tc>
        <w:tc>
          <w:tcPr>
            <w:tcW w:type="dxa" w:w="430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适当监护授权、行为规则、举报和应急机制</w:t>
            </w:r>
          </w:p>
        </w:tc>
      </w:tr>
      <w:tr>
        <w:trPr>
          <w:cantSplit/>
        </w:trPr>
        <w:tc>
          <w:tcPr>
            <w:tcW w:type="dxa" w:w="175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支付及退款</w:t>
            </w:r>
          </w:p>
        </w:tc>
        <w:tc>
          <w:tcPr>
            <w:tcW w:type="dxa" w:w="311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资金误记、重复结算或无法退款</w:t>
            </w:r>
          </w:p>
        </w:tc>
        <w:tc>
          <w:tcPr>
            <w:tcW w:type="dxa" w:w="430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持牌渠道、清晰合同、对账、授权与状态防重</w:t>
            </w:r>
          </w:p>
        </w:tc>
      </w:tr>
      <w:tr>
        <w:trPr>
          <w:cantSplit/>
        </w:trPr>
        <w:tc>
          <w:tcPr>
            <w:tcW w:type="dxa" w:w="175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信息与内容安全</w:t>
            </w:r>
          </w:p>
        </w:tc>
        <w:tc>
          <w:tcPr>
            <w:tcW w:type="dxa" w:w="311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证件、聊天或学习资料泄露</w:t>
            </w:r>
          </w:p>
        </w:tc>
        <w:tc>
          <w:tcPr>
            <w:tcW w:type="dxa" w:w="430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最小必要、对象权限、保留制度与安全评估</w:t>
            </w:r>
          </w:p>
        </w:tc>
      </w:tr>
      <w:tr>
        <w:trPr>
          <w:cantSplit/>
        </w:trPr>
        <w:tc>
          <w:tcPr>
            <w:tcW w:type="dxa" w:w="175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技术与服务中断</w:t>
            </w:r>
          </w:p>
        </w:tc>
        <w:tc>
          <w:tcPr>
            <w:tcW w:type="dxa" w:w="311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预约和学习过程无法持续</w:t>
            </w:r>
          </w:p>
        </w:tc>
        <w:tc>
          <w:tcPr>
            <w:tcW w:type="dxa" w:w="430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监控、备份恢复、容量与并发验证</w:t>
            </w:r>
          </w:p>
        </w:tc>
      </w:tr>
      <w:tr>
        <w:trPr>
          <w:cantSplit/>
        </w:trPr>
        <w:tc>
          <w:tcPr>
            <w:tcW w:type="dxa" w:w="175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团队及知识产权</w:t>
            </w:r>
          </w:p>
        </w:tc>
        <w:tc>
          <w:tcPr>
            <w:tcW w:type="dxa" w:w="3118"/>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人员退出、归属争议或侵权</w:t>
            </w:r>
          </w:p>
        </w:tc>
        <w:tc>
          <w:tcPr>
            <w:tcW w:type="dxa" w:w="430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真实贡献记录、书面归属约定、授权审查</w:t>
            </w:r>
          </w:p>
        </w:tc>
      </w:tr>
      <w:tr>
        <w:trPr>
          <w:cantSplit/>
        </w:trPr>
        <w:tc>
          <w:tcPr>
            <w:tcW w:type="dxa" w:w="175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现金流与融资</w:t>
            </w:r>
          </w:p>
        </w:tc>
        <w:tc>
          <w:tcPr>
            <w:tcW w:type="dxa" w:w="3118"/>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成本投入早于收入或资金不足</w:t>
            </w:r>
          </w:p>
        </w:tc>
        <w:tc>
          <w:tcPr>
            <w:tcW w:type="dxa" w:w="430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低成本验证、分阶段支出、现金安全线</w:t>
            </w:r>
          </w:p>
        </w:tc>
      </w:tr>
    </w:tbl>
    <w:p>
      <w:pPr>
        <w:spacing w:line="20" w:lineRule="exact" w:after="80" w:before="0"/>
        <w:ind w:firstLine="0"/>
      </w:pPr>
    </w:p>
    <w:p>
      <w:pPr>
        <w:pStyle w:val="Heading2"/>
      </w:pPr>
      <w:r>
        <w:t>风险评估与责任安排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2381"/>
        <w:gridCol w:w="1474"/>
        <w:gridCol w:w="2608"/>
      </w:tblGrid>
      <w:tr>
        <w:trPr>
          <w:cantSplit/>
          <w:tblHeader w:val="true"/>
        </w:trPr>
        <w:tc>
          <w:tcPr>
            <w:tcW w:type="dxa" w:w="272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风险事项</w:t>
            </w:r>
          </w:p>
        </w:tc>
        <w:tc>
          <w:tcPr>
            <w:tcW w:type="dxa" w:w="238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概率及影响等级</w:t>
            </w:r>
          </w:p>
        </w:tc>
        <w:tc>
          <w:tcPr>
            <w:tcW w:type="dxa" w:w="147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负责人</w:t>
            </w:r>
          </w:p>
        </w:tc>
        <w:tc>
          <w:tcPr>
            <w:tcW w:type="dxa" w:w="260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预警与处置时间</w:t>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47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47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47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72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47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暂停经营与退出预案</w:t>
      </w:r>
    </w:p>
    <w:p>
      <w:pPr>
        <w:ind w:firstLine="480"/>
      </w:pPr>
      <w:r>
        <w:rPr>
          <w:b w:val="0"/>
        </w:rPr>
        <w:t>若合法服务条件不成立、持续履约质量不足、重大安全问题未解决或现金低于约定安全线，应暂停新增订单并保护在途用户。退出方案需分别处理退款、教员报酬、资料和个人信息、合同终止及系统留档。不能靠继续预收用户资金填补经营缺口。</w:t>
      </w:r>
    </w:p>
    <w:p>
      <w:pPr>
        <w:keepLines/>
        <w:ind w:firstLine="0"/>
      </w:pPr>
      <w:r>
        <w:rPr>
          <w:b w:val="0"/>
        </w:rPr>
        <w:t>资金安全线和暂停条件：</w:t>
      </w:r>
      <w:r>
        <w:t>＿＿＿＿＿＿＿＿＿＿＿＿＿＿＿＿＿＿＿＿＿＿＿＿＿</w:t>
      </w:r>
    </w:p>
    <w:p>
      <w:pPr>
        <w:keepLines/>
        <w:ind w:firstLine="0"/>
      </w:pPr>
      <w:r>
        <w:rPr>
          <w:b w:val="0"/>
        </w:rPr>
        <w:t>停运后订单及数据处置约定：</w:t>
      </w:r>
      <w:r>
        <w:t>＿＿＿＿＿＿＿＿＿＿＿＿＿＿＿＿＿＿＿＿＿＿＿</w:t>
      </w:r>
    </w:p>
    <w:p>
      <w:bookmarkStart w:id="119" w:name="chapter_19"/>
      <w:pPr>
        <w:pStyle w:val="Heading1"/>
        <w:pageBreakBefore w:val="0"/>
      </w:pPr>
      <w:r>
        <w:t>第十九章 中长期发展规划</w:t>
      </w:r>
      <w:bookmarkEnd w:id="119"/>
    </w:p>
    <w:p>
      <w:pPr>
        <w:pStyle w:val="Heading2"/>
      </w:pPr>
      <w:r>
        <w:t>近期验证目标</w:t>
      </w:r>
    </w:p>
    <w:p>
      <w:pPr>
        <w:ind w:firstLine="480"/>
      </w:pPr>
      <w:r>
        <w:rPr>
          <w:b w:val="0"/>
        </w:rPr>
        <w:t>近期重点是让产品在一个明确的合法服务范围内接受真实使用检验。先证明教员来源可信、用户理解流程、服务能稳定履约，并形成与收费相对应的成本和质量记录。服务器、渠道和经营条件未就绪时，继续完成非经营性调研与可用性改进。</w:t>
      </w:r>
    </w:p>
    <w:p>
      <w:pPr>
        <w:pStyle w:val="Heading2"/>
      </w:pPr>
      <w:r>
        <w:t>中期服务能力建设</w:t>
      </w:r>
    </w:p>
    <w:p>
      <w:pPr>
        <w:ind w:firstLine="480"/>
      </w:pPr>
      <w:r>
        <w:rPr>
          <w:b w:val="0"/>
        </w:rPr>
        <w:t>在试点证明有效后，拟完善教员持续评价、争议复查、运营培训和学习过程质量标准。技术扩展应由实际需求驱动：是否接入成熟音视频工具、外部提醒或合作管理系统，分别核实成本、隐私与服务责任，不为了参赛叙述提前承诺全部能力。</w:t>
      </w:r>
    </w:p>
    <w:p>
      <w:pPr>
        <w:pStyle w:val="Heading2"/>
      </w:pPr>
      <w:r>
        <w:t>长期复制与合作</w:t>
      </w:r>
    </w:p>
    <w:p>
      <w:pPr>
        <w:ind w:firstLine="480"/>
      </w:pPr>
      <w:r>
        <w:rPr>
          <w:b w:val="0"/>
        </w:rPr>
        <w:t>长期可探索经授权的区域合作与教学管理服务，但复制必须保留合规范围、教员质量和财务可持续条件。平台积累的是可审查的服务规则与用户信任，不以未经授权出售学习者数据或制造过度补课需求作为增长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665"/>
        <w:gridCol w:w="2721"/>
        <w:gridCol w:w="1814"/>
      </w:tblGrid>
      <w:tr>
        <w:trPr>
          <w:cantSplit/>
          <w:tblHeader w:val="true"/>
        </w:trPr>
        <w:tc>
          <w:tcPr>
            <w:tcW w:type="dxa" w:w="198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规划期间</w:t>
            </w:r>
          </w:p>
        </w:tc>
        <w:tc>
          <w:tcPr>
            <w:tcW w:type="dxa" w:w="266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区域和服务范围</w:t>
            </w:r>
          </w:p>
        </w:tc>
        <w:tc>
          <w:tcPr>
            <w:tcW w:type="dxa" w:w="272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用户与运营目标</w:t>
            </w:r>
          </w:p>
        </w:tc>
        <w:tc>
          <w:tcPr>
            <w:tcW w:type="dxa" w:w="1814"/>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资金与条件</w:t>
            </w:r>
          </w:p>
        </w:tc>
      </w:tr>
      <w:tr>
        <w:trPr>
          <w:cantSplit/>
        </w:trPr>
        <w:tc>
          <w:tcPr>
            <w:tcW w:type="dxa" w:w="198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第一年</w:t>
            </w:r>
          </w:p>
        </w:tc>
        <w:tc>
          <w:tcPr>
            <w:tcW w:type="dxa" w:w="266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72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1984"/>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第二年至第三年</w:t>
            </w:r>
          </w:p>
        </w:tc>
        <w:tc>
          <w:tcPr>
            <w:tcW w:type="dxa" w:w="2665"/>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72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1984"/>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第四年至第五年</w:t>
            </w:r>
          </w:p>
        </w:tc>
        <w:tc>
          <w:tcPr>
            <w:tcW w:type="dxa" w:w="2665"/>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72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1814"/>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已签署的合作计划：</w:t>
      </w:r>
      <w:r>
        <w:t>＿＿＿＿＿＿＿＿＿＿＿＿＿＿＿＿＿＿＿＿＿＿＿＿＿＿＿</w:t>
      </w:r>
    </w:p>
    <w:p>
      <w:pPr>
        <w:keepLines/>
        <w:ind w:firstLine="0"/>
      </w:pPr>
      <w:r>
        <w:rPr>
          <w:b w:val="0"/>
        </w:rPr>
        <w:t>合作资源和可执行承诺：</w:t>
      </w:r>
      <w:r>
        <w:t>＿＿＿＿＿＿＿＿＿＿＿＿＿＿＿＿＿＿＿＿＿＿＿＿＿</w:t>
      </w:r>
    </w:p>
    <w:p>
      <w:bookmarkStart w:id="120" w:name="chapter_20"/>
      <w:pPr>
        <w:pStyle w:val="Heading1"/>
        <w:pageBreakBefore/>
      </w:pPr>
      <w:r>
        <w:t>第二十章 附件与参赛证明材料</w:t>
      </w:r>
      <w:bookmarkEnd w:id="120"/>
    </w:p>
    <w:p>
      <w:pPr>
        <w:pStyle w:val="Heading2"/>
      </w:pPr>
      <w:r>
        <w:t>成果与荣誉清单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417"/>
        <w:gridCol w:w="2381"/>
        <w:gridCol w:w="2551"/>
      </w:tblGrid>
      <w:tr>
        <w:trPr>
          <w:cantSplit/>
          <w:tblHeader w:val="true"/>
        </w:trPr>
        <w:tc>
          <w:tcPr>
            <w:tcW w:type="dxa" w:w="283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成果或奖项名称</w:t>
            </w:r>
          </w:p>
        </w:tc>
        <w:tc>
          <w:tcPr>
            <w:tcW w:type="dxa" w:w="141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时间</w:t>
            </w:r>
          </w:p>
        </w:tc>
        <w:tc>
          <w:tcPr>
            <w:tcW w:type="dxa" w:w="238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颁发或登记单位</w:t>
            </w:r>
          </w:p>
        </w:tc>
        <w:tc>
          <w:tcPr>
            <w:tcW w:type="dxa" w:w="255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证书及项目关联</w:t>
            </w:r>
          </w:p>
        </w:tc>
      </w:tr>
      <w:tr>
        <w:trPr>
          <w:cantSplit/>
        </w:trPr>
        <w:tc>
          <w:tcPr>
            <w:tcW w:type="dxa" w:w="283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83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83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283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283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r>
          </w:p>
        </w:tc>
        <w:tc>
          <w:tcPr>
            <w:tcW w:type="dxa" w:w="1417"/>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38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c>
          <w:tcPr>
            <w:tcW w:type="dxa" w:w="2551"/>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附件目录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4139"/>
        <w:gridCol w:w="4139"/>
      </w:tblGrid>
      <w:tr>
        <w:trPr>
          <w:cantSplit/>
          <w:tblHeader w:val="true"/>
        </w:trPr>
        <w:tc>
          <w:tcPr>
            <w:tcW w:type="dxa" w:w="907"/>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编号</w:t>
            </w:r>
          </w:p>
        </w:tc>
        <w:tc>
          <w:tcPr>
            <w:tcW w:type="dxa" w:w="4139"/>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应备材料</w:t>
            </w:r>
          </w:p>
        </w:tc>
        <w:tc>
          <w:tcPr>
            <w:tcW w:type="dxa" w:w="4139"/>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当前依据或待补项</w:t>
            </w:r>
          </w:p>
        </w:tc>
      </w:tr>
      <w:tr>
        <w:trPr>
          <w:cantSplit/>
        </w:trPr>
        <w:tc>
          <w:tcPr>
            <w:tcW w:type="dxa" w:w="90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A01</w:t>
            </w:r>
          </w:p>
        </w:tc>
        <w:tc>
          <w:tcPr>
            <w:tcW w:type="dxa" w:w="413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负责人及成员学籍、身份材料</w:t>
            </w:r>
          </w:p>
        </w:tc>
        <w:tc>
          <w:tcPr>
            <w:tcW w:type="dxa" w:w="4139"/>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A02</w:t>
            </w:r>
          </w:p>
        </w:tc>
        <w:tc>
          <w:tcPr>
            <w:tcW w:type="dxa" w:w="413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指导教师身份和实际指导记录</w:t>
            </w:r>
          </w:p>
        </w:tc>
        <w:tc>
          <w:tcPr>
            <w:tcW w:type="dxa" w:w="4139"/>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A03</w:t>
            </w:r>
          </w:p>
        </w:tc>
        <w:tc>
          <w:tcPr>
            <w:tcW w:type="dxa" w:w="413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原始访谈、问卷及统计口径</w:t>
            </w:r>
          </w:p>
        </w:tc>
        <w:tc>
          <w:tcPr>
            <w:tcW w:type="dxa" w:w="4139"/>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A04</w:t>
            </w:r>
          </w:p>
        </w:tc>
        <w:tc>
          <w:tcPr>
            <w:tcW w:type="dxa" w:w="413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真实试点、用户授权及反馈</w:t>
            </w:r>
          </w:p>
        </w:tc>
        <w:tc>
          <w:tcPr>
            <w:tcW w:type="dxa" w:w="4139"/>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A05</w:t>
            </w:r>
          </w:p>
        </w:tc>
        <w:tc>
          <w:tcPr>
            <w:tcW w:type="dxa" w:w="413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本地功能验收报告与代码版本</w:t>
            </w:r>
          </w:p>
        </w:tc>
        <w:tc>
          <w:tcPr>
            <w:tcW w:type="dxa" w:w="413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现有报告2026年10月12日；本地提交ecee1b7</w:t>
            </w:r>
          </w:p>
        </w:tc>
      </w:tr>
      <w:tr>
        <w:trPr>
          <w:cantSplit/>
        </w:trPr>
        <w:tc>
          <w:tcPr>
            <w:tcW w:type="dxa" w:w="90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A06</w:t>
            </w:r>
          </w:p>
        </w:tc>
        <w:tc>
          <w:tcPr>
            <w:tcW w:type="dxa" w:w="413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产品真实界面及功能说明</w:t>
            </w:r>
          </w:p>
        </w:tc>
        <w:tc>
          <w:tcPr>
            <w:tcW w:type="dxa" w:w="413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隔离环境成功走查截图；非客户运营证明</w:t>
            </w:r>
          </w:p>
        </w:tc>
      </w:tr>
      <w:tr>
        <w:trPr>
          <w:cantSplit/>
        </w:trPr>
        <w:tc>
          <w:tcPr>
            <w:tcW w:type="dxa" w:w="90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A07</w:t>
            </w:r>
          </w:p>
        </w:tc>
        <w:tc>
          <w:tcPr>
            <w:tcW w:type="dxa" w:w="413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知识产权和素材授权</w:t>
            </w:r>
          </w:p>
        </w:tc>
        <w:tc>
          <w:tcPr>
            <w:tcW w:type="dxa" w:w="4139"/>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A08</w:t>
            </w:r>
          </w:p>
        </w:tc>
        <w:tc>
          <w:tcPr>
            <w:tcW w:type="dxa" w:w="413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合作协议或意向及责任边界</w:t>
            </w:r>
          </w:p>
        </w:tc>
        <w:tc>
          <w:tcPr>
            <w:tcW w:type="dxa" w:w="4139"/>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A09</w:t>
            </w:r>
          </w:p>
        </w:tc>
        <w:tc>
          <w:tcPr>
            <w:tcW w:type="dxa" w:w="413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登记、许可及适用合规材料</w:t>
            </w:r>
          </w:p>
        </w:tc>
        <w:tc>
          <w:tcPr>
            <w:tcW w:type="dxa" w:w="4139"/>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A10</w:t>
            </w:r>
          </w:p>
        </w:tc>
        <w:tc>
          <w:tcPr>
            <w:tcW w:type="dxa" w:w="413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财务凭证、投入和融资材料</w:t>
            </w:r>
          </w:p>
        </w:tc>
        <w:tc>
          <w:tcPr>
            <w:tcW w:type="dxa" w:w="4139"/>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A11</w:t>
            </w:r>
          </w:p>
        </w:tc>
        <w:tc>
          <w:tcPr>
            <w:tcW w:type="dxa" w:w="413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社会实践、公益与就业佐证</w:t>
            </w:r>
          </w:p>
        </w:tc>
        <w:tc>
          <w:tcPr>
            <w:tcW w:type="dxa" w:w="4139"/>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A12</w:t>
            </w:r>
          </w:p>
        </w:tc>
        <w:tc>
          <w:tcPr>
            <w:tcW w:type="dxa" w:w="4139"/>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成果奖项证书</w:t>
            </w:r>
          </w:p>
        </w:tc>
        <w:tc>
          <w:tcPr>
            <w:tcW w:type="dxa" w:w="4139"/>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907"/>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A13</w:t>
            </w:r>
          </w:p>
        </w:tc>
        <w:tc>
          <w:tcPr>
            <w:tcW w:type="dxa" w:w="4139"/>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参赛承诺、推荐和签章材料</w:t>
            </w:r>
          </w:p>
        </w:tc>
        <w:tc>
          <w:tcPr>
            <w:tcW w:type="dxa" w:w="4139"/>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pStyle w:val="Heading2"/>
      </w:pPr>
      <w:r>
        <w:t>现有产品界面</w:t>
      </w:r>
    </w:p>
    <w:p>
      <w:pPr>
        <w:ind w:firstLine="480"/>
      </w:pPr>
      <w:r>
        <w:rPr>
          <w:b w:val="0"/>
        </w:rPr>
        <w:t>以下为本地隔离环境的实际产品页面，使用测试账户和演示数据。它们展示功能与界面，不证明真实招生、营收、用户规模或学习效果。</w:t>
      </w:r>
    </w:p>
    <w:p>
      <w:pPr>
        <w:keepNext/>
        <w:spacing w:line="240" w:lineRule="auto" w:after="120"/>
        <w:ind w:firstLine="0"/>
        <w:jc w:val="center"/>
      </w:pPr>
      <w:r>
        <w:drawing>
          <wp:inline xmlns:a="http://schemas.openxmlformats.org/drawingml/2006/main" xmlns:pic="http://schemas.openxmlformats.org/drawingml/2006/picture">
            <wp:extent cx="5688000" cy="4118112"/>
            <wp:docPr id="1" name="Picture 1" descr="图1 教学资料与作业页面 本地测试环境"/>
            <wp:cNvGraphicFramePr>
              <a:graphicFrameLocks noChangeAspect="1"/>
            </wp:cNvGraphicFramePr>
            <a:graphic>
              <a:graphicData uri="http://schemas.openxmlformats.org/drawingml/2006/picture">
                <pic:pic>
                  <pic:nvPicPr>
                    <pic:cNvPr id="0" name="teacher-files-desktop.png"/>
                    <pic:cNvPicPr/>
                  </pic:nvPicPr>
                  <pic:blipFill>
                    <a:blip r:embed="rId11"/>
                    <a:stretch>
                      <a:fillRect/>
                    </a:stretch>
                  </pic:blipFill>
                  <pic:spPr>
                    <a:xfrm>
                      <a:off x="0" y="0"/>
                      <a:ext cx="5688000" cy="4118112"/>
                    </a:xfrm>
                    <a:prstGeom prst="rect"/>
                  </pic:spPr>
                </pic:pic>
              </a:graphicData>
            </a:graphic>
          </wp:inline>
        </w:drawing>
      </w:r>
    </w:p>
    <w:p>
      <w:pPr>
        <w:pStyle w:val="Caption"/>
        <w:jc w:val="center"/>
      </w:pPr>
      <w:r>
        <w:t>图1 教学资料与作业页面 本地测试环境</w:t>
      </w:r>
    </w:p>
    <w:p>
      <w:pPr>
        <w:keepNext/>
        <w:spacing w:line="240" w:lineRule="auto" w:after="120"/>
        <w:ind w:firstLine="0"/>
        <w:jc w:val="center"/>
      </w:pPr>
      <w:r>
        <w:drawing>
          <wp:inline xmlns:a="http://schemas.openxmlformats.org/drawingml/2006/main" xmlns:pic="http://schemas.openxmlformats.org/drawingml/2006/picture">
            <wp:extent cx="5688000" cy="4443750"/>
            <wp:docPr id="2" name="Picture 2" descr="图2 运营审计页面 本地测试环境"/>
            <wp:cNvGraphicFramePr>
              <a:graphicFrameLocks noChangeAspect="1"/>
            </wp:cNvGraphicFramePr>
            <a:graphic>
              <a:graphicData uri="http://schemas.openxmlformats.org/drawingml/2006/picture">
                <pic:pic>
                  <pic:nvPicPr>
                    <pic:cNvPr id="0" name="admin-real-governance-desktop.png"/>
                    <pic:cNvPicPr/>
                  </pic:nvPicPr>
                  <pic:blipFill>
                    <a:blip r:embed="rId12"/>
                    <a:stretch>
                      <a:fillRect/>
                    </a:stretch>
                  </pic:blipFill>
                  <pic:spPr>
                    <a:xfrm>
                      <a:off x="0" y="0"/>
                      <a:ext cx="5688000" cy="4443750"/>
                    </a:xfrm>
                    <a:prstGeom prst="rect"/>
                  </pic:spPr>
                </pic:pic>
              </a:graphicData>
            </a:graphic>
          </wp:inline>
        </w:drawing>
      </w:r>
    </w:p>
    <w:p>
      <w:pPr>
        <w:pStyle w:val="Caption"/>
        <w:jc w:val="center"/>
      </w:pPr>
      <w:r>
        <w:t>图2 运营审计页面 本地测试环境</w:t>
      </w:r>
    </w:p>
    <w:p>
      <w:pPr>
        <w:pStyle w:val="Heading2"/>
      </w:pPr>
      <w:r>
        <w:t>赛事适配与材料核对</w:t>
      </w:r>
    </w:p>
    <w:p>
      <w:pPr>
        <w:ind w:firstLine="480"/>
      </w:pPr>
      <w:r>
        <w:rPr>
          <w:b w:val="0"/>
        </w:rPr>
        <w:t>本计划书按照项目介绍、市场、产品、技术、运营、团队、财务、融资、风险和附件组织内容，并补充个人成长、社会价值及实践证据。中国国际大学生创新大赛不同赛道和组别的评审有所区别；挑战杯在这里指中国大学生创业计划竞赛，不能直接替代课外学术科技作品竞赛的申报书。正式申报以目标年度、学校及赛道通知为准。[1][2][10]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3061"/>
        <w:gridCol w:w="2608"/>
      </w:tblGrid>
      <w:tr>
        <w:trPr>
          <w:cantSplit/>
          <w:tblHeader w:val="true"/>
        </w:trPr>
        <w:tc>
          <w:tcPr>
            <w:tcW w:type="dxa" w:w="3515"/>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核对事项</w:t>
            </w:r>
          </w:p>
        </w:tc>
        <w:tc>
          <w:tcPr>
            <w:tcW w:type="dxa" w:w="3061"/>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对应章节</w:t>
            </w:r>
          </w:p>
        </w:tc>
        <w:tc>
          <w:tcPr>
            <w:tcW w:type="dxa" w:w="2608"/>
            <w:vAlign w:val="center"/>
            <w:tcMar>
              <w:top w:w="70" w:type="dxa"/>
              <w:bottom w:w="70" w:type="dxa"/>
              <w:left w:w="110" w:type="dxa"/>
              <w:right w:w="110" w:type="dxa"/>
            </w:tcMar>
            <w:shd w:fill="3A3A3A"/>
          </w:tcPr>
          <w:p>
            <w:pPr>
              <w:keepNext/>
              <w:spacing w:after="0" w:line="310" w:lineRule="exact"/>
              <w:ind w:firstLine="0"/>
            </w:pPr>
            <w:r>
              <w:rPr>
                <w:rFonts w:ascii="宋体" w:hAnsi="宋体" w:eastAsia="宋体"/>
                <w:b/>
                <w:color w:val="FFFFFF"/>
                <w:sz w:val="21"/>
              </w:rPr>
              <w:t>正式申报确认</w:t>
            </w:r>
          </w:p>
        </w:tc>
      </w:tr>
      <w:tr>
        <w:trPr>
          <w:cantSplit/>
        </w:trPr>
        <w:tc>
          <w:tcPr>
            <w:tcW w:type="dxa" w:w="351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创办动机与个人成长</w:t>
            </w:r>
          </w:p>
        </w:tc>
        <w:tc>
          <w:tcPr>
            <w:tcW w:type="dxa" w:w="306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第二、十三章</w:t>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51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产品创新和技术贡献</w:t>
            </w:r>
          </w:p>
        </w:tc>
        <w:tc>
          <w:tcPr>
            <w:tcW w:type="dxa" w:w="306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第五、六、七章</w:t>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51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产业价值及商业逻辑</w:t>
            </w:r>
          </w:p>
        </w:tc>
        <w:tc>
          <w:tcPr>
            <w:tcW w:type="dxa" w:w="306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第三、四、八、十五章</w:t>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51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团队及教师实际贡献</w:t>
            </w:r>
          </w:p>
        </w:tc>
        <w:tc>
          <w:tcPr>
            <w:tcW w:type="dxa" w:w="306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十二、十三章</w:t>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51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社会价值和实践过程</w:t>
            </w:r>
          </w:p>
        </w:tc>
        <w:tc>
          <w:tcPr>
            <w:tcW w:type="dxa" w:w="306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七、十一章及附件</w:t>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51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发展前景及融资风险</w:t>
            </w:r>
          </w:p>
        </w:tc>
        <w:tc>
          <w:tcPr>
            <w:tcW w:type="dxa" w:w="306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十六至十九章</w:t>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r>
        <w:trPr>
          <w:cantSplit/>
        </w:trPr>
        <w:tc>
          <w:tcPr>
            <w:tcW w:type="dxa" w:w="3515"/>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资料真实性和成果归属</w:t>
            </w:r>
          </w:p>
        </w:tc>
        <w:tc>
          <w:tcPr>
            <w:tcW w:type="dxa" w:w="3061"/>
            <w:vAlign w:val="center"/>
            <w:tcMar>
              <w:top w:w="70" w:type="dxa"/>
              <w:bottom w:w="70" w:type="dxa"/>
              <w:left w:w="110" w:type="dxa"/>
              <w:right w:w="110" w:type="dxa"/>
            </w:tcMar>
            <w:shd w:fill="FFFFFF"/>
          </w:tcPr>
          <w:p>
            <w:pPr>
              <w:keepNext w:val="0"/>
              <w:spacing w:after="0" w:line="310" w:lineRule="exact"/>
              <w:ind w:firstLine="0"/>
            </w:pPr>
            <w:r>
              <w:rPr>
                <w:rFonts w:ascii="宋体" w:hAnsi="宋体" w:eastAsia="宋体"/>
                <w:b w:val="0"/>
                <w:color w:val="000000"/>
                <w:sz w:val="21"/>
              </w:rPr>
              <w:t>十四章及全部附件</w:t>
            </w:r>
          </w:p>
        </w:tc>
        <w:tc>
          <w:tcPr>
            <w:tcW w:type="dxa" w:w="2608"/>
            <w:vAlign w:val="center"/>
            <w:tcMar>
              <w:top w:w="70" w:type="dxa"/>
              <w:bottom w:w="70" w:type="dxa"/>
              <w:left w:w="110" w:type="dxa"/>
              <w:right w:w="110" w:type="dxa"/>
            </w:tcMar>
            <w:shd w:fill="FFFFFF"/>
          </w:tcPr>
          <w:p>
            <w:pPr>
              <w:keepNext w:val="0"/>
              <w:spacing w:after="80" w:line="310" w:lineRule="exact"/>
              <w:ind w:firstLine="0"/>
            </w:pPr>
            <w:r>
              <w:rPr>
                <w:rFonts w:ascii="宋体" w:hAnsi="宋体" w:eastAsia="宋体"/>
                <w:b w:val="0"/>
                <w:color w:val="000000"/>
                <w:sz w:val="21"/>
              </w:rPr>
            </w:r>
          </w:p>
        </w:tc>
      </w:tr>
      <w:tr>
        <w:trPr>
          <w:cantSplit/>
        </w:trPr>
        <w:tc>
          <w:tcPr>
            <w:tcW w:type="dxa" w:w="3515"/>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资格、组别、篇幅及签章</w:t>
            </w:r>
          </w:p>
        </w:tc>
        <w:tc>
          <w:tcPr>
            <w:tcW w:type="dxa" w:w="3061"/>
            <w:vAlign w:val="center"/>
            <w:tcMar>
              <w:top w:w="70" w:type="dxa"/>
              <w:bottom w:w="70" w:type="dxa"/>
              <w:left w:w="110" w:type="dxa"/>
              <w:right w:w="110" w:type="dxa"/>
            </w:tcMar>
            <w:shd w:fill="F4F5F6"/>
          </w:tcPr>
          <w:p>
            <w:pPr>
              <w:keepNext w:val="0"/>
              <w:spacing w:after="0" w:line="310" w:lineRule="exact"/>
              <w:ind w:firstLine="0"/>
            </w:pPr>
            <w:r>
              <w:rPr>
                <w:rFonts w:ascii="宋体" w:hAnsi="宋体" w:eastAsia="宋体"/>
                <w:b w:val="0"/>
                <w:color w:val="000000"/>
                <w:sz w:val="21"/>
              </w:rPr>
              <w:t>封面及项目基本信息</w:t>
            </w:r>
          </w:p>
        </w:tc>
        <w:tc>
          <w:tcPr>
            <w:tcW w:type="dxa" w:w="2608"/>
            <w:vAlign w:val="center"/>
            <w:tcMar>
              <w:top w:w="70" w:type="dxa"/>
              <w:bottom w:w="70" w:type="dxa"/>
              <w:left w:w="110" w:type="dxa"/>
              <w:right w:w="110" w:type="dxa"/>
            </w:tcMar>
            <w:shd w:fill="F4F5F6"/>
          </w:tcPr>
          <w:p>
            <w:pPr>
              <w:keepNext w:val="0"/>
              <w:spacing w:after="80" w:line="310" w:lineRule="exact"/>
              <w:ind w:firstLine="0"/>
            </w:pPr>
            <w:r>
              <w:rPr>
                <w:rFonts w:ascii="宋体" w:hAnsi="宋体" w:eastAsia="宋体"/>
                <w:b w:val="0"/>
                <w:color w:val="000000"/>
                <w:sz w:val="21"/>
              </w:rPr>
            </w:r>
          </w:p>
        </w:tc>
      </w:tr>
    </w:tbl>
    <w:p>
      <w:pPr>
        <w:spacing w:line="20" w:lineRule="exact" w:after="80" w:before="0"/>
        <w:ind w:firstLine="0"/>
      </w:pPr>
    </w:p>
    <w:p>
      <w:pPr>
        <w:keepLines/>
        <w:ind w:firstLine="0"/>
      </w:pPr>
      <w:r>
        <w:rPr>
          <w:b w:val="0"/>
        </w:rPr>
        <w:t>学校要求的额外章节或材料：</w:t>
      </w:r>
      <w:r>
        <w:t>＿＿＿＿＿＿＿＿＿＿＿＿＿＿＿＿＿＿＿＿＿＿＿</w:t>
      </w:r>
    </w:p>
    <w:p>
      <w:pPr>
        <w:pStyle w:val="Heading2"/>
      </w:pPr>
      <w:r>
        <w:t>参考资料</w:t>
      </w:r>
    </w:p>
    <w:p>
      <w:pPr>
        <w:keepNext/>
        <w:ind w:firstLine="0"/>
      </w:pPr>
      <w:r>
        <w:rPr>
          <w:b w:val="0"/>
        </w:rPr>
        <w:t>[1] 中国国际大学生创新大赛2026评审规则 学校创新创业中心发布附件</w:t>
      </w:r>
    </w:p>
    <w:p>
      <w:pPr>
        <w:spacing w:line="280" w:lineRule="exact"/>
        <w:ind w:firstLine="0"/>
      </w:pPr>
      <w:hyperlink r:id="rId13">
        <w:r>
          <w:rPr>
            <w:sz w:val="18"/>
          </w:rPr>
          <w:t>https://www.jzun.edu.cn/sczx/upload/files/2026/9/22/85f62432904e23fd.pdf</w:t>
        </w:r>
      </w:hyperlink>
    </w:p>
    <w:p>
      <w:pPr>
        <w:keepNext/>
        <w:ind w:firstLine="0"/>
      </w:pPr>
      <w:r>
        <w:rPr>
          <w:b w:val="0"/>
        </w:rPr>
        <w:t>[2] 第十五届挑战杯中国大学生创业计划竞赛通知 赛事官网高校专区</w:t>
      </w:r>
    </w:p>
    <w:p>
      <w:pPr>
        <w:spacing w:line="280" w:lineRule="exact"/>
        <w:ind w:firstLine="0"/>
      </w:pPr>
      <w:hyperlink r:id="rId14">
        <w:r>
          <w:rPr>
            <w:sz w:val="18"/>
          </w:rPr>
          <w:t>https://gaoxiao.tiaozhanbei.net/d1204/article/49690/</w:t>
        </w:r>
      </w:hyperlink>
    </w:p>
    <w:p>
      <w:pPr>
        <w:keepNext/>
        <w:ind w:firstLine="0"/>
      </w:pPr>
      <w:r>
        <w:rPr>
          <w:b w:val="0"/>
        </w:rPr>
        <w:t>[3] 校外培训行政处罚暂行办法 教育部令第53号</w:t>
      </w:r>
    </w:p>
    <w:p>
      <w:pPr>
        <w:spacing w:line="280" w:lineRule="exact"/>
        <w:ind w:firstLine="0"/>
      </w:pPr>
      <w:hyperlink r:id="rId15">
        <w:r>
          <w:rPr>
            <w:sz w:val="18"/>
          </w:rPr>
          <w:t>https://www.moe.gov.cn/jyb_xxgk/xxgk/zhengce/guizhang/202309/P020230912334455128870.pdf</w:t>
        </w:r>
      </w:hyperlink>
    </w:p>
    <w:p>
      <w:pPr>
        <w:keepNext/>
        <w:ind w:firstLine="0"/>
      </w:pPr>
      <w:r>
        <w:rPr>
          <w:b w:val="0"/>
        </w:rPr>
        <w:t>[4] 中华人民共和国个人信息保护法 国家互联网信息办公室</w:t>
      </w:r>
    </w:p>
    <w:p>
      <w:pPr>
        <w:spacing w:line="280" w:lineRule="exact"/>
        <w:ind w:firstLine="0"/>
      </w:pPr>
      <w:hyperlink r:id="rId16">
        <w:r>
          <w:rPr>
            <w:sz w:val="18"/>
          </w:rPr>
          <w:t>https://www.cac.gov.cn/2021-08/20/c_1631050028355286.htm</w:t>
        </w:r>
      </w:hyperlink>
    </w:p>
    <w:p>
      <w:pPr>
        <w:keepNext/>
        <w:ind w:firstLine="0"/>
      </w:pPr>
      <w:r>
        <w:rPr>
          <w:b w:val="0"/>
        </w:rPr>
        <w:t>[5] 非银行支付机构监督管理条例 中国人民银行</w:t>
      </w:r>
    </w:p>
    <w:p>
      <w:pPr>
        <w:spacing w:line="280" w:lineRule="exact"/>
        <w:ind w:firstLine="0"/>
      </w:pPr>
      <w:hyperlink r:id="rId17">
        <w:r>
          <w:rPr>
            <w:sz w:val="18"/>
          </w:rPr>
          <w:t>https://www.pbc.gov.cn/tiaofasi/144941/144953/5174993/index.html</w:t>
        </w:r>
      </w:hyperlink>
    </w:p>
    <w:p>
      <w:pPr>
        <w:keepNext/>
        <w:ind w:firstLine="0"/>
      </w:pPr>
      <w:r>
        <w:rPr>
          <w:b w:val="0"/>
        </w:rPr>
        <w:t>[6] Preply官方网站 产品和教员服务说明</w:t>
      </w:r>
    </w:p>
    <w:p>
      <w:pPr>
        <w:spacing w:line="280" w:lineRule="exact"/>
        <w:ind w:firstLine="0"/>
      </w:pPr>
      <w:hyperlink r:id="rId18">
        <w:r>
          <w:rPr>
            <w:sz w:val="18"/>
          </w:rPr>
          <w:t>https://preply.com/</w:t>
        </w:r>
      </w:hyperlink>
    </w:p>
    <w:p>
      <w:pPr>
        <w:keepNext/>
        <w:ind w:firstLine="0"/>
      </w:pPr>
      <w:r>
        <w:rPr>
          <w:b w:val="0"/>
        </w:rPr>
        <w:t>[7] Moodle官方文档 About Moodle</w:t>
      </w:r>
    </w:p>
    <w:p>
      <w:pPr>
        <w:spacing w:line="280" w:lineRule="exact"/>
        <w:ind w:firstLine="0"/>
      </w:pPr>
      <w:hyperlink r:id="rId19">
        <w:r>
          <w:rPr>
            <w:sz w:val="18"/>
          </w:rPr>
          <w:t>https://docs.moodle.org/en/About_Moodle</w:t>
        </w:r>
      </w:hyperlink>
    </w:p>
    <w:p>
      <w:pPr>
        <w:keepNext/>
        <w:ind w:firstLine="0"/>
      </w:pPr>
      <w:r>
        <w:rPr>
          <w:b w:val="0"/>
        </w:rPr>
        <w:t>[8] ClassIn官方网站 产品与解决方案</w:t>
      </w:r>
    </w:p>
    <w:p>
      <w:pPr>
        <w:spacing w:line="280" w:lineRule="exact"/>
        <w:ind w:firstLine="0"/>
      </w:pPr>
      <w:hyperlink r:id="rId20">
        <w:r>
          <w:rPr>
            <w:sz w:val="18"/>
          </w:rPr>
          <w:t>https://www.classin.com/</w:t>
        </w:r>
      </w:hyperlink>
    </w:p>
    <w:p>
      <w:pPr>
        <w:ind w:firstLine="0"/>
      </w:pPr>
      <w:r>
        <w:rPr>
          <w:b w:val="0"/>
        </w:rPr>
        <w:t>[9] 本项目《全功能本地验收报告》及《交付说明》，2026年10月12日；项目文档PROJECT_HANDOFF、PROJECT_CONTEXT及ARCHITECTURE。创办初衷由项目发起人提供。</w:t>
      </w:r>
    </w:p>
    <w:p>
      <w:pPr>
        <w:keepNext/>
        <w:ind w:firstLine="0"/>
      </w:pPr>
      <w:r>
        <w:rPr>
          <w:b w:val="0"/>
        </w:rPr>
        <w:t>[10] 高校商业计划书提纲及创赛写作参考</w:t>
      </w:r>
    </w:p>
    <w:p>
      <w:pPr>
        <w:spacing w:line="280" w:lineRule="exact"/>
        <w:ind w:firstLine="0"/>
      </w:pPr>
      <w:hyperlink r:id="rId21">
        <w:r>
          <w:rPr>
            <w:sz w:val="18"/>
          </w:rPr>
          <w:t>https://www.lfnu.edu.cn/cxcy/col/1572843127955/2022/01/17/1642415768052.html</w:t>
        </w:r>
      </w:hyperlink>
    </w:p>
    <w:p>
      <w:pPr>
        <w:keepNext/>
        <w:ind w:firstLine="0"/>
      </w:pPr>
      <w:r>
        <w:rPr>
          <w:b w:val="0"/>
        </w:rPr>
        <w:t>[11] 中南大学创新创业平台 创赛计划书参考</w:t>
      </w:r>
    </w:p>
    <w:p>
      <w:pPr>
        <w:spacing w:line="280" w:lineRule="exact"/>
        <w:ind w:firstLine="0"/>
      </w:pPr>
      <w:hyperlink r:id="rId22">
        <w:r>
          <w:rPr>
            <w:sz w:val="18"/>
          </w:rPr>
          <w:t>https://equ.csu.edu.cn/article/detail/8/10</w:t>
        </w:r>
      </w:hyperlink>
    </w:p>
    <w:p>
      <w:pPr>
        <w:ind w:firstLine="0"/>
      </w:pPr>
      <w:r>
        <w:rPr>
          <w:b w:val="0"/>
        </w:rPr>
        <w:t>网络资料核对日期为2026年10月12日。平台官方页面用于产品定位比较，不作为行业规模或本项目市场份额的数据来源。商业报表及效果指标以项目原始材料为准。</w:t>
      </w:r>
    </w:p>
    <w:sectPr w:rsidR="00FC693F" w:rsidRPr="0006063C" w:rsidSect="00034616">
      <w:headerReference w:type="default" r:id="rId9"/>
      <w:footerReference w:type="default" r:id="rId10"/>
      <w:pgSz w:w="11906" w:h="16838"/>
      <w:pgMar w:top="1247" w:right="1361" w:bottom="1247" w:left="1361" w:header="51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润物细无声 项目计划书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80"/>
      <w:ind w:firstLine="480"/>
    </w:pPr>
    <w:rPr>
      <w:rFonts w:ascii="宋体" w:hAnsi="宋体" w:eastAsia="宋体"/>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80" w:lineRule="exact"/>
      <w:ind w:firstLine="0"/>
    </w:pPr>
    <w:rPr>
      <w:rFonts w:ascii="宋体" w:hAnsi="宋体" w:eastAsia="宋体"/>
      <w:b w:val="0"/>
      <w:i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80" w:lineRule="exact"/>
      <w:ind w:firstLine="0"/>
    </w:pPr>
    <w:rPr>
      <w:rFonts w:ascii="宋体" w:hAnsi="宋体" w:eastAsia="宋体"/>
      <w:b w:val="0"/>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ind w:firstLine="0"/>
      <w:outlineLvl w:val="0"/>
    </w:pPr>
    <w:rPr>
      <w:rFonts w:cstheme="majorBidi" w:ascii="微软雅黑" w:hAnsi="微软雅黑" w:eastAsia="微软雅黑"/>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outlineLvl w:val="1"/>
    </w:pPr>
    <w:rPr>
      <w:rFonts w:cstheme="majorBidi" w:ascii="微软雅黑" w:hAnsi="微软雅黑" w:eastAsia="微软雅黑"/>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outlineLvl w:val="2"/>
    </w:pPr>
    <w:rPr>
      <w:rFonts w:cstheme="majorBidi" w:ascii="微软雅黑" w:hAnsi="微软雅黑" w:eastAsia="微软雅黑"/>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宋体" w:hAnsi="宋体" w:eastAsia="宋体"/>
      <w:b/>
      <w:i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宋体" w:hAnsi="宋体" w:eastAsia="宋体"/>
      <w:b w:val="0"/>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ind w:firstLine="0"/>
    </w:pPr>
    <w:rPr>
      <w:rFonts w:ascii="宋体" w:hAnsi="宋体"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jzun.edu.cn/sczx/upload/files/2026/9/22/85f62432904e23fd.pdf" TargetMode="External"/><Relationship Id="rId14" Type="http://schemas.openxmlformats.org/officeDocument/2006/relationships/hyperlink" Target="https://gaoxiao.tiaozhanbei.net/d1204/article/49690/" TargetMode="External"/><Relationship Id="rId15" Type="http://schemas.openxmlformats.org/officeDocument/2006/relationships/hyperlink" Target="https://www.moe.gov.cn/jyb_xxgk/xxgk/zhengce/guizhang/202309/P020230912334455128870.pdf" TargetMode="External"/><Relationship Id="rId16" Type="http://schemas.openxmlformats.org/officeDocument/2006/relationships/hyperlink" Target="https://www.cac.gov.cn/2021-08/20/c_1631050028355286.htm" TargetMode="External"/><Relationship Id="rId17" Type="http://schemas.openxmlformats.org/officeDocument/2006/relationships/hyperlink" Target="https://www.pbc.gov.cn/tiaofasi/144941/144953/5174993/index.html" TargetMode="External"/><Relationship Id="rId18" Type="http://schemas.openxmlformats.org/officeDocument/2006/relationships/hyperlink" Target="https://preply.com/" TargetMode="External"/><Relationship Id="rId19" Type="http://schemas.openxmlformats.org/officeDocument/2006/relationships/hyperlink" Target="https://docs.moodle.org/en/About_Moodle" TargetMode="External"/><Relationship Id="rId20" Type="http://schemas.openxmlformats.org/officeDocument/2006/relationships/hyperlink" Target="https://www.classin.com/" TargetMode="External"/><Relationship Id="rId21" Type="http://schemas.openxmlformats.org/officeDocument/2006/relationships/hyperlink" Target="https://www.lfnu.edu.cn/cxcy/col/1572843127955/2022/01/17/1642415768052.html" TargetMode="External"/><Relationship Id="rId22" Type="http://schemas.openxmlformats.org/officeDocument/2006/relationships/hyperlink" Target="https://equ.csu.edu.cn/article/detail/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润物细无声项目计划书</dc:title>
  <dc:subject>大学生家教机会与学习过程服务平台</dc:subject>
  <dc:creator/>
  <cp:keywords>项目计划书 大学生创新创业 挑战杯 创业计划</cp:keywords>
  <dc:description>generated by python-docx</dc:description>
  <cp:lastModifiedBy/>
  <cp:revision>1</cp:revision>
  <dcterms:created xsi:type="dcterms:W3CDTF">2026-10-12T15:17:48Z</dcterms:created>
  <dcterms:modified xsi:type="dcterms:W3CDTF">2026-10-12T15:17:48Z</dcterms:modified>
  <cp:category/>
</cp:coreProperties>
</file>