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赛小蜂足球收费模式策划方案</w:t>
      </w:r>
    </w:p>
    <w:p>
      <w:r>
        <w:rPr>
          <w:b w:val="0"/>
        </w:rPr>
        <w:t>评审稿 V1.0    2026年10月18日</w:t>
      </w:r>
    </w:p>
    <w:p>
      <w:r>
        <w:rPr>
          <w:b w:val="0"/>
        </w:rPr>
        <w:t>建议采用“基础赛事协作免费、H5个人增值先行、PC资源服务后置、球队小程序暂不定价”的三端分层模式。先做用户愿意购买且能实际交付的内容，再开放充值；不以充值替代商品价值。</w:t>
      </w:r>
    </w:p>
    <w:p>
      <w:bookmarkStart w:id="1" w:name="s1"/>
      <w:pPr>
        <w:pStyle w:val="Heading1"/>
      </w:pPr>
      <w:r>
        <w:t>一 当前确认范围</w:t>
      </w:r>
      <w:bookmarkEnd w:id="1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3402"/>
      </w:tblGrid>
      <w:tr>
        <w:trPr>
          <w:cantSplit/>
          <w:tblHeader/>
        </w:trPr>
        <w:tc>
          <w:tcPr>
            <w:tcW w:type="dxa" w:w="1814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端口</w:t>
            </w:r>
          </w:p>
        </w:tc>
        <w:tc>
          <w:tcPr>
            <w:tcW w:type="dxa" w:w="4535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收费对象与形式</w:t>
            </w:r>
          </w:p>
        </w:tc>
        <w:tc>
          <w:tcPr>
            <w:tcW w:type="dxa" w:w="3402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本次状态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服务号H5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球员、裁判及已绑定监护人；蜂蜜充值与可选内容服务</w:t>
            </w:r>
          </w:p>
        </w:tc>
        <w:tc>
          <w:tcPr>
            <w:tcW w:type="dxa" w:w="34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对象及五档充值价格已确认；消费商品与单价待审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PC主办方后台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主办机构；报名资料识别、复杂数据导入等按额度使用</w:t>
            </w:r>
          </w:p>
        </w:tc>
        <w:tc>
          <w:tcPr>
            <w:tcW w:type="dxa" w:w="34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后续方向已确认；当前不启用，单位与单价未定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球队管理小程序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球队管理者；未来增值项目尚未确定</w:t>
            </w:r>
          </w:p>
        </w:tc>
        <w:tc>
          <w:tcPr>
            <w:tcW w:type="dxa" w:w="34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保持现行基础协作免费；只保留调研候选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青训经营服务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机构教务、课程、财务等原有独立服务</w:t>
            </w:r>
          </w:p>
        </w:tc>
        <w:tc>
          <w:tcPr>
            <w:tcW w:type="dxa" w:w="34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不并入本次蜂蜜方案，不据此新增价格</w:t>
            </w:r>
          </w:p>
        </w:tc>
      </w:tr>
    </w:tbl>
    <w:p>
      <w:pPr>
        <w:spacing w:after="0"/>
      </w:pPr>
    </w:p>
    <w:p>
      <w:r>
        <w:rPr>
          <w:b/>
        </w:rPr>
        <w:t>状态用语：已确认＝本次口述或现行产品规则已明确；建议＝本方案供评审的方案；待定＝尚不能上架、扣费或写入正式业务规则。</w:t>
      </w:r>
    </w:p>
    <w:p>
      <w:pPr>
        <w:pStyle w:val="Heading2"/>
      </w:pPr>
      <w:r>
        <w:t>现状与下一步</w:t>
      </w:r>
    </w:p>
    <w:p>
      <w:r>
        <w:rPr>
          <w:b w:val="0"/>
        </w:rPr>
        <w:t>现有H5已具备身份切换、个人数据及只读蜂蜜余额/收支入口，充值支付尚未开放。已有微信支付商户号，JSAPI开通、服务号关联及支付配置仍未核验。本方案不代表已能收款。</w:t>
      </w:r>
    </w:p>
    <w:p>
      <w:pPr>
        <w:pStyle w:val="Heading2"/>
      </w:pPr>
      <w:r>
        <w:t>阅读导航</w:t>
      </w:r>
    </w:p>
    <w:p>
      <w:pPr>
        <w:spacing w:after="100"/>
      </w:pPr>
      <w:hyperlink w:anchor="s2">
        <w:r>
          <w:rPr>
            <w:color w:val="07593F"/>
          </w:rPr>
          <w:t>蜂蜜套餐与成本底线</w:t>
        </w:r>
      </w:hyperlink>
      <w:r>
        <w:t xml:space="preserve">    </w:t>
      </w:r>
      <w:hyperlink w:anchor="s3">
        <w:r>
          <w:rPr>
            <w:color w:val="07593F"/>
          </w:rPr>
          <w:t>H5收费商品与免费边界</w:t>
        </w:r>
      </w:hyperlink>
      <w:r>
        <w:t xml:space="preserve">    </w:t>
      </w:r>
      <w:hyperlink w:anchor="s4">
        <w:r>
          <w:rPr>
            <w:color w:val="07593F"/>
          </w:rPr>
          <w:t>PC额度及球队小程序</w:t>
        </w:r>
      </w:hyperlink>
      <w:r>
        <w:t xml:space="preserve">    </w:t>
      </w:r>
    </w:p>
    <w:p>
      <w:pPr>
        <w:spacing w:after="100"/>
      </w:pPr>
      <w:hyperlink w:anchor="s5">
        <w:r>
          <w:rPr>
            <w:color w:val="07593F"/>
          </w:rPr>
          <w:t>账户和交易标准</w:t>
        </w:r>
      </w:hyperlink>
      <w:r>
        <w:t xml:space="preserve">    </w:t>
      </w:r>
      <w:hyperlink w:anchor="s6">
        <w:r>
          <w:rPr>
            <w:color w:val="07593F"/>
          </w:rPr>
          <w:t>页面与操作规范</w:t>
        </w:r>
      </w:hyperlink>
      <w:r>
        <w:t xml:space="preserve">    </w:t>
      </w:r>
      <w:hyperlink w:anchor="s7">
        <w:r>
          <w:rPr>
            <w:color w:val="07593F"/>
          </w:rPr>
          <w:t>建设顺序与验收</w:t>
        </w:r>
      </w:hyperlink>
      <w:r>
        <w:t xml:space="preserve">    </w:t>
      </w:r>
    </w:p>
    <w:p>
      <w:pPr>
        <w:spacing w:after="100"/>
      </w:pPr>
      <w:hyperlink w:anchor="s8">
        <w:r>
          <w:rPr>
            <w:color w:val="07593F"/>
          </w:rPr>
          <w:t>待定事项与依据</w:t>
        </w:r>
      </w:hyperlink>
      <w:r>
        <w:t xml:space="preserve">    </w:t>
      </w:r>
    </w:p>
    <w:p>
      <w:r>
        <w:br w:type="page"/>
      </w:r>
    </w:p>
    <w:p>
      <w:bookmarkStart w:id="2" w:name="s2"/>
      <w:pPr>
        <w:pStyle w:val="Heading1"/>
      </w:pPr>
      <w:r>
        <w:t>二 蜂蜜套餐与成本底线</w:t>
      </w:r>
      <w:bookmarkEnd w:id="2"/>
    </w:p>
    <w:p>
      <w:r>
        <w:rPr>
          <w:b w:val="0"/>
        </w:rPr>
        <w:t>以下五档为用户明确给出的总到账数量。界面不另写“赠送多少滴”，也不开放未确认的自定义充值金额。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2268"/>
        <w:gridCol w:w="3231"/>
      </w:tblGrid>
      <w:tr>
        <w:trPr>
          <w:cantSplit/>
          <w:tblHeader/>
        </w:trPr>
        <w:tc>
          <w:tcPr>
            <w:tcW w:type="dxa" w:w="1814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实付金额</w:t>
            </w:r>
          </w:p>
        </w:tc>
        <w:tc>
          <w:tcPr>
            <w:tcW w:type="dxa" w:w="2438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总到账蜂蜜</w:t>
            </w:r>
          </w:p>
        </w:tc>
        <w:tc>
          <w:tcPr>
            <w:tcW w:type="dxa" w:w="2268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每元可得</w:t>
            </w:r>
          </w:p>
        </w:tc>
        <w:tc>
          <w:tcPr>
            <w:tcW w:type="dxa" w:w="3231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每滴折合人民币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 元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10 滴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10 滴</w:t>
            </w:r>
          </w:p>
        </w:tc>
        <w:tc>
          <w:tcPr>
            <w:tcW w:type="dxa" w:w="323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0.1000 元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5 元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60 滴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12 滴</w:t>
            </w:r>
          </w:p>
        </w:tc>
        <w:tc>
          <w:tcPr>
            <w:tcW w:type="dxa" w:w="323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约 0.0833 元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10 元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150 滴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15 滴</w:t>
            </w:r>
          </w:p>
        </w:tc>
        <w:tc>
          <w:tcPr>
            <w:tcW w:type="dxa" w:w="323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约 0.0667 元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50 元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1,000 滴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20 滴</w:t>
            </w:r>
          </w:p>
        </w:tc>
        <w:tc>
          <w:tcPr>
            <w:tcW w:type="dxa" w:w="323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0.0500 元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100 元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3,000 滴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30 滴</w:t>
            </w:r>
          </w:p>
        </w:tc>
        <w:tc>
          <w:tcPr>
            <w:tcW w:type="dxa" w:w="323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约 0.0333 元</w:t>
            </w:r>
          </w:p>
        </w:tc>
      </w:tr>
    </w:tbl>
    <w:p>
      <w:pPr>
        <w:spacing w:after="0"/>
      </w:pPr>
    </w:p>
    <w:p>
      <w:pPr>
        <w:pStyle w:val="Heading2"/>
      </w:pPr>
      <w:r>
        <w:t>套餐折扣对商品定价的影响</w:t>
      </w:r>
    </w:p>
    <w:p>
      <w:r>
        <w:rPr>
          <w:b w:val="0"/>
        </w:rPr>
        <w:t>100元档每元获得的蜂蜜是1元档的3倍。相同10滴消费，用户实际购入成本可能约0.33元至1元。商品测算应按最低约0.0333元/滴作保守估计，并计入免费发放蜂蜜、支付渠道、生成失败和客服等成本；不能只按1元10滴估算收入。</w:t>
      </w:r>
    </w:p>
    <w:p>
      <w:r>
        <w:rPr>
          <w:b w:val="0"/>
        </w:rPr>
        <w:t>商品消耗滴数尚未确认。不同功能必须先测量实际成本和使用意愿，再确定消耗滴数；不能把充值档位直接当成内容商品价格。</w:t>
      </w:r>
    </w:p>
    <w:p>
      <w:pPr>
        <w:pStyle w:val="Heading2"/>
      </w:pPr>
      <w:r>
        <w:t>一个便于执行的成本例子</w:t>
      </w:r>
    </w:p>
    <w:p>
      <w:r>
        <w:rPr>
          <w:b w:val="0"/>
        </w:rPr>
        <w:t>假设某服务一次可交付结果的综合成本为1.50元，目标毛利率为50%，则最低需有3元收入；按100元档兑换比例，约需90滴。此处成本与毛利均为演算假设，不是已确认费用或利润。</w:t>
      </w:r>
    </w:p>
    <w:p>
      <w:pPr>
        <w:pStyle w:val="Heading2"/>
      </w:pPr>
      <w:r>
        <w:t>现有应援积分带来的影响</w:t>
      </w:r>
    </w:p>
    <w:p>
      <w:r>
        <w:rPr>
          <w:b w:val="0"/>
        </w:rPr>
        <w:t>现行规则是每10滴已核验、实际送达稳定球员ID的有效应援折1分，与比赛分合计计算卡级及100分权益。充值动作本身不加积分，也不能购买出场/进球或直接发荣誉。若3,000滴全部用于符合规则的应援，理论贡献300应援分；这是现行公式的计算结果，并非充值送300分。开放充值前必须专门确认这一商业效果、本人给自己应援及退款冲回处理，不能由支付接入顺手改规则。</w:t>
      </w:r>
    </w:p>
    <w:p>
      <w:r>
        <w:br w:type="page"/>
      </w:r>
    </w:p>
    <w:p>
      <w:bookmarkStart w:id="3" w:name="s3"/>
      <w:pPr>
        <w:pStyle w:val="Heading1"/>
      </w:pPr>
      <w:r>
        <w:t>三 H5收费商品与免费边界</w:t>
      </w:r>
      <w:bookmarkEnd w:id="3"/>
    </w:p>
    <w:p>
      <w:r>
        <w:rPr>
          <w:b w:val="0"/>
        </w:rPr>
        <w:t>球员和裁判共用个人账户，但付费动机不同：球员侧以记录、纪念和展示为主；裁判侧先保障任务和执裁流程，再探索自愿购买的纪念内容。不开“交钱才可工作”的裁判会员。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268"/>
        <w:gridCol w:w="5102"/>
      </w:tblGrid>
      <w:tr>
        <w:trPr>
          <w:cantSplit/>
          <w:tblHeader/>
        </w:trPr>
        <w:tc>
          <w:tcPr>
            <w:tcW w:type="dxa" w:w="2381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能力或项目</w:t>
            </w:r>
          </w:p>
        </w:tc>
        <w:tc>
          <w:tcPr>
            <w:tcW w:type="dxa" w:w="2268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建议处理</w:t>
            </w:r>
          </w:p>
        </w:tc>
        <w:tc>
          <w:tcPr>
            <w:tcW w:type="dxa" w:w="5102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边界与阶段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本人数据与基础球员卡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基础层保持免费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查看比赛/执裁记录、基础成卡、既有权限内领取与查看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裁判任务与现场执行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保持基础流程免费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接任务、核验、记分、签字不与充值绑定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领取 收藏 基础互动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优先保留免费体验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不按被收藏人数、普通回信或基本转赠买权限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赛事纪念内容包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建议首发试验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新增主题拼版、赛季回忆、内容编排；原有基础名单海报和标准导出不改成付费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卡册或展示外观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第二批候选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相册封面、外部展示装饰；不改变卡片真实等级或绕过100分照片/背景权益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AI个性化生成服务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有成本证据后再定价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先预览范围/消耗，明确失败恢复；不得任意修改正式人物资料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实体卡及实物纪念品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后续独立商品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实物、物流和售后单独报价，不直接套虚拟蜂蜜成本</w:t>
            </w:r>
          </w:p>
        </w:tc>
      </w:tr>
    </w:tbl>
    <w:p>
      <w:pPr>
        <w:spacing w:after="0"/>
      </w:pPr>
    </w:p>
    <w:p>
      <w:pPr>
        <w:pStyle w:val="Heading2"/>
      </w:pPr>
      <w:r>
        <w:t>建议从一个可交付商品起步</w:t>
      </w:r>
    </w:p>
    <w:p>
      <w:r>
        <w:rPr>
          <w:b w:val="0"/>
        </w:rPr>
        <w:t>优先试“个人赛事纪念内容包”：选本人有权使用的比赛或球员资料，预览主题、内容和输出规格，确认消耗后生成可保存作品。免费用户仍能查看原始数据和基础球员卡；收费买的是新增内容与服务。成人可自购，监护人可为已绑定孩子选择受益人。</w:t>
      </w:r>
    </w:p>
    <w:p>
      <w:r>
        <w:rPr>
          <w:b w:val="0"/>
        </w:rPr>
        <w:t>首批只需选择一个明确可交付的内容包，记录样品成本、成交与反馈，再确认消耗滴数。不同时上架许多未经验证的套餐。</w:t>
      </w:r>
    </w:p>
    <w:p>
      <w:pPr>
        <w:pStyle w:val="Heading2"/>
      </w:pPr>
      <w:r>
        <w:t>卡片资格与资金必须分开</w:t>
      </w:r>
    </w:p>
    <w:p>
      <w:r>
        <w:rPr>
          <w:b w:val="0"/>
        </w:rPr>
        <w:t>付费不能生成不存在的比赛事实、冠军资格或裁判证书；限定卡按原服务端资格发放。已核定100分对应照片/背景权益继续执行，不能把原本已解锁能力又包装成重复收费。收费装饰放在许可的新增内容或展示层；购买前先检查能否使用，避免先收费再告知无资格。</w:t>
      </w:r>
    </w:p>
    <w:p>
      <w:r>
        <w:br w:type="page"/>
      </w:r>
    </w:p>
    <w:p>
      <w:bookmarkStart w:id="4" w:name="s4"/>
      <w:pPr>
        <w:pStyle w:val="Heading1"/>
      </w:pPr>
      <w:r>
        <w:t>四 PC额度及球队小程序</w:t>
      </w:r>
      <w:bookmarkEnd w:id="4"/>
    </w:p>
    <w:p>
      <w:pPr>
        <w:pStyle w:val="Heading2"/>
      </w:pPr>
      <w:r>
        <w:t>PC主办方后续按资源服务收费</w:t>
      </w:r>
    </w:p>
    <w:p>
      <w:r>
        <w:rPr>
          <w:b w:val="0"/>
        </w:rPr>
        <w:t>方向：把高成本的报名表识别、复杂资料整理和导入辅助做成可选择的服务额度。它不替代当前赛事简易/专业模式免费规则，不按竞赛组别恢复旧专业版收费，也不锁住已经导入的球队、名单或赛程。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4025"/>
        <w:gridCol w:w="3458"/>
      </w:tblGrid>
      <w:tr>
        <w:trPr>
          <w:cantSplit/>
          <w:tblHeader/>
        </w:trPr>
        <w:tc>
          <w:tcPr>
            <w:tcW w:type="dxa" w:w="2268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4025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建议计费方式</w:t>
            </w:r>
          </w:p>
        </w:tc>
        <w:tc>
          <w:tcPr>
            <w:tcW w:type="dxa" w:w="3458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待确定内容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报名表OCR及结构化提取</w:t>
            </w:r>
          </w:p>
        </w:tc>
        <w:tc>
          <w:tcPr>
            <w:tcW w:type="dxa" w:w="402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按可交付标准页或识别任务扣机构额度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按页/按文件/按有效对象选哪种，复杂度如何换算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复杂数据清洗与批量导入辅助</w:t>
            </w:r>
          </w:p>
        </w:tc>
        <w:tc>
          <w:tcPr>
            <w:tcW w:type="dxa" w:w="402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任务前给出预估，按确认服务结果结算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基础模板导入是否包含，哪些属于增强服务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重复上传与服务故障重试</w:t>
            </w:r>
          </w:p>
        </w:tc>
        <w:tc>
          <w:tcPr>
            <w:tcW w:type="dxa" w:w="402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同内容/参数优先复用，重复请求不重复扣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复用范围、重跑策略与人工处理标准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资料预览及人工修正</w:t>
            </w:r>
          </w:p>
        </w:tc>
        <w:tc>
          <w:tcPr>
            <w:tcW w:type="dxa" w:w="402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识别与最终正式导入分开确认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能否只购买识别、导入步骤是否包含在报价中</w:t>
            </w:r>
          </w:p>
        </w:tc>
      </w:tr>
    </w:tbl>
    <w:p>
      <w:pPr>
        <w:spacing w:after="0"/>
      </w:pPr>
    </w:p>
    <w:p>
      <w:r>
        <w:rPr>
          <w:b w:val="0"/>
        </w:rPr>
        <w:t>建议将一次任务设计为“预检与估算→确认额度→处理与预览→确认结果/正式导入”。额度不足先停在确认处，不静默转后付费。预留额度不是最终扣费；服务无法交付时恢复未消费额度，内容不适合识别时优先在预检阶段拦截。供应商调用成功不等于客户结果可用，平台还需控制失败成本。以上为待评审的计费体验标准。</w:t>
      </w:r>
    </w:p>
    <w:p>
      <w:pPr>
        <w:pStyle w:val="Heading2"/>
      </w:pPr>
      <w:r>
        <w:t>个人蜂蜜与机构额度建议分账</w:t>
      </w:r>
    </w:p>
    <w:p>
      <w:r>
        <w:rPr>
          <w:b w:val="0"/>
        </w:rPr>
        <w:t>H5蜂蜜由自然人消费；PC额度由机构购买和分配，工作人员按被授予的消费权限使用。建议先独立账户、单位和订单，不默认互相兑换或调用个人余额。这样才能分别核算成本、预算、发票与责任。是否统一品牌名称可后续决定。</w:t>
      </w:r>
    </w:p>
    <w:p>
      <w:pPr>
        <w:pStyle w:val="Heading2"/>
      </w:pPr>
      <w:r>
        <w:t>球队小程序当前不定价</w:t>
      </w:r>
    </w:p>
    <w:p>
      <w:r>
        <w:rPr>
          <w:b w:val="0"/>
        </w:rPr>
        <w:t>球队基础档案、多球队管理、名单、阵容、通知及正常参赛协作继续按现行免费规则执行，不因球队数或球员数人为阻断正常参赛。现有大名单和基础海报不因本方案追溯收费。</w:t>
      </w:r>
    </w:p>
    <w:p>
      <w:r>
        <w:rPr>
          <w:b w:val="0"/>
        </w:rPr>
        <w:t>调研候选仅保留“球队品牌内容包”“新增批量AI内容服务”“可选人工设计服务”。不先卖未定义的年费会员，不把多管理员或基础报名包装成新付费门槛。青训教务、课程和经营财务仍是原有独立机构服务，不与球队参赛收费混为一谈。</w:t>
      </w:r>
    </w:p>
    <w:p>
      <w:r>
        <w:br w:type="page"/>
      </w:r>
    </w:p>
    <w:p>
      <w:bookmarkStart w:id="5" w:name="s5"/>
      <w:pPr>
        <w:pStyle w:val="Heading1"/>
      </w:pPr>
      <w:r>
        <w:t>五 账户和交易标准</w:t>
      </w:r>
      <w:bookmarkEnd w:id="5"/>
    </w:p>
    <w:p>
      <w:pPr>
        <w:pStyle w:val="Heading2"/>
      </w:pPr>
      <w:r>
        <w:t>账户归属和资金来源</w:t>
      </w:r>
    </w:p>
    <w:p>
      <w:r>
        <w:rPr>
          <w:b w:val="0"/>
        </w:rPr>
        <w:t>目标标准是同一自然人的两种H5身份共用个人蜂蜜账户；监护人付款时选择受益孩子，孩子资料不等于付款人账户。当前既有钱包按服务号微信标识保存，正式开充值前应核验其与手机号主账号的唯一关系；不能按同名合并钱包或自动汇总历史余额。机构额度不与个人蜂蜜混账。</w:t>
      </w:r>
    </w:p>
    <w:p>
      <w:r>
        <w:rPr>
          <w:b w:val="0"/>
        </w:rPr>
        <w:t>充值与活动发放保留不同来源；每笔充值保留原金额、到账滴数和套餐版本。五档折算不同，退费不能简单按“剩余滴数×0.1元”计算，也不能把签到获得的蜂蜜按购买价退款。来源消费顺序、有效期、退款处理和展示方式在Q03确认前不自行默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685"/>
        <w:gridCol w:w="4252"/>
      </w:tblGrid>
      <w:tr>
        <w:trPr>
          <w:cantSplit/>
          <w:tblHeader/>
        </w:trPr>
        <w:tc>
          <w:tcPr>
            <w:tcW w:type="dxa" w:w="1814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链路状态</w:t>
            </w:r>
          </w:p>
        </w:tc>
        <w:tc>
          <w:tcPr>
            <w:tcW w:type="dxa" w:w="3685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用户能看到什么</w:t>
            </w:r>
          </w:p>
        </w:tc>
        <w:tc>
          <w:tcPr>
            <w:tcW w:type="dxa" w:w="4252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账务处理标准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待支付</w:t>
            </w:r>
          </w:p>
        </w:tc>
        <w:tc>
          <w:tcPr>
            <w:tcW w:type="dxa" w:w="368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应付金额、总到账滴数、所选档位</w:t>
            </w:r>
          </w:p>
        </w:tc>
        <w:tc>
          <w:tcPr>
            <w:tcW w:type="dxa" w:w="425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保存订单快照；不增加余额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已取消或失败</w:t>
            </w:r>
          </w:p>
        </w:tc>
        <w:tc>
          <w:tcPr>
            <w:tcW w:type="dxa" w:w="368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可返回重选，不诱导重复支付</w:t>
            </w:r>
          </w:p>
        </w:tc>
        <w:tc>
          <w:tcPr>
            <w:tcW w:type="dxa" w:w="425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不入账，保留可核对的状态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支付结果确认中</w:t>
            </w:r>
          </w:p>
        </w:tc>
        <w:tc>
          <w:tcPr>
            <w:tcW w:type="dxa" w:w="368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已支付反馈正在核验，可查看订单</w:t>
            </w:r>
          </w:p>
        </w:tc>
        <w:tc>
          <w:tcPr>
            <w:tcW w:type="dxa" w:w="425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由服务端查单/回调确认，不相信前端成功提示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已支付待到账</w:t>
            </w:r>
          </w:p>
        </w:tc>
        <w:tc>
          <w:tcPr>
            <w:tcW w:type="dxa" w:w="368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订单已付、蜂蜜处理状态</w:t>
            </w:r>
          </w:p>
        </w:tc>
        <w:tc>
          <w:tcPr>
            <w:tcW w:type="dxa" w:w="425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按唯一订单入账，失败可恢复，重复回调不重复加蜜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已完成</w:t>
            </w:r>
          </w:p>
        </w:tc>
        <w:tc>
          <w:tcPr>
            <w:tcW w:type="dxa" w:w="368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实付、到账数量、时间及明细</w:t>
            </w:r>
          </w:p>
        </w:tc>
        <w:tc>
          <w:tcPr>
            <w:tcW w:type="dxa" w:w="425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订单、钱包与账本一致并可核对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扣蜜服务失败</w:t>
            </w:r>
          </w:p>
        </w:tc>
        <w:tc>
          <w:tcPr>
            <w:tcW w:type="dxa" w:w="368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失败原因、恢复或人工处理进度</w:t>
            </w:r>
          </w:p>
        </w:tc>
        <w:tc>
          <w:tcPr>
            <w:tcW w:type="dxa" w:w="425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扣费与交付可追踪，不以“失败”静默吞掉蜂蜜</w:t>
            </w:r>
          </w:p>
        </w:tc>
      </w:tr>
    </w:tbl>
    <w:p>
      <w:pPr>
        <w:spacing w:after="0"/>
      </w:pPr>
    </w:p>
    <w:p>
      <w:pPr>
        <w:pStyle w:val="Heading2"/>
      </w:pPr>
      <w:r>
        <w:t>统一扣费原则</w:t>
      </w:r>
    </w:p>
    <w:p>
      <w:r>
        <w:rPr>
          <w:b w:val="0"/>
        </w:rPr>
        <w:t>商品或服务开始前显示明确消耗与购买对象，余额不足可转充值，充值完成后回原任务等待用户继续确认，避免自动替用户再次下单。重复点击必须复用同一任务/订单结果；账本记录充值、消费、退回、活动发放和人工调整的来源，任何人工调整要有原因和操作者。</w:t>
      </w:r>
    </w:p>
    <w:p>
      <w:pPr>
        <w:pStyle w:val="Heading2"/>
      </w:pPr>
      <w:r>
        <w:t>微信支付上线前提</w:t>
      </w:r>
    </w:p>
    <w:p>
      <w:r>
        <w:rPr>
          <w:b w:val="0"/>
        </w:rPr>
        <w:t>已有商户号，但JSAPI权限状态未知；还需核对服务号APPID关联、支付授权目录、商户签名/验签配置和有效回调域名。前端支付返回后查单，后台接收并验签异步通知，以微信服务端确认的成功订单完成入账。这是支付接入标准，不能用页面显示“成功”代替。依据见第八章官方文档。</w:t>
      </w:r>
    </w:p>
    <w:p>
      <w:r>
        <w:br w:type="page"/>
      </w:r>
    </w:p>
    <w:p>
      <w:bookmarkStart w:id="6" w:name="s6"/>
      <w:pPr>
        <w:pStyle w:val="Heading1"/>
      </w:pPr>
      <w:r>
        <w:t>六 页面与操作规范</w:t>
      </w:r>
      <w:bookmarkEnd w:id="6"/>
    </w:p>
    <w:p>
      <w:r>
        <w:rPr>
          <w:b w:val="0"/>
        </w:rPr>
        <w:t>这里只定义收费相关页面的范围和衔接，不另做整套原型。H5沿用已确认深绿/浅金个人中心；PC以批量任务和预算为主；小程序的待定收费不提前暴露购买入口。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309"/>
        <w:gridCol w:w="3515"/>
      </w:tblGrid>
      <w:tr>
        <w:trPr>
          <w:cantSplit/>
          <w:tblHeader/>
        </w:trPr>
        <w:tc>
          <w:tcPr>
            <w:tcW w:type="dxa" w:w="1928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页面及操作人</w:t>
            </w:r>
          </w:p>
        </w:tc>
        <w:tc>
          <w:tcPr>
            <w:tcW w:type="dxa" w:w="4309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内容顺序和主动作</w:t>
            </w:r>
          </w:p>
        </w:tc>
        <w:tc>
          <w:tcPr>
            <w:tcW w:type="dxa" w:w="3515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关键状态与返回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P01 H5我的</w:t>
              <w:br/>
              <w:t>球员 裁判 监护人</w:t>
            </w:r>
          </w:p>
        </w:tc>
        <w:tc>
          <w:tcPr>
            <w:tcW w:type="dxa" w:w="4309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身份→蜂蜜余额/充值→个人数据→账号服务。字段：当前对象、余额、到账状态。390×844纵向滚动，主动作进入充值；数据仍按授权范围。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加载、未开通、余额待核对、失败、无权限；未知为破折号。进入P02/P04，返回保留身份。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P02 蜂蜜充值</w:t>
              <w:br/>
              <w:t>本人付款账号</w:t>
            </w:r>
          </w:p>
        </w:tc>
        <w:tc>
          <w:tcPr>
            <w:tcW w:type="dxa" w:w="4309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余额→五档金额/到账滴数→实付确认→微信收银台。固定底部支付按钮不遮挡内容；后台固定档位，不接收任意价格。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未开放、待支付、取消、核验中、到账失败/恢复、已完成；成功转P04，再返回原消费任务。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P03 增值商品详情</w:t>
              <w:br/>
              <w:t>本人或监护人</w:t>
            </w:r>
          </w:p>
        </w:tc>
        <w:tc>
          <w:tcPr>
            <w:tcW w:type="dxa" w:w="4309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作品预览→受益球员→内容/授权范围→消耗滴数→确认。先查资格，再允许消费；本页为建议建设。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未满足条件、余额不足、处理中、失败恢复、已交付；不足去P02，交付回作品及订单。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P04 订单与蜂蜜明细</w:t>
              <w:br/>
              <w:t>付款人</w:t>
            </w:r>
          </w:p>
        </w:tc>
        <w:tc>
          <w:tcPr>
            <w:tcW w:type="dxa" w:w="4309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订单状态→实付/到账或消耗→受益对象→时间/处理记录。按需查订单；充值订单与服务扣蜜记录可区分。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空、加载、待核对、异常；只读查看，不重建同一订单。当前只读明细已具备，充值订单闭环未上线。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P05 PC机构额度与任务</w:t>
              <w:br/>
              <w:t>机构负责人 授权工作人员</w:t>
            </w:r>
          </w:p>
        </w:tc>
        <w:tc>
          <w:tcPr>
            <w:tcW w:type="dxa" w:w="4309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机构余额→任务预估→确认权限/额度→识别结果→导入与实扣。1440×900，表格/预览分栏，主动作确认本次服务。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后置规划；未授权、额度不足、处理中、部分完成、需核对。返回原报名任务，不影响手动办赛。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P06 球队增值方案</w:t>
              <w:br/>
              <w:t>球队管理者</w:t>
            </w:r>
          </w:p>
        </w:tc>
        <w:tc>
          <w:tcPr>
            <w:tcW w:type="dxa" w:w="4309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候选需求与样品的调研视图，390×844。记录内容包/批量服务需求，不显示未确认价格或支付按钮。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未定；当前无购买主动作。确认收费对象、内容和单价后再设计商品入口。</w:t>
            </w:r>
          </w:p>
        </w:tc>
      </w:tr>
    </w:tbl>
    <w:p>
      <w:pPr>
        <w:spacing w:after="0"/>
      </w:pPr>
    </w:p>
    <w:p>
      <w:pPr>
        <w:pStyle w:val="Heading2"/>
      </w:pPr>
      <w:r>
        <w:t>链路编号</w:t>
      </w:r>
    </w:p>
    <w:p>
      <w:r>
        <w:rPr>
          <w:b w:val="0"/>
        </w:rPr>
        <w:t>J01 蜂蜜充值：P01→P02→P04→原入口。J02 内容购买：P03→余额检查→P02或确认扣蜜→P04/作品。J03 PC服务：报名任务→P05预估确认→处理/预览→原任务导入及账务记录。三条链路均需可恢复，页面跳转成功不等于支付或交付成功。</w:t>
      </w:r>
    </w:p>
    <w:p>
      <w:r>
        <w:br w:type="page"/>
      </w:r>
    </w:p>
    <w:p>
      <w:bookmarkStart w:id="7" w:name="s7"/>
      <w:pPr>
        <w:pStyle w:val="Heading1"/>
      </w:pPr>
      <w:r>
        <w:t>七 建设顺序与验收</w:t>
      </w:r>
      <w:bookmarkEnd w:id="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855"/>
      </w:tblGrid>
      <w:tr>
        <w:trPr>
          <w:cantSplit/>
          <w:tblHeader/>
        </w:trPr>
        <w:tc>
          <w:tcPr>
            <w:tcW w:type="dxa" w:w="1701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195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实际交付</w:t>
            </w:r>
          </w:p>
        </w:tc>
        <w:tc>
          <w:tcPr>
            <w:tcW w:type="dxa" w:w="3855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A H5首期准备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确认首批可交付商品；核验商户JSAPI；确定消费与退款规则；保留已确认五档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真实样品、成本台账和商品说明齐备；不是只有一个充值按钮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B H5小范围上线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五档充值、订单确认、重复回调保护、到账明细及一个内容商品闭环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测试账号验收到账/取消/补单/服务失败恢复，实际小额交易由商户负责人验证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C PC额度试点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只记录调用成本与任务结果，再试预估、额度与导入服务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计费单位和服务边界获确认，机构可核对预算/操作者/结果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D 球队商业化调研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用内容包与增量服务样品询价，验证球队愿意为什么付钱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付费对象、内容、成本与交付能力明确后，才定商品或订阅</w:t>
            </w:r>
          </w:p>
        </w:tc>
      </w:tr>
    </w:tbl>
    <w:p>
      <w:pPr>
        <w:spacing w:after="0"/>
      </w:pPr>
    </w:p>
    <w:p>
      <w:pPr>
        <w:pStyle w:val="Heading2"/>
      </w:pPr>
      <w:r>
        <w:t>首期验收清单</w:t>
      </w:r>
    </w:p>
    <w:p>
      <w:r>
        <w:rPr>
          <w:b w:val="0"/>
        </w:rPr>
        <w:t>• 五个套餐的支付金额与总滴数完全一致；切换身份不重复开钱包，充值到账进入同一付款账号。</w:t>
      </w:r>
    </w:p>
    <w:p>
      <w:r>
        <w:rPr>
          <w:b w:val="0"/>
        </w:rPr>
        <w:t>• 客户端改金额/滴数无效，重复点击、重复回调及补单各只入账一次；金额不符、归属不符、验签失败进入异常，不放行。</w:t>
      </w:r>
    </w:p>
    <w:p>
      <w:r>
        <w:rPr>
          <w:b w:val="0"/>
        </w:rPr>
        <w:t>• 支付取消/失败不加余额；微信已支付但本地尚未到账能查单恢复，不能要求用户先再付一次。</w:t>
      </w:r>
    </w:p>
    <w:p>
      <w:r>
        <w:rPr>
          <w:b w:val="0"/>
        </w:rPr>
        <w:t>• 有真实成本的内容服务先预览/确认消耗，再扣蜜交付；服务失败有明确恢复记录，余额不足不自动扣其他账户。</w:t>
      </w:r>
    </w:p>
    <w:p>
      <w:r>
        <w:rPr>
          <w:b w:val="0"/>
        </w:rPr>
        <w:t>• 球员/裁判基础数据和正常赛事协作仍可使用；买内容不能改比赛事实、付费解锁账号管理权或伪造荣誉。</w:t>
      </w:r>
    </w:p>
    <w:p>
      <w:r>
        <w:rPr>
          <w:b w:val="0"/>
        </w:rPr>
        <w:t>• PC的机构消费与工作人员权限独立；测试数据、测试订单及测试蜂蜜不进入真实余额、统计或正式商品权益。</w:t>
      </w:r>
    </w:p>
    <w:p>
      <w:pPr>
        <w:pStyle w:val="Heading2"/>
      </w:pPr>
      <w:r>
        <w:t>先验证这些经营指标</w:t>
      </w:r>
    </w:p>
    <w:p>
      <w:r>
        <w:rPr>
          <w:b w:val="0"/>
        </w:rPr>
        <w:t>先记录作品预览→购买→交付→保存/分享的转化、重复购买、每次可交付成本、失败返额率和客服问题。充值金额只是资金流入，不直接当作全部已履约收入；未消费余额与已交付内容分开观察，收入确认交由财务口径核定。阶段时间和收入目标均未承诺。</w:t>
      </w:r>
    </w:p>
    <w:p>
      <w:r>
        <w:br w:type="page"/>
      </w:r>
    </w:p>
    <w:p>
      <w:bookmarkStart w:id="8" w:name="s8"/>
      <w:pPr>
        <w:pStyle w:val="Heading1"/>
      </w:pPr>
      <w:r>
        <w:t>八 待定事项与依据</w:t>
      </w:r>
      <w:bookmarkEnd w:id="8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102"/>
        <w:gridCol w:w="3798"/>
      </w:tblGrid>
      <w:tr>
        <w:trPr>
          <w:cantSplit/>
          <w:tblHeader/>
        </w:trPr>
        <w:tc>
          <w:tcPr>
            <w:tcW w:type="dxa" w:w="850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5102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需要拍板的事项</w:t>
            </w:r>
          </w:p>
        </w:tc>
        <w:tc>
          <w:tcPr>
            <w:tcW w:type="dxa" w:w="3798"/>
            <w:shd w:fill="EAF0EC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/>
              <w:spacing w:line="276" w:lineRule="auto" w:after="40"/>
            </w:pPr>
            <w:r>
              <w:rPr>
                <w:b/>
                <w:color w:val="000000"/>
                <w:sz w:val="19"/>
              </w:rPr>
              <w:t>当前处理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Q01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商户JSAPI是否开通，服务号绑定与授权目录是否齐全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已有商户号；未核验前不启用支付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Q02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首批具体卖什么，预览/交付规格及消耗滴数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建议先一个赛事纪念内容包；商品消耗滴数待测算确认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Q03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充值/活动蜂蜜的消费顺序、有效期、余额退费及售后规则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保留来源和订单快照；不写死过期、提现或退款承诺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Q04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充值蜂蜜用于应援的商业效果，本人应援、退款后积分处理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现行每10滴有效应援1分不擅改；涉及变更须独立确认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Q05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PC按页/任务/对象计费、增强导入范围、机构预算权限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放后续阶段，不立即展示价格或扣额度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Q06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球队小程序最终收费项目与交付对象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bottom w:val="single" w:sz="4" w:color="DFE6E1"/>
            </w:tcBorders>
          </w:tcPr>
          <w:p>
            <w:pPr>
              <w:keepNext w:val="0"/>
              <w:spacing w:line="276" w:lineRule="auto" w:after="40"/>
            </w:pPr>
            <w:r>
              <w:rPr>
                <w:b w:val="0"/>
                <w:color w:val="000000"/>
                <w:sz w:val="19"/>
              </w:rPr>
              <w:t>维持基础协作免费，只有调研候选，不开年费会员</w:t>
            </w:r>
          </w:p>
        </w:tc>
      </w:tr>
    </w:tbl>
    <w:p>
      <w:pPr>
        <w:spacing w:after="0"/>
      </w:pPr>
    </w:p>
    <w:p>
      <w:pPr>
        <w:pStyle w:val="Heading2"/>
      </w:pPr>
      <w:r>
        <w:t>依据和事实边界</w:t>
      </w:r>
    </w:p>
    <w:p>
      <w:r>
        <w:rPr>
          <w:b w:val="0"/>
        </w:rPr>
        <w:t>内部依据：2026年10月18日本次三端收费口述与五档价格；现行产品规则的免费赛事/球队协作边界；统一球员卡积分与100分权益规范；服务号个人中心和只读账本的发布记录。旧“按竞赛组别收费”及历史变现设想不自动作为现行政策。</w:t>
      </w:r>
    </w:p>
    <w:p>
      <w:r>
        <w:rPr>
          <w:b w:val="0"/>
        </w:rPr>
        <w:t>外部依据仅用于支付及成本设计核对，不是承诺可收款或最终售价：</w:t>
      </w:r>
    </w:p>
    <w:p>
      <w:pPr>
        <w:spacing w:after="100"/>
      </w:pPr>
      <w:hyperlink r:id="rId11">
        <w:r>
          <w:rPr>
            <w:color w:val="07593F"/>
          </w:rPr>
          <w:t>微信支付 JSAPI开发接入准备</w:t>
        </w:r>
      </w:hyperlink>
    </w:p>
    <w:p>
      <w:pPr>
        <w:spacing w:after="100"/>
      </w:pPr>
      <w:hyperlink r:id="rId12">
        <w:r>
          <w:rPr>
            <w:color w:val="07593F"/>
          </w:rPr>
          <w:t>微信支付 支付回调和查单实现指引</w:t>
        </w:r>
      </w:hyperlink>
    </w:p>
    <w:p>
      <w:pPr>
        <w:spacing w:after="100"/>
      </w:pPr>
      <w:hyperlink r:id="rId13">
        <w:r>
          <w:rPr>
            <w:color w:val="07593F"/>
          </w:rPr>
          <w:t>百度智能云 OCR价格详情</w:t>
        </w:r>
      </w:hyperlink>
    </w:p>
    <w:p>
      <w:r>
        <w:rPr>
          <w:b w:val="0"/>
        </w:rPr>
        <w:t>不同OCR产品、请求形态和套餐的供应商计费口径可能不同，不能把一次HTTP请求直接等同于一份客户收费额度；正式报价以实际产品、成本记录和已确认标准为准。</w:t>
      </w:r>
    </w:p>
    <w:p>
      <w:r>
        <w:rPr>
          <w:b/>
        </w:rPr>
        <w:t>本次只完成收费策划与规则记录，不修改线上价格、启用支付、发放付费权益或创建真实订单。待定项目不能因为出现在本方案中就当作已售服务。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6"/>
      </w:rPr>
      <w:t xml:space="preserve">评审稿 V1.0   ·  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  <w:sz w:val="16"/>
      </w:rPr>
      <w:t>赛小蜂足球    收费模式策划方案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5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y.wechatpay.cn/doc/v3/merchant/4015423216" TargetMode="External"/><Relationship Id="rId12" Type="http://schemas.openxmlformats.org/officeDocument/2006/relationships/hyperlink" Target="https://pay.wechatpay.cn/doc/v3/merchant/4012075249" TargetMode="External"/><Relationship Id="rId13" Type="http://schemas.openxmlformats.org/officeDocument/2006/relationships/hyperlink" Target="https://cloud.baidu.com/product-price/oc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赛小蜂足球收费模式策划方案</dc:title>
  <dc:subject>H5蜂蜜增值 PC机构额度 球队小程序待定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