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162</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246</w:t>
      </w:r>
    </w:p>
    <w:p w:rsidR="005603EC" w:rsidRDefault="00AB61AC">
      <w:pPr>
        <w:tabs>
          <w:tab w:val="right" w:leader="dot" w:pos="9354"/>
        </w:tabs>
        <w:spacing w:after="80" w:line="240" w:lineRule="auto"/>
      </w:pPr>
      <w:r>
        <w:rPr>
          <w:b/>
          <w:sz w:val="26"/>
        </w:rPr>
        <w:t>ILOVALAR</w:t>
      </w:r>
      <w:r>
        <w:rPr>
          <w:b/>
          <w:sz w:val="26"/>
        </w:rPr>
        <w:tab/>
        <w:t>266</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242</w:t>
      </w:r>
      <w:r>
        <w:rPr/>
        <w:t xml:space="preserve">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 bunda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3.1.3-rasm</w:t>
      </w:r>
      <w:r>
        <w:rPr>
          <w:b/>
        </w:rPr>
        <w:t xml:space="preserve">.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xml:space="preserve">, unda kapital bloki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Eng katta farq likvidlik va daromadlilik bloklarida kuzatiladi: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 xml:space="preserve">3.2.1-rasm. Integral indeks bloklarining </w:t>
      </w:r>
      <w:r>
        <w:rPr>
          <w:b/>
        </w:rPr>
        <w:t xml:space="preserve">tayanch va empirik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t xml:space="preserve">tayanch vaznlar</w:t>
      </w:r>
      <w:r>
        <w:t xml:space="preserve">dan biroz ustun (AUC 0,864–0,907), biroq farq katta emas, </w:t>
      </w:r>
      <w:r>
        <w:rPr/>
        <w:t xml:space="preserve">tayanch vaznlar</w:t>
      </w:r>
      <w:r>
        <w:t xml:space="preserve">ning bashorat kuchi esa bosh komponentlar usuli bilan 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rPr>
          <w:color w:val="FF0000"/>
        </w:rPr>
        <w:t xml:space="preserve">Shundan so‘ng e</w:t>
      </w:r>
      <w:r>
        <w:t xml:space="preserv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w:t>
      </w:r>
      <w:r>
        <w:rPr>
          <w:color w:val="FF0000"/>
        </w:rPr>
        <w:t xml:space="preserve">Shuni ta’kidlash joizki, YaIM o‘sishi va asosiy stavka bo‘yicha olingan baholar</w:t>
      </w:r>
      <w:r>
        <w:rPr>
          <w:highlight w:val="green"/>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highlight w:val="green"/>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 xml:space="preserve">shu chorakning o‘zida 0,153 foiz punktga oshiradi. Laglar tuzilishi farq qilsa-da, koeffitsiyentlarning yaqinligi bahoning barqarorligini ko‘rsatadi. </w:t>
      </w:r>
      <w:r>
        <w:rPr>
          <w:color w:val="FF0000"/>
        </w:rPr>
        <w:t xml:space="preserve">Ta’kidlash joizki, 3</w:t>
      </w:r>
      <w:r>
        <w:rPr>
          <w:highlight w:val="green"/>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highlight w:val="green"/>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Tayanch</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