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43"/>
      </w:r>
      <w:r>
        <w:rPr>
          <w:rFonts w:ascii="Times New Roman" w:hAnsi="Times New Roman" w:cs="Times New Roman" w:eastAsia="Times New Roman"/>
          <w:sz w:val="28"/>
        </w:rPr>
        <w:t xml:space="preserve">, 2022–2025-yillarda esa 36,7–52,6 foiz oralig‘ida bo‘lgan</w:t>
      </w:r>
      <w:r>
        <w:rPr>
          <w:rStyle w:val="FootnoteReference"/>
        </w:rPr>
        <w:footnoteReference w:id="44"/>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45"/>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6"/>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8"/>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9"/>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50"/>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1"/>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 (2021-yil uchun yil oxiri qiymati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3"/>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6"/>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8" name="2.2.7-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58"/>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59"/>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60"/>
      </w:r>
      <w:r>
        <w:rPr>
          <w:rFonts w:ascii="Times New Roman" w:hAnsi="Times New Roman" w:cs="Times New Roman" w:eastAsia="Times New Roman"/>
          <w:sz w:val="28"/>
        </w:rPr>
        <w:t xml:space="preserve">.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2.8-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61"/>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0,7–2,2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62"/>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63"/>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5"/>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Annual Report 2023. – Tashkent, 2024. – P. 57.</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43">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4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8">
    <w:p>
      <w:pPr>
        <w:pStyle w:val="FootnoteText"/>
      </w:pPr>
      <w:r>
        <w:rPr>
          <w:rStyle w:val="FootnoteReference"/>
        </w:rPr>
        <w:footnoteRef/>
      </w:r>
      <w:r>
        <w:t xml:space="preserve"> </w:t>
      </w:r>
      <w:r>
        <w:t xml:space="preserve">Tadqiqot natijasida muallif tomonidan 2.2.1-jadval ma’lumotlari asosida ishlab chiqildi.</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5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2">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5">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7">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58">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59">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60">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61">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6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63">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6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 Id="rId16" Type="http://schemas.openxmlformats.org/officeDocument/2006/relationships/chart" Target="charts/chart8.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16.0</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2.2</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2026-10-11T06:08:20Z</dcterms:created>
  <dcterms:modified xsi:type="dcterms:W3CDTF">2026-10-11T06:08:20Z</dcterms:modified>
</cp:coreProperties>
</file>

<file path=docProps/custom.xml><?xml version="1.0" encoding="utf-8"?>
<Properties xmlns="http://schemas.openxmlformats.org/officeDocument/2006/custom-properties" xmlns:vt="http://schemas.openxmlformats.org/officeDocument/2006/docPropsVTypes"/>
</file>