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p>
      <w:pPr>
        <w:tabs>
          <w:tab w:pos="9354" w:val="right" w:leader="dot"/>
        </w:tabs>
        <w:spacing w:line="240" w:lineRule="auto" w:after="80"/>
        <w:ind w:left="454"/>
      </w:pPr>
      <w:r>
        <w:rPr>
          <w:rFonts w:ascii="Times New Roman" w:hAnsi="Times New Roman"/>
          <w:b w:val="0"/>
          <w:sz w:val="26"/>
        </w:rPr>
        <w:t>4.2-§. Tijorat banklari moliyaviy barqarorligining 2026–2028-yillarga prognozi</w:t>
        <w:tab/>
        <w:t>204</w:t>
      </w:r>
    </w:p>
    <w:p>
      <w:pPr>
        <w:tabs>
          <w:tab w:pos="9354" w:val="right" w:leader="dot"/>
        </w:tabs>
        <w:spacing w:line="240" w:lineRule="auto" w:after="80"/>
        <w:ind w:left="454"/>
      </w:pPr>
      <w:r>
        <w:rPr>
          <w:rFonts w:ascii="Times New Roman" w:hAnsi="Times New Roman"/>
          <w:b w:val="0"/>
          <w:sz w:val="26"/>
        </w:rPr>
        <w:t>4.3-§. Tijorat banklari moliyaviy barqarorligini baholash tizimini xalqaro standartlarga muvofiqlashtirishning asosiy yo‘nalishlari</w:t>
        <w:tab/>
        <w:t>216</w:t>
      </w:r>
    </w:p>
    <w:p>
      <w:pPr>
        <w:tabs>
          <w:tab w:pos="9354" w:val="right" w:leader="dot"/>
        </w:tabs>
        <w:spacing w:line="240" w:lineRule="auto" w:after="80"/>
        <w:ind w:left="454"/>
      </w:pPr>
      <w:r>
        <w:rPr>
          <w:rFonts w:ascii="Times New Roman" w:hAnsi="Times New Roman"/>
          <w:b w:val="0"/>
          <w:sz w:val="26"/>
        </w:rPr>
        <w:t>IV bob bo‘yicha xulosalar</w:t>
        <w:tab/>
        <w:t>229</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Denov tadbirkorlik va pedagogika universiteti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integral indeks asosida moliyaviy barqarorlikni erta ogohlantirish tizimini shakllantirish va 2026–2028-yillarga ssenariy prognozini ishlab chiqish;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tizimini xalqaro standartlarga muvofiqlashtirishning asosiy yo‘nalishlarini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ishlab chiqilgan va indeksning tijorat banklarida moliyaviy muammolarni to‘rt chorak oldin bashorat qilish kuchi (AUC = 0,86) an’anaviy Z-score ko‘rsatkichidan (AUC = 0,42) yuqori ekani empirik jihatdan isbotlangan.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taxminan 7,2 foiz punktga oshirishi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beshta yirik bank MHXS hisobotlari asosida integral indeks bo‘yicha reyting baholanib, davlat ko‘magisiz baholashda «Mikrokreditbank» ATB ning indeksi 2,47 balldan 1,72 ballgacha, ya’ni nobarqaror sinfgacha pasayishi aniqlangan;</w:t>
      </w:r>
    </w:p>
    <w:p>
      <w:pPr>
        <w:pStyle w:val="BodyText"/>
        <w:spacing w:line="360" w:lineRule="auto" w:before="0" w:after="0"/>
        <w:ind w:firstLine="709"/>
        <w:jc w:val="both"/>
      </w:pPr>
      <w:r>
        <w:rPr>
          <w:rFonts w:ascii="Times New Roman" w:hAnsi="Times New Roman" w:cs="Times New Roman" w:eastAsia="Times New Roman"/>
          <w:sz w:val="28"/>
        </w:rPr>
        <w:t xml:space="preserve">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pPr>
        <w:pStyle w:val="BodyText"/>
        <w:spacing w:line="360" w:lineRule="auto" w:before="0" w:after="0"/>
        <w:ind w:firstLine="709"/>
        <w:jc w:val="both"/>
      </w:pPr>
      <w:r>
        <w:rPr>
          <w:rFonts w:ascii="Times New Roman" w:hAnsi="Times New Roman" w:cs="Times New Roman" w:eastAsia="Times New Roman"/>
          <w:sz w:val="28"/>
        </w:rPr>
        <w:t xml:space="preserve">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pPr>
        <w:pStyle w:val="BodyText"/>
        <w:spacing w:line="360" w:lineRule="auto" w:before="0" w:after="0"/>
        <w:ind w:firstLine="709"/>
        <w:jc w:val="both"/>
      </w:pPr>
      <w:r>
        <w:rPr>
          <w:rFonts w:ascii="Times New Roman" w:hAnsi="Times New Roman" w:cs="Times New Roman" w:eastAsia="Times New Roman"/>
          <w:sz w:val="28"/>
        </w:rPr>
        <w:t xml:space="preserve">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 va ochiq e’lon qilinmaydi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barcha banklar uchun hisoblanadigan XVJ ko‘rsatkichlari bo‘yicha baholanadi, LCR va NSFR Bazel III bo‘yicha tekshiruv uchun qayta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13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13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 Bazel III</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Yuqori likvid aktivlar / jami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leverage talabidagi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blokiga likvidlikni qoplash koeffitsiyenti va sof barqaror moliyalashtirish me’yori kiritilmadi, chunki banklar ularni ochiq e’lon qilmaydi va ularni hisoblash uchun Markaziy bankka taqdim etiladigan batafsil shakllar talab etiladi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uning 2 ball chegarasi sifatida Markaziy bank tomonidan belgilangan 10 foizlik minimal talab qabul qilindi</w:t>
      </w:r>
      <w:r>
        <w:rPr>
          <w:rStyle w:val="FootnoteReference"/>
        </w:rPr>
        <w:footnoteReference w:id="371"/>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4"/>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5"/>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9"/>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80"/>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5"/>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9,13 (3,45)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18,10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Kapital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29,1 (1,09)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Yuqori likvid aktivlar / aktivlar,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15,5 (3,09)</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324,5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 (3,96)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0,6 (1,85)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0,2 (1,22)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(1,69)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(2,72)</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87,6 (1,62)</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22,4 (4,00)</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3,13</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2,47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CET1 monandligi (MHXS bo‘yicha xususiy kapital − ozchilik ulushi − joriy yil sof foydasi) / risk bo‘yicha tortilgan aktivlar formulasi bo‘yicha, regulyativ kapital monandligi – hisobotda oshkor qilingan qiymat bo‘yicha olindi; yuqori likvid aktivlar ulushi ikki variantda bir xil (milliy balans); «Mikrokreditbank» ATB ning MHXS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indeksi 2,83 ni, ya’ni II sinfni, «Mikrokreditbank» ATB niki esa 2,47 ni, ya’ni III sinfni tashkil etadi. Boshqacha aytganda, ΔMBII «O‘zsanoatqurilishbank» ATB uchun −0,44 ni, «Mikrokreditbank» ATB uchun esa −0,66 ni tashkil etadi va bu farq ikkala bankda ham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ΔMBII ning 86–87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8"/>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ΔMBII ning 85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90"/>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1"/>
      </w:r>
      <w:r>
        <w:rPr>
          <w:rStyle w:val="FootnoteReference"/>
        </w:rPr>
        <w:footnoteReference w:id="392"/>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3"/>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Style w:val="FootnoteReference"/>
        </w:rPr>
        <w:footnoteReference w:id="398"/>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9"/>
      </w:r>
      <w:r>
        <w:rPr>
          <w:rStyle w:val="FootnoteReference"/>
        </w:rPr>
        <w:footnoteReference w:id="40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2"/>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3"/>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4"/>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6"/>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7"/>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8"/>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1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2"/>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3"/>
      </w:r>
      <w:r>
        <w:rPr>
          <w:rStyle w:val="FootnoteReference"/>
        </w:rPr>
        <w:footnoteReference w:id="414"/>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5"/>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6"/>
      </w:r>
      <w:r>
        <w:rPr>
          <w:rStyle w:val="FootnoteReference"/>
        </w:rPr>
        <w:footnoteReference w:id="41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2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1"/>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2"/>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5"/>
      </w:r>
      <w:r>
        <w:rPr>
          <w:rStyle w:val="FootnoteReference"/>
        </w:rPr>
        <w:footnoteReference w:id="426"/>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7"/>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8"/>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9"/>
      </w:r>
      <w:r>
        <w:rPr>
          <w:rStyle w:val="FootnoteReference"/>
        </w:rPr>
        <w:footnoteReference w:id="430"/>
      </w:r>
      <w:r>
        <w:rPr>
          <w:rStyle w:val="FootnoteReference"/>
        </w:rPr>
        <w:footnoteReference w:id="43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2"/>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3"/>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4"/>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5"/>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6"/>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7"/>
      </w:r>
      <w:r>
        <w:rPr>
          <w:rStyle w:val="FootnoteReference"/>
        </w:rPr>
        <w:footnoteReference w:id="438"/>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9"/>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4"/>
      </w:r>
      <w:r>
        <w:rPr>
          <w:rStyle w:val="FootnoteReference"/>
        </w:rPr>
        <w:footnoteReference w:id="445"/>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6"/>
      </w:r>
      <w:r>
        <w:rPr>
          <w:rStyle w:val="FootnoteReference"/>
        </w:rPr>
        <w:footnoteReference w:id="447"/>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9"/>
      </w:r>
      <w:r>
        <w:rPr>
          <w:rStyle w:val="FootnoteReference"/>
        </w:rPr>
        <w:footnoteReference w:id="450"/>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2"/>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3"/>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4"/>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7"/>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9"/>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60"/>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2"/>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3"/>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5"/>
      </w:r>
      <w:r>
        <w:rPr>
          <w:rStyle w:val="FootnoteReference"/>
        </w:rPr>
        <w:footnoteReference w:id="466"/>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7"/>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8"/>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9"/>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70"/>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1"/>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2"/>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3"/>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4"/>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6"/>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9"/>
      </w:r>
      <w:r>
        <w:rPr>
          <w:rStyle w:val="FootnoteReference"/>
        </w:rPr>
        <w:footnoteReference w:id="480"/>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3"/>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bookmarkStart w:id="18" w:name="X9a31a9a7e35eee55cb506e353006e9b5b31985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488"/>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489"/>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490"/>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491"/>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49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493"/>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49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495"/>
      </w:r>
      <w:r>
        <w:rPr>
          <w:rStyle w:val="FootnoteReference"/>
        </w:rPr>
        <w:footnoteReference w:id="496"/>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49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498"/>
      </w:r>
      <w:r>
        <w:rPr>
          <w:rFonts w:ascii="Times New Roman" w:hAnsi="Times New Roman" w:cs="Times New Roman" w:eastAsia="Times New Roman"/>
          <w:sz w:val="28"/>
        </w:rPr>
        <w:t xml:space="preserve">. Bank tizimida muammoli kreditlar ulushining ssenariylar bo‘yicha prognozi 4.2.1-rasmda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3240000"/>
            <wp:effectExtent l="0" t="0" r="0" b="0"/>
            <wp:docPr id="56" name="4.2.1-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49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5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7" name="4.2.2-rasm"/>
            <wp:cNvGraphicFramePr/>
            <a:graphic>
              <a:graphicData uri="http://schemas.openxmlformats.org/drawingml/2006/chart">
                <c:chart r:id="rId5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50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50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50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8" name="4.2.3-rasm"/>
            <wp:cNvGraphicFramePr/>
            <a:graphic>
              <a:graphicData uri="http://schemas.openxmlformats.org/drawingml/2006/chart">
                <c:chart r:id="rId5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5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18"/>
    <w:bookmarkStart w:id="19" w:name="Xb7d7662b6033dec6e97f665e02651905151f922"/>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4.3-§. Tijorat banklari moliyaviy barqarorligini baholash tizimini xalqaro standartlarga muvofiqlashtirishning asosiy yo‘nalishlari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FootnoteReference"/>
        </w:rPr>
        <w:footnoteReference w:id="505"/>
      </w:r>
      <w:r>
        <w:rPr>
          <w:rFonts w:ascii="Times New Roman" w:hAnsi="Times New Roman" w:cs="Times New Roman" w:eastAsia="Times New Roman"/>
          <w:sz w:val="28"/>
        </w:rPr>
        <w:t xml:space="preserve">.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FootnoteReference"/>
        </w:rPr>
        <w:footnoteReference w:id="506"/>
      </w:r>
      <w:r>
        <w:rPr>
          <w:rFonts w:ascii="Times New Roman" w:hAnsi="Times New Roman" w:cs="Times New Roman" w:eastAsia="Times New Roman"/>
          <w:sz w:val="28"/>
        </w:rPr>
        <w:t xml:space="preserve">.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FootnoteReference"/>
        </w:rPr>
        <w:footnoteReference w:id="507"/>
      </w:r>
      <w:r>
        <w:rPr>
          <w:rFonts w:ascii="Times New Roman" w:hAnsi="Times New Roman" w:cs="Times New Roman" w:eastAsia="Times New Roman"/>
          <w:sz w:val="28"/>
        </w:rPr>
        <w:t xml:space="preserve">. Hatto asosiy ssenariyda ham to‘qqizta davlat bankidan beshtasi, jumladan ikkita tizimli ahamiyatga molik bank minimal talabdan pastga tushadi</w:t>
      </w:r>
      <w:r>
        <w:rPr>
          <w:rStyle w:val="FootnoteReference"/>
        </w:rPr>
        <w:footnoteReference w:id="50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FootnoteReference"/>
        </w:rPr>
        <w:footnoteReference w:id="509"/>
      </w:r>
      <w:r>
        <w:rPr>
          <w:rFonts w:ascii="Times New Roman" w:hAnsi="Times New Roman" w:cs="Times New Roman" w:eastAsia="Times New Roman"/>
          <w:sz w:val="28"/>
        </w:rPr>
        <w:t xml:space="preserve">.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FootnoteReference"/>
        </w:rPr>
        <w:footnoteReference w:id="51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FSAP tavsiyalari, «yo‘l xaritasi» choralari, tadqiqot natijalari va muallif takliflarining o‘zaro bog‘liqligi</w:t>
      </w:r>
      <w:r>
        <w:rPr>
          <w:rStyle w:val="FootnoteReference"/>
        </w:rPr>
        <w:footnoteReference w:id="5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608"/>
        <w:gridCol w:w="2494"/>
        <w:gridCol w:w="2721"/>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Yo‘nalish</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FSAP tavsiyasi va «yo‘l xaritasi» chorasi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Tadqiqot natijasi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Muallif taklifi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Aktivlar sifatini to‘g‘ri aks ettirish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aktivlarni to‘g‘ri tasniflashni ta’minlash (10-tavsiya, darhol); «yo‘l xaritasi», 3-chora: tasniflash nizomini MHXS 9 asosida qayta ishlash</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yashirin kredit riski koeffitsiyenti 1,65–3,30; 3-bosqich kreditlarining 57,2 % milliy tasnifda «standart» yoki «substandart»</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Yangi nizom kuchga kirgunga qadar va o‘tish davrida milliy muammoli kreditlar ko‘rsatkichini yashirin kredit riski koeffitsiyenti bilan tuzatgan holda integral indeksga kiritish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5-chora: oshkor qilishga minimal talablar; 19-chora: MHXS asosidagi nazorat hisobotlari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2.3, 3.2-§: ochiq ma’lumotlarda MHXS 9 bosqichlari va bank kesimidagi prudensial ko‘rsatkichlar yo‘q</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Milliy tasnif va MHXS 9 bosqichlari kesishma jadvalini hamda bank kesimidagi choraklik prudensial ko‘rsatkichlarni majburiy oshkor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Masofaviy baholash</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masofaviy nazoratda banklarning risk profilini baholashni takomillashtirish (8-tavsiya)</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3.1-§: 5 blok va 13 ko‘rsatkichdan iborat integral indeks; 3.3-§: indeks iqtisodiy omillar bilan ahamiyatli bog‘langan</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indeksni Markaziy bankning masofaviy monitoringida choraklik reyting vositasi sifatida qo‘llash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Erta ogohlantirish va tezkor choralar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erta ogohlantirish tizimini belgilash (11-tavsiya); «yo‘l xaritasi», 9-chora: erta ogohlantirish va tezkor tuzatish choralari tizimi</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4.1-§: indeksning bashorat kuchi AUC = 0,86; qizil zonada muammo ehtimoli 50 %, yashil zonada 2 %</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Integral indeksga asoslangan uch zonali tizim va har bir zona uchun nazorat choralari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Stress-test</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stress-test ma’lumotlarini qoidalardagi bo‘shliqlarga tuzatish (1-tavsiya); «yo‘l xaritasi», 7, 12-choralar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4.2-§: salbiy ssenariylarda qizil zonaga faqat davlat banklari tushadi; SQB milliy hisobot bo‘yicha yashil, MHXS bo‘yicha qizil zonada</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Stress-testlarni MHXS asosidagi integral indeks bilan o‘tkazish va natijalarini erta ogohlantirish zonalari bilan bog‘lash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Davlat ishtirokidagi banklar</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FSAP: davlat banklarini xususiylashtirishni tezlashtirish, yo‘naltirilgan va imtiyozli kreditlashni bosqichma-bosqich qisqartirish (15, 16-tavsiyalar)</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3.2-§: MKB ning davlat ko‘magisiz bahosi 1,72 ball; 3.3-§: davlat banklarining indeksi 0,69 ball past, farqning yarmi moliyalashtirish modeli bilan izohlanadi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Davlat ko‘magisiz bahoni majburiy qilish; qayta kapitallashtirishni restrukturizatsiya rejasi va indeks ko‘rsatkichlariga bog‘lash; resurs bazasini diversifikatsiya qilish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0"/>
              </w:rPr>
              <w:t xml:space="preserve">Banklarning ichki baholashi</w:t>
            </w:r>
          </w:p>
        </w:tc>
        <w:tc>
          <w:tcPr>
            <w:tcW w:type="dxa" w:w="2608"/>
          </w:tcPr>
          <w:p>
            <w:pPr>
              <w:pStyle w:val="Compact"/>
              <w:spacing w:line="240" w:lineRule="auto"/>
              <w:ind w:firstLine="0"/>
              <w:jc w:val="left"/>
            </w:pPr>
            <w:r>
              <w:rPr>
                <w:rFonts w:ascii="Times New Roman" w:hAnsi="Times New Roman" w:cs="Times New Roman" w:eastAsia="Times New Roman"/>
                <w:sz w:val="20"/>
              </w:rPr>
              <w:t xml:space="preserve">«yo‘l xaritasi», 7-chora: tizimli banklarda ICAAP</w:t>
            </w:r>
          </w:p>
        </w:tc>
        <w:tc>
          <w:tcPr>
            <w:tcW w:type="dxa" w:w="2494"/>
          </w:tcPr>
          <w:p>
            <w:pPr>
              <w:pStyle w:val="Compact"/>
              <w:spacing w:line="240" w:lineRule="auto"/>
              <w:ind w:firstLine="0"/>
              <w:jc w:val="left"/>
            </w:pPr>
            <w:r>
              <w:rPr>
                <w:rFonts w:ascii="Times New Roman" w:hAnsi="Times New Roman" w:cs="Times New Roman" w:eastAsia="Times New Roman"/>
                <w:sz w:val="20"/>
              </w:rPr>
              <w:t xml:space="preserve">3.3, 4.1-§: likvidlik bloki eng zaif; aktivlar sifati bloki eng kuchli signal beradi</w:t>
            </w:r>
          </w:p>
        </w:tc>
        <w:tc>
          <w:tcPr>
            <w:tcW w:type="dxa" w:w="2721"/>
          </w:tcPr>
          <w:p>
            <w:pPr>
              <w:pStyle w:val="Compact"/>
              <w:spacing w:line="240" w:lineRule="auto"/>
              <w:ind w:firstLine="0"/>
              <w:jc w:val="left"/>
            </w:pPr>
            <w:r>
              <w:rPr>
                <w:rFonts w:ascii="Times New Roman" w:hAnsi="Times New Roman" w:cs="Times New Roman" w:eastAsia="Times New Roman"/>
                <w:sz w:val="20"/>
              </w:rPr>
              <w:t xml:space="preserve">ICAAP va risk-appetit doirasida integral indeks bloklari bo‘yicha ichki limitlar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pPr>
        <w:pStyle w:val="BodyText"/>
        <w:spacing w:line="360" w:lineRule="auto" w:before="0" w:after="0"/>
        <w:ind w:firstLine="709"/>
        <w:jc w:val="both"/>
      </w:pPr>
      <w:r>
        <w:rPr>
          <w:rFonts w:ascii="Times New Roman" w:hAnsi="Times New Roman" w:cs="Times New Roman" w:eastAsia="Times New Roman"/>
          <w:sz w:val="28"/>
        </w:rPr>
        <w:t xml:space="preserve">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FootnoteReference"/>
        </w:rPr>
        <w:footnoteReference w:id="512"/>
      </w:r>
      <w:r>
        <w:rPr>
          <w:rFonts w:ascii="Times New Roman" w:hAnsi="Times New Roman" w:cs="Times New Roman" w:eastAsia="Times New Roman"/>
          <w:sz w:val="28"/>
        </w:rPr>
        <w:t xml:space="preserve">.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p>
    <w:p>
      <w:pPr>
        <w:pStyle w:val="BodyText"/>
        <w:spacing w:line="360" w:lineRule="auto" w:before="0" w:after="0"/>
        <w:ind w:firstLine="709"/>
        <w:jc w:val="both"/>
      </w:pPr>
      <w:r>
        <w:rPr>
          <w:rFonts w:ascii="Times New Roman" w:hAnsi="Times New Roman" w:cs="Times New Roman" w:eastAsia="Times New Roman"/>
          <w:sz w:val="28"/>
        </w:rPr>
        <w:t xml:space="preserve">Ikkinchi taklif integral indeks asosida erta ogohlantirish va tezkor tuzatish choralari tizimini shakllantirishdan iborat. «Yo‘l xaritasi»da bunday tizimni joriy etish nazarda tutilgan, biroq uning ko‘rsatkichlari va chegaralari belgilanmagan</w:t>
      </w:r>
      <w:r>
        <w:rPr>
          <w:rStyle w:val="FootnoteReference"/>
        </w:rPr>
        <w:footnoteReference w:id="513"/>
      </w:r>
      <w:r>
        <w:rPr>
          <w:rFonts w:ascii="Times New Roman" w:hAnsi="Times New Roman" w:cs="Times New Roman" w:eastAsia="Times New Roman"/>
          <w:sz w:val="28"/>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FootnoteReference"/>
        </w:rPr>
        <w:footnoteReference w:id="514"/>
      </w:r>
      <w:r>
        <w:rPr>
          <w:rFonts w:ascii="Times New Roman" w:hAnsi="Times New Roman" w:cs="Times New Roman" w:eastAsia="Times New Roman"/>
          <w:sz w:val="28"/>
        </w:rPr>
        <w:t xml:space="preserve">.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FootnoteReference"/>
        </w:rPr>
        <w:footnoteReference w:id="515"/>
      </w:r>
      <w:r>
        <w:rPr>
          <w:rFonts w:ascii="Times New Roman" w:hAnsi="Times New Roman" w:cs="Times New Roman" w:eastAsia="Times New Roman"/>
          <w:sz w:val="28"/>
        </w:rPr>
        <w:t xml:space="preserve">.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pPr>
        <w:pStyle w:val="BodyText"/>
        <w:spacing w:line="360" w:lineRule="auto" w:before="0" w:after="0"/>
        <w:ind w:firstLine="709"/>
        <w:jc w:val="both"/>
      </w:pPr>
      <w:r>
        <w:rPr>
          <w:rFonts w:ascii="Times New Roman" w:hAnsi="Times New Roman" w:cs="Times New Roman" w:eastAsia="Times New Roman"/>
          <w:sz w:val="28"/>
        </w:rP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FootnoteReference"/>
        </w:rPr>
        <w:footnoteReference w:id="516"/>
      </w:r>
      <w:r>
        <w:rPr>
          <w:rFonts w:ascii="Times New Roman" w:hAnsi="Times New Roman" w:cs="Times New Roman" w:eastAsia="Times New Roman"/>
          <w:sz w:val="28"/>
        </w:rP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Beshta bankda milliy hisobot va MHXS hisoboti asosidagi integral indeks hamda erta ogohlantirish zonalari, 2025-yil</w:t>
      </w:r>
      <w:r>
        <w:rPr>
          <w:rStyle w:val="FootnoteReference"/>
        </w:rPr>
        <w:footnoteReference w:id="51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020"/>
        <w:gridCol w:w="1020"/>
        <w:gridCol w:w="1077"/>
        <w:gridCol w:w="1020"/>
        <w:gridCol w:w="1020"/>
        <w:gridCol w:w="1077"/>
        <w:gridCol w:w="1134"/>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Bank</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Muammoli kreditlar ulushi: milliy, %</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3-bosqich kreditlari ulushi: MHXS, %</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Yashirin kredit riski koeffitsiyenti</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milliy hisobot</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MBII: MHXS hisoboti</w:t>
            </w:r>
          </w:p>
        </w:tc>
        <w:tc>
          <w:tcPr>
            <w:tcW w:type="dxa" w:w="107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milliy hisobot</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Zona: MHXS hisoboti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«O‘zsanoatqurilishbank»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7,5</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2,96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2,83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«Mikrokreditbank»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4,4</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2,80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2,90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2,47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qizil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«Biznesni rivojlantirish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8,2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1,81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3,23</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«Xalq banki»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5,2</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1,70</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3,45</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yashil</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0"/>
              </w:rPr>
              <w:t xml:space="preserve">«Ipoteka-bank» ATB</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19,7</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5,56</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3,38</w:t>
            </w:r>
          </w:p>
        </w:tc>
        <w:tc>
          <w:tcPr>
            <w:tcW w:type="dxa" w:w="1020"/>
          </w:tcPr>
          <w:p>
            <w:pPr>
              <w:pStyle w:val="Compact"/>
              <w:spacing w:line="240" w:lineRule="auto"/>
              <w:ind w:firstLine="0"/>
              <w:jc w:val="left"/>
            </w:pPr>
            <w:r>
              <w:rPr>
                <w:rFonts w:ascii="Times New Roman" w:hAnsi="Times New Roman" w:cs="Times New Roman" w:eastAsia="Times New Roman"/>
                <w:sz w:val="20"/>
              </w:rPr>
              <w:t xml:space="preserve">3,11</w:t>
            </w:r>
          </w:p>
        </w:tc>
        <w:tc>
          <w:tcPr>
            <w:tcW w:type="dxa" w:w="1077"/>
          </w:tcPr>
          <w:p>
            <w:pPr>
              <w:pStyle w:val="Compact"/>
              <w:spacing w:line="240" w:lineRule="auto"/>
              <w:ind w:firstLine="0"/>
              <w:jc w:val="left"/>
            </w:pPr>
            <w:r>
              <w:rPr>
                <w:rFonts w:ascii="Times New Roman" w:hAnsi="Times New Roman" w:cs="Times New Roman" w:eastAsia="Times New Roman"/>
                <w:sz w:val="20"/>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0"/>
              </w:rPr>
              <w:t xml:space="preserve">sariq</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To‘rtinchi taklif oshkoralikni kengaytirishdan iborat. FSAP aktivlar tasnifi, zaxiralar, qayta tuzilgan va imtiyozli kreditlar bo‘yicha ma’lumotlar bo‘shliqlarini bartaraf etish tizimli risklarni chuqurroq tahlil qilish uchun zarurligini ta’kidlagan</w:t>
      </w:r>
      <w:r>
        <w:rPr>
          <w:rStyle w:val="FootnoteReference"/>
        </w:rPr>
        <w:footnoteReference w:id="518"/>
      </w:r>
      <w:r>
        <w:rPr>
          <w:rFonts w:ascii="Times New Roman" w:hAnsi="Times New Roman" w:cs="Times New Roman" w:eastAsia="Times New Roman"/>
          <w:sz w:val="28"/>
        </w:rPr>
        <w:t xml:space="preserve">.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p>
    <w:p>
      <w:pPr>
        <w:pStyle w:val="BodyText"/>
        <w:spacing w:line="360" w:lineRule="auto" w:before="0" w:after="0"/>
        <w:ind w:firstLine="709"/>
        <w:jc w:val="both"/>
      </w:pPr>
      <w:r>
        <w:rPr>
          <w:rFonts w:ascii="Times New Roman" w:hAnsi="Times New Roman" w:cs="Times New Roman" w:eastAsia="Times New Roman"/>
          <w:sz w:val="28"/>
        </w:rPr>
        <w:t xml:space="preserve">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FootnoteReference"/>
        </w:rPr>
        <w:footnoteReference w:id="519"/>
      </w:r>
      <w:r>
        <w:rPr>
          <w:rFonts w:ascii="Times New Roman" w:hAnsi="Times New Roman" w:cs="Times New Roman" w:eastAsia="Times New Roman"/>
          <w:sz w:val="28"/>
        </w:rPr>
        <w:t xml:space="preserve">.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kredit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Davlat ishtirokidagi banklar va hukumat uchun takliflar FSAP ning davlat banklarini xususiylashtirishni tezlashtirish hamda yo‘naltirilgan va imtiyozli kreditlashni bosqichma-bosqich qisqartirish bo‘yicha yuqori ustuvorlikdagi tavsiyalariga tayanadi</w:t>
      </w:r>
      <w:r>
        <w:rPr>
          <w:rStyle w:val="FootnoteReference"/>
        </w:rPr>
        <w:footnoteReference w:id="520"/>
      </w:r>
      <w:r>
        <w:rPr>
          <w:rFonts w:ascii="Times New Roman" w:hAnsi="Times New Roman" w:cs="Times New Roman" w:eastAsia="Times New Roman"/>
          <w:sz w:val="28"/>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0,17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uchun asosiy taklif integral indeksni kapital yetarliligini ichki baholash jarayoniga (ICAAP) va risk-appetit tizimiga kiritishdan iborat. «Yo‘l xaritasi»ga ko‘ra, ICAAP tizimli ahamiyatga molik banklar uchun majburiy bo‘ladi</w:t>
      </w:r>
      <w:r>
        <w:rPr>
          <w:rStyle w:val="FootnoteReference"/>
        </w:rPr>
        <w:footnoteReference w:id="521"/>
      </w:r>
      <w:r>
        <w:rPr>
          <w:rFonts w:ascii="Times New Roman" w:hAnsi="Times New Roman" w:cs="Times New Roman" w:eastAsia="Times New Roman"/>
          <w:sz w:val="28"/>
        </w:rPr>
        <w:t xml:space="preserve">.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pPr>
        <w:pStyle w:val="BodyText"/>
        <w:spacing w:line="360" w:lineRule="auto" w:before="0" w:after="0"/>
        <w:ind w:firstLine="709"/>
        <w:jc w:val="both"/>
      </w:pPr>
      <w:r>
        <w:rPr>
          <w:rFonts w:ascii="Times New Roman" w:hAnsi="Times New Roman" w:cs="Times New Roman" w:eastAsia="Times New Roman"/>
          <w:sz w:val="28"/>
        </w:rP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amaldagi baholash amaliyotini bir qator jihatlar bo‘yicha o‘zgartiradi (4.3.3-jadval).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Tijorat banklari moliyaviy barqarorligini baholashning amaldagi va taklif etilayotgan tizimi qiyosi</w:t>
      </w:r>
      <w:r>
        <w:rPr>
          <w:rStyle w:val="FootnoteReference"/>
        </w:rPr>
        <w:footnoteReference w:id="5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742"/>
        <w:gridCol w:w="3855"/>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Jihat</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Amaldagi amaliyot</w:t>
            </w:r>
          </w:p>
        </w:tc>
        <w:tc>
          <w:tcPr>
            <w:tcW w:type="dxa" w:w="385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Taklif etilayotgan tizim</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Baholash asosi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Prudensial normativlarga rioya qilish va kuratorlarning asoslangan mulohazasi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Besh blok va 13 ko‘rsatkichdan iborat integral indeks, mulohaza bilan to‘ldiriladi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Aktivlar sifati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Milliy tasnif bo‘yicha muammoli kreditlar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MHXS 9 bo‘yicha 3-bosqich kreditlari yoki yashirin kredit riski koeffitsiyenti bilan tuzatilgan milliy ko‘rsatkich</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Davlat ko‘magi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Alohida baholanmaydi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Davlat banklari uchun davlat ko‘magisiz indeks</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Signal va choralar</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Choralar asosan normativ buzilgandan keyin qo‘llanadi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Uch zonali erta ogohlantirish tizimi, choralar normativ buzilishidan oldin</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Bashorat elementi</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Tizim darajasidagi stress-test</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Bank darajasida integral indeksning ssenariy prognozi, natijalar zonalarda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Empirik tekshiruv</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Natijalar e’lon qilinmaydi</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Indeksning bashorat kuchi (AUC) va chegaralar muntazam qayta tekshiriladi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0"/>
              </w:rPr>
              <w:t xml:space="preserve">Oshkoralik</w:t>
            </w:r>
          </w:p>
        </w:tc>
        <w:tc>
          <w:tcPr>
            <w:tcW w:type="dxa" w:w="3742"/>
          </w:tcPr>
          <w:p>
            <w:pPr>
              <w:pStyle w:val="Compact"/>
              <w:spacing w:line="240" w:lineRule="auto"/>
              <w:ind w:firstLine="0"/>
              <w:jc w:val="left"/>
            </w:pPr>
            <w:r>
              <w:rPr>
                <w:rFonts w:ascii="Times New Roman" w:hAnsi="Times New Roman" w:cs="Times New Roman" w:eastAsia="Times New Roman"/>
                <w:sz w:val="20"/>
              </w:rPr>
              <w:t xml:space="preserve">Bank kesimida cheklangan ko‘rsatkichlar</w:t>
            </w:r>
          </w:p>
        </w:tc>
        <w:tc>
          <w:tcPr>
            <w:tcW w:type="dxa" w:w="3855"/>
          </w:tcPr>
          <w:p>
            <w:pPr>
              <w:pStyle w:val="Compact"/>
              <w:spacing w:line="240" w:lineRule="auto"/>
              <w:ind w:firstLine="0"/>
              <w:jc w:val="left"/>
            </w:pPr>
            <w:r>
              <w:rPr>
                <w:rFonts w:ascii="Times New Roman" w:hAnsi="Times New Roman" w:cs="Times New Roman" w:eastAsia="Times New Roman"/>
                <w:sz w:val="20"/>
              </w:rPr>
              <w:t xml:space="preserve">Kesishma jadvali va asosiy prudensial koeffitsiyentlar choraklik e’lon qilinadi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FootnoteReference"/>
        </w:rPr>
        <w:footnoteReference w:id="52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chora-tadbirlar birgalikda yagona baholash tizimini tashkil etadi. Uning tuzilishi 4.3.1-rasmda ko‘rsatilgan.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04000"/>
                <wp:effectExtent l="0" t="0" r="0" b="0"/>
                <wp:docPr id="59" name="4.3.1-rasm"/>
                <wp:cNvGraphicFramePr/>
                <a:graphic>
                  <a:graphicData uri="http://schemas.microsoft.com/office/word/2010/wordprocessingGroup">
                    <wpg:wgp>
                      <wpg:cNvGrpSpPr/>
                      <wpg:grpSpPr>
                        <a:xfrm>
                          <a:off x="0" y="0"/>
                          <a:ext cx="5976000" cy="2304000"/>
                          <a:chOff x="0" y="0"/>
                          <a:chExt cx="5976000" cy="2304000"/>
                        </a:xfrm>
                      </wpg:grpSpPr>
                      <wps:wsp>
                        <wps:cNvPr id="2"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txbxContent>
                        </wps:txbx>
                        <wps:bodyPr rot="0" vert="horz" wrap="square" lIns="36000" tIns="18000" rIns="36000" bIns="18000" anchor="ctr" anchorCtr="0">
                          <a:noAutofit/>
                        </wps:bodyPr>
                      </wps:wsp>
                      <wps:wsp>
                        <wps:cNvPr id="3"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Milliy prudensial hisobot (choraklik)</w:t>
                              </w:r>
                            </w:p>
                          </w:txbxContent>
                        </wps:txbx>
                        <wps:bodyPr rot="0" vert="horz" wrap="square" lIns="36000" tIns="18000" rIns="36000" bIns="18000" anchor="ctr" anchorCtr="0">
                          <a:noAutofit/>
                        </wps:bodyPr>
                      </wps:wsp>
                      <wps:wsp>
                        <wps:cNvPr id="4"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hisoboti (yillik)</w:t>
                              </w:r>
                            </w:p>
                          </w:txbxContent>
                        </wps:txbx>
                        <wps:bodyPr rot="0" vert="horz" wrap="square" lIns="36000" tIns="18000" rIns="36000" bIns="18000" anchor="ctr" anchorCtr="0">
                          <a:noAutofit/>
                        </wps:bodyPr>
                      </wps:wsp>
                      <wps:wsp>
                        <wps:cNvPr id="5"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Yashirin kredit riski koeffitsiyenti bilan tuzatish</w:t>
                              </w:r>
                            </w:p>
                          </w:txbxContent>
                        </wps:txbx>
                        <wps:bodyPr rot="0" vert="horz" wrap="square" lIns="36000" tIns="18000" rIns="36000" bIns="18000" anchor="ctr" anchorCtr="0">
                          <a:noAutofit/>
                        </wps:bodyPr>
                      </wps:wsp>
                      <wps:wsp>
                        <wps:cNvPr id="6" name="Connector 6"/>
                        <wps:cNvCnPr/>
                        <wps:spPr>
                          <a:xfrm>
                            <a:off x="1396800" y="169200"/>
                            <a:ext cx="129600" cy="0"/>
                          </a:xfrm>
                          <a:prstGeom prst="straightConnector1">
                            <a:avLst/>
                          </a:prstGeom>
                          <a:ln w="19050">
                            <a:solidFill>
                              <a:srgbClr val="404040"/>
                            </a:solidFill>
                            <a:tailEnd type="triangle" w="med" len="med"/>
                          </a:ln>
                        </wps:spPr>
                        <wps:bodyPr/>
                      </wps:wsp>
                      <wps:wsp>
                        <wps:cNvPr id="7"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Baholash</w:t>
                              </w:r>
                            </w:p>
                          </w:txbxContent>
                        </wps:txbx>
                        <wps:bodyPr rot="0" vert="horz" wrap="square" lIns="36000" tIns="18000" rIns="36000" bIns="18000" anchor="ctr" anchorCtr="0">
                          <a:noAutofit/>
                        </wps:bodyPr>
                      </wps:wsp>
                      <wps:wsp>
                        <wps:cNvPr id="8"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Integral indeks: 5 blok, 13 ko‘rsatkich</w:t>
                              </w:r>
                            </w:p>
                          </w:txbxContent>
                        </wps:txbx>
                        <wps:bodyPr rot="0" vert="horz" wrap="square" lIns="36000" tIns="18000" rIns="36000" bIns="18000" anchor="ctr" anchorCtr="0">
                          <a:noAutofit/>
                        </wps:bodyPr>
                      </wps:wsp>
                      <wps:wsp>
                        <wps:cNvPr id="9"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Davlat ko‘magisiz indeks (davlat banklari)</w:t>
                              </w:r>
                            </w:p>
                          </w:txbxContent>
                        </wps:txbx>
                        <wps:bodyPr rot="0" vert="horz" wrap="square" lIns="36000" tIns="18000" rIns="36000" bIns="18000" anchor="ctr" anchorCtr="0">
                          <a:noAutofit/>
                        </wps:bodyPr>
                      </wps:wsp>
                      <wps:wsp>
                        <wps:cNvPr id="10"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MHXS va milliy indekslar farqi (ΔMBII)</w:t>
                              </w:r>
                            </w:p>
                          </w:txbxContent>
                        </wps:txbx>
                        <wps:bodyPr rot="0" vert="horz" wrap="square" lIns="36000" tIns="18000" rIns="36000" bIns="18000" anchor="ctr" anchorCtr="0">
                          <a:noAutofit/>
                        </wps:bodyPr>
                      </wps:wsp>
                      <wps:wsp>
                        <wps:cNvPr id="11" name="Connector 11"/>
                        <wps:cNvCnPr/>
                        <wps:spPr>
                          <a:xfrm>
                            <a:off x="2898000" y="169200"/>
                            <a:ext cx="129600" cy="0"/>
                          </a:xfrm>
                          <a:prstGeom prst="straightConnector1">
                            <a:avLst/>
                          </a:prstGeom>
                          <a:ln w="19050">
                            <a:solidFill>
                              <a:srgbClr val="404040"/>
                            </a:solidFill>
                            <a:tailEnd type="triangle" w="med" len="med"/>
                          </a:ln>
                        </wps:spPr>
                        <wps:bodyPr/>
                      </wps:wsp>
                      <wps:wsp>
                        <wps:cNvPr id="12"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Signal</w:t>
                              </w:r>
                            </w:p>
                          </w:txbxContent>
                        </wps:txbx>
                        <wps:bodyPr rot="0" vert="horz" wrap="square" lIns="36000" tIns="18000" rIns="36000" bIns="18000" anchor="ctr" anchorCtr="0">
                          <a:noAutofit/>
                        </wps:bodyPr>
                      </wps:wsp>
                      <wps:wsp>
                        <wps:cNvPr id="13"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Erta ogohlantirish zonalari: yashil ≥ 3,25; sariq 2,75–3,25; qizil &lt; 2,75</w:t>
                              </w:r>
                            </w:p>
                          </w:txbxContent>
                        </wps:txbx>
                        <wps:bodyPr rot="0" vert="horz" wrap="square" lIns="36000" tIns="18000" rIns="36000" bIns="18000" anchor="ctr" anchorCtr="0">
                          <a:noAutofit/>
                        </wps:bodyPr>
                      </wps:wsp>
                      <wps:wsp>
                        <wps:cNvPr id="14"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Stress-test natijalari zonalarda</w:t>
                              </w:r>
                            </w:p>
                          </w:txbxContent>
                        </wps:txbx>
                        <wps:bodyPr rot="0" vert="horz" wrap="square" lIns="36000" tIns="18000" rIns="36000" bIns="18000" anchor="ctr" anchorCtr="0">
                          <a:noAutofit/>
                        </wps:bodyPr>
                      </wps:wsp>
                      <wps:wsp>
                        <wps:cNvPr id="15" name="Connector 15"/>
                        <wps:cNvCnPr/>
                        <wps:spPr>
                          <a:xfrm>
                            <a:off x="4399200" y="169200"/>
                            <a:ext cx="129600" cy="0"/>
                          </a:xfrm>
                          <a:prstGeom prst="straightConnector1">
                            <a:avLst/>
                          </a:prstGeom>
                          <a:ln w="19050">
                            <a:solidFill>
                              <a:srgbClr val="404040"/>
                            </a:solidFill>
                            <a:tailEnd type="triangle" w="med" len="med"/>
                          </a:ln>
                        </wps:spPr>
                        <wps:bodyPr/>
                      </wps:wsp>
                      <wps:wsp>
                        <wps:cNvPr id="16"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Choralar</w:t>
                              </w:r>
                            </w:p>
                          </w:txbxContent>
                        </wps:txbx>
                        <wps:bodyPr rot="0" vert="horz" wrap="square" lIns="36000" tIns="18000" rIns="36000" bIns="18000" anchor="ctr" anchorCtr="0">
                          <a:noAutofit/>
                        </wps:bodyPr>
                      </wps:wsp>
                      <wps:wsp>
                        <wps:cNvPr id="17"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Yashil: odatiy monitoring</w:t>
                              </w:r>
                            </w:p>
                          </w:txbxContent>
                        </wps:txbx>
                        <wps:bodyPr rot="0" vert="horz" wrap="square" lIns="36000" tIns="18000" rIns="36000" bIns="18000" anchor="ctr" anchorCtr="0">
                          <a:noAutofit/>
                        </wps:bodyPr>
                      </wps:wsp>
                      <wps:wsp>
                        <wps:cNvPr id="18"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Sariq: kuchaytirilgan monitoring, tuzatish rejasi</w:t>
                              </w:r>
                            </w:p>
                          </w:txbxContent>
                        </wps:txbx>
                        <wps:bodyPr rot="0" vert="horz" wrap="square" lIns="36000" tIns="18000" rIns="36000" bIns="18000" anchor="ctr" anchorCtr="0">
                          <a:noAutofit/>
                        </wps:bodyPr>
                      </wps:wsp>
                      <wps:wsp>
                        <wps:cNvPr id="19"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pPr>
                                <w:spacing w:before="0" w:after="0" w:line="228" w:lineRule="auto"/>
                                <w:jc w:val="center"/>
                                <w:ind w:firstLine="0"/>
                              </w:pPr>
                              <w:r>
                                <w:rPr>
                                  <w:rFonts w:ascii="Times New Roman" w:hAnsi="Times New Roman" w:cs="Times New Roman"/>
                                  <w:color w:val="000000"/>
                                  <w:sz w:val="17"/>
                                  <w:szCs w:val="17"/>
                                </w:rPr>
                                <w:t xml:space="preserve">Qizil: maqsadli tekshiruv, kapitalni tiklash, dividend cheklovi</w:t>
                              </w:r>
                            </w:p>
                          </w:txbxContent>
                        </wps:txbx>
                        <wps:bodyPr rot="0" vert="horz" wrap="square" lIns="36000" tIns="18000" rIns="36000" bIns="18000" anchor="ctr" anchorCtr="0">
                          <a:noAutofit/>
                        </wps:bodyPr>
                      </wps:wsp>
                      <wps:wsp>
                        <wps:cNvPr id="20" name="Shape 20"/>
                        <wps:cNvSpPr/>
                        <wps:spPr>
                          <a:xfrm>
                            <a:off x="36000" y="1998000"/>
                            <a:ext cx="5853600" cy="252000"/>
                          </a:xfrm>
                          <a:prstGeom prst="rect">
                            <a:avLst/>
                          </a:prstGeom>
                          <a:solidFill>
                            <a:srgbClr val="FFFFFF"/>
                          </a:solidFill>
                          <a:ln w="12700">
                            <a:solidFill>
                              <a:srgbClr val="404040"/>
                            </a:solidFill>
                          </a:ln>
                        </wps:spPr>
                        <wps:txbx>
                          <w:txbxContent>
                            <w:p>
                              <w:pPr>
                                <w:spacing w:before="0" w:after="0" w:line="228" w:lineRule="auto"/>
                                <w:jc w:val="center"/>
                                <w:ind w:firstLine="0"/>
                              </w:pPr>
                              <w:r>
                                <w:rPr>
                                  <w:rFonts w:ascii="Times New Roman" w:hAnsi="Times New Roman" w:cs="Times New Roman"/>
                                  <w:i/>
                                  <w:color w:val="000000"/>
                                  <w:sz w:val="17"/>
                                  <w:szCs w:val="17"/>
                                </w:rPr>
                                <w:t xml:space="preserve">Keyingi chorakda indeks qayta hisoblanadi: choralar samaradorligi baholanadi (yopiq sikl)</w:t>
                              </w:r>
                            </w:p>
                          </w:txbxContent>
                        </wps:txbx>
                        <wps:bodyPr rot="0" vert="horz" wrap="square" lIns="36000" tIns="18000" rIns="36000" bIns="18000" anchor="ctr" anchorCtr="0">
                          <a:noAutofit/>
                        </wps:bodyPr>
                      </wps:wsp>
                      <wps:wsp>
                        <wps:cNvPr id="21" name="Connector 21"/>
                        <wps:cNvCnPr/>
                        <wps:spPr>
                          <a:xfrm>
                            <a:off x="5214600" y="1890000"/>
                            <a:ext cx="0" cy="100800"/>
                          </a:xfrm>
                          <a:prstGeom prst="straightConnector1">
                            <a:avLst/>
                          </a:prstGeom>
                          <a:ln w="15875">
                            <a:solidFill>
                              <a:srgbClr val="404040"/>
                            </a:solidFill>
                            <a:tailEnd type="triangle" w="med" len="med"/>
                          </a:ln>
                        </wps:spPr>
                        <wps:bodyPr/>
                      </wps:wsp>
                      <wps:wsp>
                        <wps:cNvPr id="22"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4.3.1-rasm. Tijorat banklari moliyaviy barqarorligini xalqaro standartlar asosida baholashning taklif etilayotgan tizimi</w:t>
      </w:r>
      <w:r>
        <w:rPr>
          <w:rStyle w:val="FootnoteReference"/>
        </w:rPr>
        <w:footnoteReference w:id="52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Takliflarni amalga oshirish «yo‘l xaritasi» choralari bilan muvofiqlashtirilgan holda uch bosqichda amalga oshirilishi maqsadga muvofiq (4.3.4-jadval).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Takliflarni amalga oshirish bosqichlari</w:t>
      </w:r>
      <w:r>
        <w:rPr>
          <w:rStyle w:val="FootnoteReference"/>
        </w:rPr>
        <w:footnoteReference w:id="52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247"/>
        <w:gridCol w:w="3175"/>
        <w:gridCol w:w="1360"/>
        <w:gridCol w:w="1360"/>
        <w:gridCol w:w="2154"/>
      </w:tblGrid>
      <w:tr>
        <w:trPr>
          <w:tblHeader w:val="true"/>
          <w:cantSplit/>
          <w:tblHeader/>
        </w:trPr>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Bosqich</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Chora-tadbirlar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Mas’ul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«Yo‘l xaritasi»dagi bog‘liq chora</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Natija ko‘rsatkichi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 bosqich (2026-yil)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Integral indeksni prudensial hisobotlar asosida sinov tariqasida hisoblash; milliy ko‘rsatkichlarni yashirin kredit riski koeffitsiyenti bilan tuzatish; oshkor qilish talablariga kesishma jadvalini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3, 5, 18,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Barcha banklar uchun choraklik indeks qiymatlari; kesishma jadvallari e’lon qilinishi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 bosqich (2027-yil)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Uch zonali erta ogohlantirish tizimini va tezkor tuzatish choralarini joriy etish; stress-testlarni MHXS asosidagi indeks bilan o‘tkazish; davlat banklari uchun davlat ko‘magisiz bahoni joriy etish; ICAAP ga indeks bloklarini kiritish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 Iqtisodiyot va moliya vazirligi, banklar</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7, 9, 12, 17-choralar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Zonalar bo‘yicha banklar taqsimoti; sariq va qizil zonadagi banklar uchun tuzatish rejalari</w:t>
            </w:r>
          </w:p>
        </w:tc>
      </w:tr>
      <w:tr>
        <w:trPr>
          <w:cantSplit/>
        </w:trPr>
        <w:tc>
          <w:tcPr>
            <w:tcW w:type="dxa" w:w="1247"/>
          </w:tcPr>
          <w:p>
            <w:pPr>
              <w:pStyle w:val="Compact"/>
              <w:spacing w:line="240" w:lineRule="auto"/>
              <w:ind w:firstLine="0"/>
              <w:jc w:val="left"/>
            </w:pPr>
            <w:r>
              <w:rPr>
                <w:rFonts w:ascii="Times New Roman" w:hAnsi="Times New Roman" w:cs="Times New Roman" w:eastAsia="Times New Roman"/>
                <w:sz w:val="20"/>
              </w:rPr>
              <w:t xml:space="preserve">III bosqich (2028-yil)</w:t>
            </w:r>
          </w:p>
        </w:tc>
        <w:tc>
          <w:tcPr>
            <w:tcW w:type="dxa" w:w="3175"/>
          </w:tcPr>
          <w:p>
            <w:pPr>
              <w:pStyle w:val="Compact"/>
              <w:spacing w:line="240" w:lineRule="auto"/>
              <w:ind w:firstLine="0"/>
              <w:jc w:val="left"/>
            </w:pPr>
            <w:r>
              <w:rPr>
                <w:rFonts w:ascii="Times New Roman" w:hAnsi="Times New Roman" w:cs="Times New Roman" w:eastAsia="Times New Roman"/>
                <w:sz w:val="20"/>
              </w:rPr>
              <w:t xml:space="preserve">Indeksni to‘liq MHXS ma’lumotlariga o‘tkazish; zonalar chegaralarini yangi ma’lumotlar asosida qayta kalibrlash; indeks natijalarini moliyaviy barqarorlik sharhida e’lon qilish</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Markaziy bank</w:t>
            </w:r>
          </w:p>
        </w:tc>
        <w:tc>
          <w:tcPr>
            <w:tcW w:type="dxa" w:w="1361"/>
          </w:tcPr>
          <w:p>
            <w:pPr>
              <w:pStyle w:val="Compact"/>
              <w:spacing w:line="240" w:lineRule="auto"/>
              <w:ind w:firstLine="0"/>
              <w:jc w:val="left"/>
            </w:pPr>
            <w:r>
              <w:rPr>
                <w:rFonts w:ascii="Times New Roman" w:hAnsi="Times New Roman" w:cs="Times New Roman" w:eastAsia="Times New Roman"/>
                <w:sz w:val="20"/>
              </w:rPr>
              <w:t xml:space="preserve">5, 19-choralar</w:t>
            </w:r>
          </w:p>
        </w:tc>
        <w:tc>
          <w:tcPr>
            <w:tcW w:type="dxa" w:w="2154"/>
          </w:tcPr>
          <w:p>
            <w:pPr>
              <w:pStyle w:val="Compact"/>
              <w:spacing w:line="240" w:lineRule="auto"/>
              <w:ind w:firstLine="0"/>
              <w:jc w:val="left"/>
            </w:pPr>
            <w:r>
              <w:rPr>
                <w:rFonts w:ascii="Times New Roman" w:hAnsi="Times New Roman" w:cs="Times New Roman" w:eastAsia="Times New Roman"/>
                <w:sz w:val="20"/>
              </w:rPr>
              <w:t xml:space="preserve">Yashirin kredit riski koeffitsiyentining birga yaqinlashishi; chegaralar bashorat kuchining qayta tekshiruvi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pPr>
        <w:pStyle w:val="BodyText"/>
        <w:spacing w:line="360" w:lineRule="auto" w:before="0" w:after="0"/>
        <w:ind w:firstLine="709"/>
        <w:jc w:val="both"/>
      </w:pPr>
      <w:r>
        <w:rPr>
          <w:rFonts w:ascii="Times New Roman" w:hAnsi="Times New Roman" w:cs="Times New Roman" w:eastAsia="Times New Roman"/>
          <w:sz w:val="28"/>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bookmarkEnd w:id="19"/>
    <w:bookmarkStart w:id="20" w:name="iv-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IV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to‘rtinchi bobida tijorat banklari moliyaviy barqarorligini baholash metodologiyasini takomillashtirish yo‘nalishlari ishlab chiqildi va quyidagi xulosalar shakllantirildi.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pPr>
        <w:numPr>
          <w:ilvl w:val="0"/>
          <w:numId w:val="13"/>
        </w:numPr>
        <w:spacing w:line="360" w:lineRule="auto" w:before="0" w:after="0"/>
        <w:ind w:firstLine="709"/>
        <w:jc w:val="both"/>
      </w:pPr>
      <w:r>
        <w:rPr>
          <w:rFonts w:ascii="Times New Roman" w:hAnsi="Times New Roman" w:cs="Times New Roman" w:eastAsia="Times New Roman"/>
          <w:sz w:val="28"/>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bookmarkEnd w:id="20"/>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6">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7">
    <w:p>
      <w:pPr>
        <w:pStyle w:val="FootnoteText"/>
      </w:pPr>
      <w:r>
        <w:rPr>
          <w:rStyle w:val="FootnoteReference"/>
        </w:rPr>
        <w:footnoteRef/>
      </w:r>
      <w:r>
        <w:t xml:space="preserve"> </w:t>
      </w:r>
      <w:r>
        <w:t xml:space="preserve">Tadqiqot natijasida muallif tomonidan 3.1.2-jadval asosida ishlab chiqildi.</w:t>
      </w:r>
    </w:p>
  </w:footnote>
  <w:footnote w:id="378">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8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1">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2">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4">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5">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6">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7">
    <w:p>
      <w:pPr>
        <w:pStyle w:val="FootnoteText"/>
      </w:pPr>
      <w:r>
        <w:rPr>
          <w:rStyle w:val="FootnoteReference"/>
        </w:rPr>
        <w:footnoteRef/>
      </w:r>
      <w:r>
        <w:t xml:space="preserve"> </w:t>
      </w:r>
      <w:r>
        <w:t xml:space="preserve">Tadqiqot natijasida muallif tomonidan 3.1.5-jadval ma’lumotlari asosida ishlab chiqildi.</w:t>
      </w:r>
    </w:p>
  </w:footnote>
  <w:footnote w:id="388">
    <w:p>
      <w:pPr>
        <w:pStyle w:val="FootnoteText"/>
      </w:pPr>
      <w:r>
        <w:rPr>
          <w:rStyle w:val="FootnoteReference"/>
        </w:rPr>
        <w:footnoteRef/>
      </w:r>
      <w:r>
        <w:t xml:space="preserve"> </w:t>
      </w:r>
      <w:r>
        <w:t xml:space="preserve">Tadqiqot natijasida muallif tomonidan 3.1.3 va 3.1.5-jadvallar ma’lumotlari asosida hisoblandi.</w:t>
      </w:r>
    </w:p>
  </w:footnote>
  <w:footnote w:id="38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90">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1">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4">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5">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7">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8">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9">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400">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1">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3">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4">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7">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8">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9">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10">
    <w:p>
      <w:pPr>
        <w:pStyle w:val="FootnoteText"/>
      </w:pPr>
      <w:r>
        <w:rPr>
          <w:rStyle w:val="FootnoteReference"/>
        </w:rPr>
        <w:footnoteRef/>
      </w:r>
      <w:r>
        <w:t xml:space="preserve"> </w:t>
      </w:r>
      <w:r>
        <w:t xml:space="preserve">Tadqiqot natijasida muallif tomonidan 3.2.2-jadval ma’lumotlari asosida ishlab chiqildi.</w:t>
      </w:r>
    </w:p>
  </w:footnote>
  <w:footnote w:id="411">
    <w:p>
      <w:pPr>
        <w:pStyle w:val="FootnoteText"/>
      </w:pPr>
      <w:r>
        <w:rPr>
          <w:rStyle w:val="FootnoteReference"/>
        </w:rPr>
        <w:footnoteRef/>
      </w:r>
      <w:r>
        <w:t xml:space="preserve"> </w:t>
      </w:r>
      <w:r>
        <w:t xml:space="preserve">Tadqiqot natijasida muallif tomonidan 3.2.1-rasm ma’lumotlari asosida ishlab chiqildi.</w:t>
      </w:r>
    </w:p>
  </w:footnote>
  <w:footnote w:id="412">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3">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4">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5">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6">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1">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2">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4">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5">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6">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7">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8">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9">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30">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1">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2">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4">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5">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6">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7">
    <w:p>
      <w:pPr>
        <w:pStyle w:val="FootnoteText"/>
      </w:pPr>
      <w:r>
        <w:rPr>
          <w:rStyle w:val="FootnoteReference"/>
        </w:rPr>
        <w:footnoteRef/>
      </w:r>
      <w:r>
        <w:t xml:space="preserve"> </w:t>
      </w:r>
      <w:r>
        <w:t xml:space="preserve">Roy A.D. Safety First and the Holding of Assets // Econometrica. – 1952. – Vol. 20, No. 3. – P. 431–449.</w:t>
      </w:r>
    </w:p>
  </w:footnote>
  <w:footnote w:id="438">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9">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4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4">
    <w:p>
      <w:pPr>
        <w:pStyle w:val="FootnoteText"/>
      </w:pPr>
      <w:r>
        <w:rPr>
          <w:rStyle w:val="FootnoteReference"/>
        </w:rPr>
        <w:footnoteRef/>
      </w:r>
      <w:r>
        <w:t xml:space="preserve"> </w:t>
      </w:r>
      <w:r>
        <w:t xml:space="preserve">Baltagi B.H. Econometric Analysis of Panel Data. – 6th ed. – Cham: Springer, 2021.</w:t>
      </w:r>
    </w:p>
  </w:footnote>
  <w:footnote w:id="445">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6">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7">
    <w:p>
      <w:pPr>
        <w:pStyle w:val="FootnoteText"/>
      </w:pPr>
      <w:r>
        <w:rPr>
          <w:rStyle w:val="FootnoteReference"/>
        </w:rPr>
        <w:footnoteRef/>
      </w:r>
      <w:r>
        <w:t xml:space="preserve"> </w:t>
      </w:r>
      <w:r>
        <w:t xml:space="preserve">Hausman J.A. Specification Tests in Econometrics // Econometrica. – 1978. – Vol. 46, No. 6. – P. 1251–1271.</w:t>
      </w:r>
    </w:p>
  </w:footnote>
  <w:footnote w:id="448">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9">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50">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2">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3">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4">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7">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8">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60">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1">
    <w:p>
      <w:pPr>
        <w:pStyle w:val="FootnoteText"/>
      </w:pPr>
      <w:r>
        <w:rPr>
          <w:rStyle w:val="FootnoteReference"/>
        </w:rPr>
        <w:footnoteRef/>
      </w:r>
      <w:r>
        <w:t xml:space="preserve"> </w:t>
      </w:r>
      <w:r>
        <w:t xml:space="preserve">Tadqiqot natijasida muallif tomonidan 3.3.3–3.3.6-jadvallar ma’lumotlari asosida ishlab chiqildi.</w:t>
      </w:r>
    </w:p>
  </w:footnote>
  <w:footnote w:id="462">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3">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4">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5">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6">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7">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8">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70">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1">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2">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3">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4">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6">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7">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9">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80">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7">
    <w:p>
      <w:pPr>
        <w:pStyle w:val="FootnoteText"/>
      </w:pPr>
      <w:r>
        <w:rPr>
          <w:rStyle w:val="FootnoteReference"/>
        </w:rPr>
        <w:footnoteRef/>
      </w:r>
      <w:r>
        <w:t xml:space="preserve"> </w:t>
      </w:r>
      <w:r>
        <w:t xml:space="preserve">Tadqiqot natijasida muallif tomonidan 4.1.3–4.1.5-jadvallar ma’lumotlari asosida ishlab chiqildi.</w:t>
      </w:r>
    </w:p>
  </w:footnote>
  <w:footnote w:id="488">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489">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490">
    <w:p>
      <w:pPr>
        <w:pStyle w:val="FootnoteText"/>
      </w:pPr>
      <w:r>
        <w:rPr>
          <w:rStyle w:val="FootnoteReference"/>
        </w:rPr>
        <w:footnoteRef/>
      </w:r>
      <w:r>
        <w:t xml:space="preserve"> </w:t>
      </w:r>
      <w:r>
        <w:t xml:space="preserve">Basel Committee on Banking Supervision. Stress testing principles. – Basel: BIS, October 2018.</w:t>
      </w:r>
    </w:p>
  </w:footnote>
  <w:footnote w:id="491">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2">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3">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494">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5">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96">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97">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8">
    <w:p>
      <w:pPr>
        <w:pStyle w:val="FootnoteText"/>
      </w:pPr>
      <w:r>
        <w:rPr>
          <w:rStyle w:val="FootnoteReference"/>
        </w:rPr>
        <w:footnoteRef/>
      </w:r>
      <w:r>
        <w:t xml:space="preserve"> </w:t>
      </w:r>
      <w:r>
        <w:t xml:space="preserve">Basel Committee on Banking Supervision. Stress testing principles. – Basel: BIS, October 2018.</w:t>
      </w:r>
    </w:p>
  </w:footnote>
  <w:footnote w:id="499">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0">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2">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3">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4">
    <w:p>
      <w:pPr>
        <w:pStyle w:val="FootnoteText"/>
      </w:pPr>
      <w:r>
        <w:rPr>
          <w:rStyle w:val="FootnoteReference"/>
        </w:rPr>
        <w:footnoteRef/>
      </w:r>
      <w:r>
        <w:t xml:space="preserve"> </w:t>
      </w:r>
      <w:r>
        <w:t xml:space="preserve">Tadqiqot natijasida muallif tomonidan 4.2.6-jadval ma’lumotlari asosida ishlab chiqildi.</w:t>
      </w:r>
    </w:p>
  </w:footnote>
  <w:footnote w:id="50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1.</w:t>
      </w:r>
    </w:p>
  </w:footnote>
  <w:footnote w:id="50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20.</w:t>
      </w:r>
    </w:p>
  </w:footnote>
  <w:footnote w:id="507">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0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09">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0">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1">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13">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14">
    <w:p>
      <w:pPr>
        <w:pStyle w:val="FootnoteText"/>
      </w:pPr>
      <w:r>
        <w:rPr>
          <w:rStyle w:val="FootnoteReference"/>
        </w:rPr>
        <w:footnoteRef/>
      </w:r>
      <w:r>
        <w:t xml:space="preserve"> </w:t>
      </w:r>
      <w:r>
        <w:t xml:space="preserve">Federal Deposit Insurance Corporation Improvement Act of 1991, Section 131: Prompt Corrective Action (12 U.S.C. § 1831o). – Washington, DC: U.S. Congress, 1991.</w:t>
      </w:r>
    </w:p>
  </w:footnote>
  <w:footnote w:id="515">
    <w:p>
      <w:pPr>
        <w:pStyle w:val="FootnoteText"/>
      </w:pPr>
      <w:r>
        <w:rPr>
          <w:rStyle w:val="FootnoteReference"/>
        </w:rPr>
        <w:footnoteRef/>
      </w:r>
      <w:r>
        <w:t xml:space="preserve"> </w:t>
      </w:r>
      <w:r>
        <w:t xml:space="preserve">European Banking Authority. Guidelines on common procedures and methodologies for the supervisory review and evaluation process (SREP) and supervisory stress testing (EBA/GL/2022/03). – Paris: EBA, 18 March 2022.</w:t>
      </w:r>
    </w:p>
  </w:footnote>
  <w:footnote w:id="516">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24.</w:t>
      </w:r>
    </w:p>
  </w:footnote>
  <w:footnote w:id="517">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51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28.</w:t>
      </w:r>
    </w:p>
  </w:footnote>
  <w:footnote w:id="51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24.</w:t>
      </w:r>
    </w:p>
  </w:footnote>
  <w:footnote w:id="52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w:t>
      </w:r>
    </w:p>
  </w:footnote>
  <w:footnote w:id="521">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 November 2025.</w:t>
      </w:r>
    </w:p>
  </w:footnote>
  <w:footnote w:id="522">
    <w:p>
      <w:pPr>
        <w:pStyle w:val="FootnoteText"/>
      </w:pPr>
      <w:r>
        <w:rPr>
          <w:rStyle w:val="FootnoteReference"/>
        </w:rPr>
        <w:footnoteRef/>
      </w:r>
      <w:r>
        <w:t xml:space="preserve"> </w:t>
      </w:r>
      <w:r>
        <w:t xml:space="preserve">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23">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 – P. 8, 28.</w:t>
      </w:r>
    </w:p>
  </w:footnote>
  <w:footnote w:id="524">
    <w:p>
      <w:pPr>
        <w:pStyle w:val="FootnoteText"/>
      </w:pPr>
      <w:r>
        <w:rPr>
          <w:rStyle w:val="FootnoteReference"/>
        </w:rPr>
        <w:footnoteRef/>
      </w:r>
      <w:r>
        <w:t xml:space="preserve"> </w:t>
      </w:r>
      <w:r>
        <w:t xml:space="preserve">Tadqiqot natijasida muallif tomonidan ishlab chiqildi.</w:t>
      </w:r>
    </w:p>
  </w:footnote>
  <w:footnote w:id="525">
    <w:p>
      <w:pPr>
        <w:pStyle w:val="FootnoteText"/>
      </w:pPr>
      <w:r>
        <w:rPr>
          <w:rStyle w:val="FootnoteReference"/>
        </w:rPr>
        <w:footnoteRef/>
      </w:r>
      <w:r>
        <w:t xml:space="preserve"> </w:t>
      </w:r>
      <w:r>
        <w:t xml:space="preserve">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4184F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1DC41F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5C15DA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2">
    <w:nsid w:val="0266C5AD"/>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 Id="rId50" Type="http://schemas.openxmlformats.org/officeDocument/2006/relationships/chart" Target="charts/chart40.xml"/><Relationship Id="rId51" Type="http://schemas.openxmlformats.org/officeDocument/2006/relationships/chart" Target="charts/chart4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
<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
<Relationships xmlns="http://schemas.openxmlformats.org/package/2006/relationships"><Relationship Id="rId1" Type="http://schemas.openxmlformats.org/officeDocument/2006/relationships/package" Target="../embeddings/Microsoft_Excel_Worksheet4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3.82</c:v>
                </c:pt>
                <c:pt idx="1">
                  <c:v>2.28</c:v>
                </c:pt>
                <c:pt idx="2">
                  <c:v>2.33</c:v>
                </c:pt>
                <c:pt idx="3">
                  <c:v>3.83</c:v>
                </c:pt>
                <c:pt idx="4">
                  <c:v>1.45</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2.05</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1.53</c:v>
                </c:pt>
                <c:pt idx="2">
                  <c:v>2.05</c:v>
                </c:pt>
                <c:pt idx="3">
                  <c:v>1.33</c:v>
                </c:pt>
                <c:pt idx="4">
                  <c:v>4.0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2.83</c:v>
                </c:pt>
                <c:pt idx="2">
                  <c:v>3.13</c:v>
                </c:pt>
                <c:pt idx="3">
                  <c:v>2.47</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2.74</c:v>
                </c:pt>
                <c:pt idx="2">
                  <c:v>3.07</c:v>
                </c:pt>
                <c:pt idx="3">
                  <c:v>2.58</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3.03</c:v>
                </c:pt>
                <c:pt idx="2">
                  <c:v>3.02</c:v>
                </c:pt>
                <c:pt idx="3">
                  <c:v>2.13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3"/>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2020.25</c:v>
                </c:pt>
                <c:pt idx="1">
                  <c:v>2020.5</c:v>
                </c:pt>
                <c:pt idx="2">
                  <c:v>2020.75</c:v>
                </c:pt>
                <c:pt idx="3">
                  <c:v>2021.0</c:v>
                </c:pt>
                <c:pt idx="4">
                  <c:v>2021.25</c:v>
                </c:pt>
                <c:pt idx="5">
                  <c:v>2021.5</c:v>
                </c:pt>
                <c:pt idx="6">
                  <c:v>2021.75</c:v>
                </c:pt>
                <c:pt idx="7">
                  <c:v>2022.0</c:v>
                </c:pt>
                <c:pt idx="8">
                  <c:v>2022.25</c:v>
                </c:pt>
                <c:pt idx="9">
                  <c:v>2022.5</c:v>
                </c:pt>
                <c:pt idx="10">
                  <c:v>2022.75</c:v>
                </c:pt>
                <c:pt idx="11">
                  <c:v>2023.0</c:v>
                </c:pt>
                <c:pt idx="12">
                  <c:v>2023.25</c:v>
                </c:pt>
                <c:pt idx="13">
                  <c:v>2023.5</c:v>
                </c:pt>
                <c:pt idx="14">
                  <c:v>2023.75</c:v>
                </c:pt>
                <c:pt idx="15">
                  <c:v>2024.0</c:v>
                </c:pt>
                <c:pt idx="16">
                  <c:v>2024.25</c:v>
                </c:pt>
                <c:pt idx="17">
                  <c:v>2024.5</c:v>
                </c:pt>
                <c:pt idx="18">
                  <c:v>2024.75</c:v>
                </c:pt>
                <c:pt idx="19">
                  <c:v>2025.0</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Sheet1!$C$2:$C$33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xVal>
            <c:numRef>
              <c:f>Sheet1!$E$2:$E$33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Sheet1!$G$2:$G$33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dLbls>
          <c:xVal>
            <c:numRef>
              <c:f>Sheet1!$I$2:$I$33</c:f>
              <c:numCache>
                <c:formatCode>General</c:formatCode>
                <c:ptCount val="32"/>
                <c:pt idx="0">
                  <c:v>2025.0</c:v>
                </c:pt>
                <c:pt idx="1">
                  <c:v>2025.25</c:v>
                </c:pt>
                <c:pt idx="2">
                  <c:v>2025.5</c:v>
                </c:pt>
                <c:pt idx="3">
                  <c:v>2025.75</c:v>
                </c:pt>
                <c:pt idx="4">
                  <c:v>2026.0</c:v>
                </c:pt>
                <c:pt idx="5">
                  <c:v>2026.25</c:v>
                </c:pt>
                <c:pt idx="6">
                  <c:v>2026.5</c:v>
                </c:pt>
                <c:pt idx="7">
                  <c:v>2026.75</c:v>
                </c:pt>
                <c:pt idx="8">
                  <c:v>2027.0</c:v>
                </c:pt>
                <c:pt idx="9">
                  <c:v>2027.25</c:v>
                </c:pt>
                <c:pt idx="10">
                  <c:v>2027.5</c:v>
                </c:pt>
                <c:pt idx="11">
                  <c:v>2027.75</c:v>
                </c:pt>
                <c:pt idx="12">
                  <c:v>2028.0</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