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20"/>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2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2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 va ochiq e’lon qilinmaydi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barcha banklar uchun hisoblanadigan XVJ ko‘rsatkichlari bo‘yicha baholanadi, LCR va NSFR Bazel III bo‘yicha tekshiruv uchun qayta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40000" cy="1944000"/>
                <wp:effectExtent l="0" t="0" r="0" b="0"/>
                <wp:docPr id="1001"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13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2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26"/>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27"/>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13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2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 Bazel III</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Yuqori likvid aktivlar / jami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29"/>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1"/>
      </w:r>
      <w:r>
        <w:rPr>
          <w:rStyle w:val="FootnoteReference"/>
        </w:rPr>
        <w:footnoteReference w:id="32"/>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FootnoteReference"/>
        </w:rPr>
        <w:footnoteReference w:id="3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leverage talabidagi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4"/>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5"/>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
      </w:r>
      <w:r>
        <w:rPr>
          <w:rFonts w:ascii="Times New Roman" w:hAnsi="Times New Roman" w:cs="Times New Roman" w:eastAsia="Times New Roman"/>
          <w:sz w:val="28"/>
        </w:rPr>
        <w:t xml:space="preserve">. Likvidlik blokiga likvidlikni qoplash koeffitsiyenti va sof barqaror moliyalashtirish me’yori kiritilmadi, chunki banklar ularni ochiq e’lon qilmaydi va ularni hisoblash uchun Markaziy bankka taqdim etiladigan batafsil shakllar talab etiladi</w:t>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uning 2 ball chegarasi sifatida Markaziy bank tomonidan belgilangan 10 foizlik minimal talab qabul qilindi</w:t>
      </w:r>
      <w:r>
        <w:rPr>
          <w:rStyle w:val="FootnoteReference"/>
        </w:rPr>
        <w:footnoteReference w:id="39"/>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4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42"/>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43"/>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4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3.1.2-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4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4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47"/>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48"/>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4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5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5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5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53"/>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5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9,13 (3,45)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18,10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Kapital / aktivlar,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29,1 (1,09)</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Yuqori likvid aktivlar / aktivlar,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15,5 (3,09)</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324,5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 (3,96)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0,6 (1,85)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0,2 (1,22)</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(1,69)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(2,72)</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87,6 (1,62)</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22,4 (4,00)</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3,13</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2,47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CET1 monandligi (MHXS bo‘yicha xususiy kapital − ozchilik ulushi − joriy yil sof foydasi) / risk bo‘yicha tortilgan aktivlar formulasi bo‘yicha, regulyativ kapital monandligi – hisobotda oshkor qilingan qiymat bo‘yicha olindi; yuqori likvid aktivlar ulushi ikki variantda bir xil (milliy balans); «Mikrokreditbank» ATB ning MHXS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indeksi 2,83 ni, ya’ni II sinfni, «Mikrokreditbank» ATB niki esa 2,47 ni, ya’ni III sinfni tashkil etadi. Boshqacha aytganda, ΔMBII «O‘zsanoatqurilishbank» ATB uchun −0,44 ni, «Mikrokreditbank» ATB uchun esa −0,66 ni tashkil etadi va bu farq ikkala bankda ham barqarorlik sinfini o‘zgartirish uchun yetarli. Indeksning pasayishiga qaysi bloklar sabab bo‘lganini aniqlash uchun bloklar ballari solishtirildi (3.1.3-rasm).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3.1.3-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ΔMBII ning 86–87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3.1.4-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56"/>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5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ΔMBII ning 85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p>
    <w:bookmarkEnd w:id="58"/>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21">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22">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23">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24">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25">
    <w:p>
      <w:pPr>
        <w:pStyle w:val="FootnoteText"/>
      </w:pPr>
      <w:r>
        <w:rPr>
          <w:rStyle w:val="FootnoteReference"/>
        </w:rPr>
        <w:footnoteRef/>
      </w:r>
      <w:r>
        <w:t xml:space="preserve"> </w:t>
      </w:r>
      <w:r>
        <w:t xml:space="preserve">Tadqiqot natijasida muallif tomonidan ishlab chiqildi.</w:t>
      </w:r>
    </w:p>
  </w:footnote>
  <w:footnote w:id="26">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28">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0">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1">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2">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9">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0">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4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4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44">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45">
    <w:p>
      <w:pPr>
        <w:pStyle w:val="FootnoteText"/>
      </w:pPr>
      <w:r>
        <w:rPr>
          <w:rStyle w:val="FootnoteReference"/>
        </w:rPr>
        <w:footnoteRef/>
      </w:r>
      <w:r>
        <w:t xml:space="preserve"> </w:t>
      </w:r>
      <w:r>
        <w:t xml:space="preserve">Tadqiqot natijasida muallif tomonidan 3.1.2-jadval asosida ishlab chiqildi.</w:t>
      </w:r>
    </w:p>
  </w:footnote>
  <w:footnote w:id="46">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4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4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49">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50">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51">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52">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53">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54">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55">
    <w:p>
      <w:pPr>
        <w:pStyle w:val="FootnoteText"/>
      </w:pPr>
      <w:r>
        <w:rPr>
          <w:rStyle w:val="FootnoteReference"/>
        </w:rPr>
        <w:footnoteRef/>
      </w:r>
      <w:r>
        <w:t xml:space="preserve"> </w:t>
      </w:r>
      <w:r>
        <w:t xml:space="preserve">Tadqiqot natijasida muallif tomonidan 3.1.5-jadval ma’lumotlari asosida ishlab chiqildi.</w:t>
      </w:r>
    </w:p>
  </w:footnote>
  <w:footnote w:id="56">
    <w:p>
      <w:pPr>
        <w:pStyle w:val="FootnoteText"/>
      </w:pPr>
      <w:r>
        <w:rPr>
          <w:rStyle w:val="FootnoteReference"/>
        </w:rPr>
        <w:footnoteRef/>
      </w:r>
      <w:r>
        <w:t xml:space="preserve"> </w:t>
      </w:r>
      <w:r>
        <w:t xml:space="preserve">Tadqiqot natijasida muallif tomonidan 3.1.3 va 3.1.5-jadvallar ma’lumotlari asosida hisoblandi.</w:t>
      </w:r>
    </w:p>
  </w:footnote>
  <w:footnote w:id="5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3.82</c:v>
                </c:pt>
                <c:pt idx="1">
                  <c:v>2.28</c:v>
                </c:pt>
                <c:pt idx="2">
                  <c:v>2.33</c:v>
                </c:pt>
                <c:pt idx="3">
                  <c:v>3.83</c:v>
                </c:pt>
                <c:pt idx="4">
                  <c:v>1.45</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2.05</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1.53</c:v>
                </c:pt>
                <c:pt idx="2">
                  <c:v>2.05</c:v>
                </c:pt>
                <c:pt idx="3">
                  <c:v>1.33</c:v>
                </c:pt>
                <c:pt idx="4">
                  <c:v>4.0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2.83</c:v>
                </c:pt>
                <c:pt idx="2">
                  <c:v>3.13</c:v>
                </c:pt>
                <c:pt idx="3">
                  <c:v>2.47</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2.74</c:v>
                </c:pt>
                <c:pt idx="2">
                  <c:v>3.07</c:v>
                </c:pt>
                <c:pt idx="3">
                  <c:v>2.58</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3.03</c:v>
                </c:pt>
                <c:pt idx="2">
                  <c:v>3.02</c:v>
                </c:pt>
                <c:pt idx="3">
                  <c:v>2.13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2026-10-11T21:38:25Z</dcterms:created>
  <dcterms:modified xsi:type="dcterms:W3CDTF">2026-10-11T21:38:25Z</dcterms:modified>
</cp:coreProperties>
</file>

<file path=docProps/custom.xml><?xml version="1.0" encoding="utf-8"?>
<Properties xmlns="http://schemas.openxmlformats.org/officeDocument/2006/custom-properties" xmlns:vt="http://schemas.openxmlformats.org/officeDocument/2006/docPropsVTypes"/>
</file>