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01.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163</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175</w:t>
      </w:r>
    </w:p>
    <w:p w:rsidR="005603EC" w:rsidRDefault="00AB61AC">
      <w:pPr>
        <w:tabs>
          <w:tab w:val="right" w:leader="dot" w:pos="9354"/>
        </w:tabs>
        <w:spacing w:after="80" w:line="240" w:lineRule="auto"/>
        <w:ind w:left="454"/>
      </w:pPr>
      <w:r>
        <w:rPr>
          <w:sz w:val="26"/>
        </w:rPr>
        <w:t>III bob bo‘yicha xulosalar</w:t>
      </w:r>
      <w:r>
        <w:rPr>
          <w:sz w:val="26"/>
        </w:rPr>
        <w:tab/>
        <w:t>193</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196</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196</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212</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224</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246</w:t>
      </w:r>
    </w:p>
    <w:p w:rsidR="005603EC" w:rsidRDefault="00AB61AC">
      <w:pPr>
        <w:tabs>
          <w:tab w:val="right" w:leader="dot" w:pos="9354"/>
        </w:tabs>
        <w:spacing w:after="80" w:line="240" w:lineRule="auto"/>
      </w:pPr>
      <w:r>
        <w:rPr>
          <w:b/>
          <w:sz w:val="26"/>
        </w:rPr>
        <w:t>ILOVALAR</w:t>
      </w:r>
      <w:r>
        <w:rPr>
          <w:b/>
          <w:sz w:val="26"/>
        </w:rPr>
        <w:tab/>
        <w:t>267</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t>bo‘lsa-da</w:t>
      </w:r>
      <w:r>
        <w:rPr>
          <w:rStyle w:val="aff8"/>
        </w:rPr>
        <w:footnoteReference w:id="8"/>
      </w:r>
      <w:r>
        <w:t xml:space="preserve">, substandart va muammoli kreditlarning umumiy ulushi 2024-yilda 21 foizga </w:t>
      </w:r>
      <w:r>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rPr>
          <w:color w:val="FF0000"/>
        </w:rPr>
        <w:t xml:space="preserve">Shu munosabat bilan, b</w:t>
      </w:r>
      <w:r>
        <w:t xml:space="preserve">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r>
      <w:r>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 xml:space="preserve">2017-yil 12-sentabrdagi PQ-3270-son “Respublika bank tizimini yanada rivojlantirish va barqarorligini oshirish chora-tadbirlari to‘g‘risida”gi qaror</w:t>
      </w:r>
      <w:r>
        <w:t xml:space="preserve">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r>
      <w:r>
        <w:t xml:space="preserve">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w:t>
      </w:r>
      <w:r>
        <w:rPr>
          <w:color w:val="FF0000"/>
        </w:rPr>
        <w:t xml:space="preserve">Shuningdek, N</w:t>
      </w:r>
      <w:r>
        <w:t xml:space="preserve">.Karabayev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t>usuli asoslangan</w:t>
      </w:r>
      <w:r>
        <w:t xml:space="preserve"> (“O‘zsanoatqurilishbank” ATB misolida metodika farqi 5,4 foiz punktni, hisobot farqi esa </w:t>
      </w:r>
      <w:r>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 xml:space="preserve">O‘zbekiston bank tizimida moliyaviy barqarorlik ko‘rsatkichlari 2021–2025-yillar uchun Xalqaro valyuta jamg‘armasi metodikasi bo‘yicha tizimlashtirilib, rasmiy ko‘rsatkichlar kapital va likvidlik bo‘yicha xalqaro talablardan yuqori bo‘lsa-da, </w:t>
      </w:r>
      <w:r>
        <w:rPr>
          <w:color w:val="FF0000"/>
        </w:rPr>
        <w:t xml:space="preserve">bank tizimi </w:t>
      </w:r>
      <w:r>
        <w:t xml:space="preserve">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rPr>
          <w:color w:val="FF0000"/>
        </w:rPr>
        <w:t xml:space="preserve"> qayd etilgan</w:t>
      </w:r>
      <w:r>
        <w:rPr/>
        <w:t xml:space="preserve">)</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 xml:space="preserve">beshta yirik bank</w:t>
      </w:r>
      <w:r>
        <w:rPr>
          <w:color w:val="FF0000"/>
        </w:rPr>
        <w:t xml:space="preserve">ning</w:t>
      </w:r>
      <w:r>
        <w:t xml:space="preserve"> MHXS hisobotlari asosida integral indeks bo‘yicha reyting</w:t>
      </w:r>
      <w:r>
        <w:rPr>
          <w:color w:val="FF0000"/>
        </w:rPr>
        <w:t xml:space="preserve">i</w:t>
      </w:r>
      <w:r>
        <w:t xml:space="preserve">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color w:val="FF0000"/>
        </w:rPr>
        <w:t xml:space="preserve">242</w:t>
      </w:r>
      <w:r>
        <w:rPr/>
        <w:t xml:space="preserve"> betni</w:t>
      </w:r>
      <w:r>
        <w:t xml:space="preserve"> tashkil etadi, unda 60 dan ortiq jadval va rasm keltirilgan, foydalanilgan </w:t>
      </w:r>
      <w:r>
        <w:rPr/>
        <w:t xml:space="preserve">adabiyotlar </w:t>
      </w:r>
      <w:r>
        <w:rPr/>
        <w:t xml:space="preserve">ro‘yxati </w:t>
      </w:r>
      <w:r>
        <w:rPr>
          <w:color w:val="FF0000"/>
        </w:rPr>
        <w:t xml:space="preserve">208</w:t>
      </w:r>
      <w:r>
        <w:rPr/>
        <w:t xml:space="preserve">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w:t>
      </w:r>
      <w:r>
        <w:rPr>
          <w:color w:val="FF0000"/>
        </w:rPr>
        <w:t xml:space="preserve">. Ularning fikricha,</w:t>
      </w:r>
      <w:r>
        <w:t xml:space="preserve">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r>
      <w:r>
        <w:t>barqarorlikni aktiv va passivlar muvozanati bilan emas, aynan shu resurslarning barqaror o‘sishi bilan bog‘lash kerakligini ta’kidlaydi</w:t>
      </w:r>
      <w:r>
        <w:rPr>
          <w:rStyle w:val="aff8"/>
        </w:rPr>
        <w:footnoteReference w:id="57"/>
      </w:r>
      <w:r>
        <w:t xml:space="preserve">. </w:t>
      </w:r>
      <w:r>
        <w:rPr>
          <w:color w:val="FF0000"/>
        </w:rPr>
        <w:t xml:space="preserve">O.I. Lavrushin tahriridagi m</w:t>
      </w:r>
      <w:r>
        <w:t xml:space="preserve">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w:t>
      </w:r>
      <w:r>
        <w:rPr>
          <w:color w:val="FF0000"/>
        </w:rPr>
        <w:t xml:space="preserve">banklarning 25 foizi</w:t>
      </w:r>
      <w:r>
        <w:rPr/>
        <w:t xml:space="preserve">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color w:val="FF0000"/>
        </w:rPr>
        <w:t xml:space="preserve">Rasmda aks ettirilganidek, m</w:t>
      </w:r>
      <w:r>
        <w:rPr/>
        <w:t xml:space="preserve">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w:t>
      </w:r>
      <w:r>
        <w:rPr>
          <w:color w:val="FF0000"/>
        </w:rPr>
        <w:t xml:space="preserve">Yuqoridagilardan kelib chiqib aytish mumkinki</w:t>
      </w:r>
      <w:r>
        <w:t xml:space="preserve">, </w:t>
      </w:r>
      <w:r>
        <w:lastRenderedPageBreak/>
      </w:r>
      <w:r>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w:t>
      </w:r>
      <w:r>
        <w:rPr>
          <w:color w:val="FF0000"/>
        </w:rPr>
        <w:t xml:space="preserve"> Asosiy kapital 7 foizdan yuqori bo‘lganda esa foydani taqsimlashga cheklov qo‘llanmaydi. Shuni ta’kidlash joizki, ushbu shkala kontrsiklik bufer nolga teng bo‘lgan holat uchun keltirilgan bo‘lib, kontrsiklik bufer joriy etilganda har bir oraliq bufer miqdoriga mutanosib ravishda kengayadi.</w:t>
      </w:r>
      <w:r>
        <w:t xml:space="preserve"> Bu shkala moliyaviy barqarorlikni baholash metodikasi uchun muhim metodologik namuna bo‘lib, kapital ko‘rsatkichini “bajarilgan – bajarilmagan” ikkilik mezoni bilan emas, balki minimumdan qanchalik yuqori ekaniga qarab bir necha pog‘onada baholash </w:t>
      </w:r>
      <w:r>
        <w:lastRenderedPageBreak/>
      </w:r>
      <w:r>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w:t>
      </w:r>
      <w:r>
        <w:rPr>
          <w:color w:val="FF0000"/>
        </w:rPr>
        <w:t xml:space="preserve">Shuni ham qayd etish lozimki, B</w:t>
      </w:r>
      <w:r>
        <w:t xml:space="preserve">azel qo‘mitasi 2017-yilda yakuniy islohotlar to‘plamini qabul qilib, standartlashtirilgan yondashuvlarni qayta ko‘rib chiqdi va ichki modellar asosida hisoblangan riskka tortilgan aktivlarning standartlashtirilgan </w:t>
      </w:r>
      <w:r>
        <w:lastRenderedPageBreak/>
      </w:r>
      <w:r>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r>
        <w:rPr>
          <w:color w:val="FF0000"/>
        </w:rPr>
        <w:t xml:space="preserve"> Bu esa O‘zbekiston sharoitida valyuta riskiga sezgirlikni integral bahoning alohida bloki sifatida ajratish zarurligini ko‘rsatadi.</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w:t>
      </w:r>
      <w:r>
        <w:rPr>
          <w:color w:val="FF0000"/>
        </w:rPr>
        <w:t xml:space="preserve"> hamda</w:t>
      </w:r>
      <w:r>
        <w:t xml:space="preserve">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w:t>
      </w:r>
      <w:r>
        <w:rPr>
          <w:color w:val="FF0000"/>
        </w:rPr>
        <w:t xml:space="preserve">. Masalan,</w:t>
      </w:r>
      <w:r>
        <w:t xml:space="preserve">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xml:space="preserve">. </w:t>
      </w:r>
      <w:r>
        <w:rPr>
          <w:color w:val="FF0000"/>
        </w:rPr>
        <w:t xml:space="preserve">Fikrimiz</w:t>
      </w:r>
      <w:r>
        <w:t xml:space="preserve">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w:t>
      </w:r>
      <w:r>
        <w:rPr>
          <w:color w:val="FF0000"/>
        </w:rPr>
        <w:t xml:space="preserve">. Muallif ma’lumotiga ko‘ra,</w:t>
      </w:r>
      <w:r>
        <w:t xml:space="preserve">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r>
      <w:r>
        <w:t xml:space="preserve">Yevropa tizimli risklar kengashi amalga oshiradi</w:t>
      </w:r>
      <w:r>
        <w:rPr>
          <w:color w:val="FF0000"/>
        </w:rPr>
        <w:t xml:space="preserve">, Yevropa bank boshqarmasi esa</w:t>
      </w:r>
      <w:r>
        <w:t xml:space="preserve">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r>
      <w:r>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xml:space="preserve">. </w:t>
      </w:r>
      <w:r>
        <w:rPr>
          <w:color w:val="FF0000"/>
        </w:rPr>
        <w:t xml:space="preserve">E. Gualandri va M. Noera</w:t>
      </w:r>
      <w:r>
        <w:t xml:space="preserve">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rPr>
          <w:color w:val="FF0000"/>
        </w:rPr>
        <w:t xml:space="preserve">Xususan, 2</w:t>
      </w:r>
      <w:r>
        <w:t xml:space="preserve">005-U ko‘rsatmaga asoslangan tizimda kapital, aktivlar, daromadlilik, likvidlik va boshqaruv sifati guruhlari bo‘yicha ko‘rsatkichlar 1–4 ballik shkalada </w:t>
      </w:r>
      <w:r>
        <w:lastRenderedPageBreak/>
      </w:r>
      <w:r>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r>
      <w:r>
        <w:rPr>
          <w:color w:val="FF0000"/>
        </w:rPr>
        <w:t xml:space="preserve">Makroprudensial monitoringning muhim yo‘nalishlaridan biri tizimli ahamiyatli banklarni aniqlash hisoblanadi. T</w:t>
      </w:r>
      <w:r>
        <w:t xml:space="preserve">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w:t>
      </w:r>
      <w:r>
        <w:rPr>
          <w:color w:val="FF0000"/>
        </w:rPr>
        <w:t xml:space="preserve">edi va 2011-yil iyunidan boshlab bu ko‘rsatkich har kuni monitoring qilingan</w:t>
      </w:r>
      <w:r>
        <w:t xml:space="preserve">;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r>
      <w:r>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rPr>
          <w:color w:val="FF0000"/>
        </w:rPr>
        <w:t xml:space="preserve">Mazkur me’yoriy baza asosida O</w:t>
      </w:r>
      <w:r>
        <w:t xml:space="preserve">‘zbekistonda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w:t>
      </w:r>
      <w:r>
        <w:rPr>
          <w:color w:val="FF0000"/>
        </w:rPr>
        <w:t xml:space="preserve">Shuni ta’kidlash joizki, B</w:t>
      </w:r>
      <w:r>
        <w:t xml:space="preserve">.T.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xml:space="preserve">. Yo‘l xaritasida ham avtomatik reyting tuzatishlarini muntazam tekshirish va ularning asoslanganligini ta’minlash uchun alohida “sifat nazorati” bo‘linmasini tashkil etish ko‘zda tutilgani bu muammo hali </w:t>
      </w:r>
      <w:r>
        <w:rPr>
          <w:color w:val="FF0000"/>
        </w:rPr>
        <w:t xml:space="preserve">ham dolzarb ekan</w:t>
      </w:r>
      <w:r>
        <w:t xml:space="preserve">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rPr>
          <w:color w:val="FF0000"/>
        </w:rPr>
        <w:t xml:space="preserve">Biroq rasmiy ko‘rsatkichlarning yuqoriligi xalqaro standartlarga to‘liq muvofiqlikni anglatmaydi. X</w:t>
      </w:r>
      <w:r>
        <w:t xml:space="preserve">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rPr>
          <w:color w:val="FF0000"/>
        </w:rPr>
        <w:t xml:space="preserve">Mazkur muammolarni bartaraf etishga qaratilgan i</w:t>
      </w:r>
      <w:r>
        <w:t xml:space="preserve">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r>
      <w:r>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rPr>
          <w:color w:val="FF0000"/>
        </w:rPr>
        <w:t xml:space="preserve">Shuningdek, b</w:t>
      </w:r>
      <w:r>
        <w:t xml:space="preserve">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w:t>
      </w:r>
      <w:r>
        <w:rPr>
          <w:color w:val="FF0000"/>
        </w:rPr>
        <w:t xml:space="preserve">n</w:t>
      </w:r>
      <w:r>
        <w:rPr/>
        <w:t xml:space="preserve">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rPr>
          <w:color w:val="FF0000"/>
        </w:rPr>
        <w:t xml:space="preserve">2.2.4-rasm ma’lumotlarini xalqaro mezonlar bilan solishtiradigan bo‘lsak, C</w:t>
      </w:r>
      <w:r>
        <w:t xml:space="preserve">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w:t>
      </w:r>
      <w:r>
        <w:rPr>
          <w:color w:val="FF0000"/>
        </w:rPr>
        <w:t xml:space="preserve">bank</w:t>
      </w:r>
      <w:r>
        <w:rPr/>
        <w:t xml:space="preserve">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w:t>
      </w:r>
      <w:r>
        <w:rPr>
          <w:color w:val="FF0000"/>
        </w:rPr>
        <w:t xml:space="preserve">,</w:t>
      </w:r>
      <w:r>
        <w:t xml:space="preserve">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t>1,4–5,1 foiz oralig‘ida bo‘ladi</w:t>
      </w:r>
      <w:r>
        <w:t xml:space="preserve"> va tahlil xulosalariga sezilarli ta’sir qilmaydi.</w:t>
      </w:r>
    </w:p>
    <w:p w:rsidR="005603EC" w:rsidRDefault="00AB61AC">
      <w:pPr>
        <w:pStyle w:val="af"/>
        <w:spacing w:after="0" w:line="360" w:lineRule="auto"/>
        <w:ind w:firstLine="709"/>
        <w:jc w:val="both"/>
      </w:pPr>
      <w:r>
        <w:rPr>
          <w:color w:val="FF0000"/>
        </w:rPr>
        <w:t xml:space="preserve">Yashirin kredit riski koeffitsiyenti asosida milliy hisobot bo‘yicha muammoli kreditlar ulushi xalqaro standartlar darajasiga quyidagicha keltiriladi:</w:t>
      </w:r>
    </w:p>
    <w:p w:rsidR="005603EC" w:rsidRDefault="00AB61AC">
      <w:pPr>
        <w:pStyle w:val="af"/>
        <w:spacing w:after="0" w:line="360" w:lineRule="auto"/>
        <w:ind w:firstLine="709"/>
        <w:jc w:val="both"/>
      </w:pPr>
      <w:r>
        <w:rPr>
          <w:color w:val="FF0000"/>
        </w:rPr>
        <w:t xml:space="preserve">NPLtuz = (NPL / Lmilliy) × Kykr,  (2.3)</w:t>
      </w:r>
    </w:p>
    <w:p w:rsidR="005603EC" w:rsidRDefault="00AB61AC">
      <w:pPr>
        <w:pStyle w:val="af"/>
        <w:spacing w:after="0" w:line="360" w:lineRule="auto"/>
        <w:ind w:firstLine="709"/>
        <w:jc w:val="both"/>
      </w:pPr>
      <w:r>
        <w:rPr>
          <w:color w:val="FF0000"/>
        </w:rPr>
        <w:t xml:space="preserve">bu yerda NPLtuz – MHXS 9 darajasiga keltirilgan muammoli kreditlar ulushi. MHXS hisoboti mavjud bo‘lgan yillarda tuzatilgan ko‘rsatkich 3-bosqich kreditlari ulushiga teng bo‘ladi, shu sababli tuzatish asosan MHXS hisoboti hali e’lon qilinmagan davrlar, ya’ni joriy yilning choraklari va prognoz davri uchun ahamiyatli: bunda bankning oxirgi ma’lum yillik koeffitsiyenti qo‘llanadi. Tuzatilgan ko‘rsatkich integral indeksning aktivlar sifati blokida milliy muammoli kreditlar ulushi o‘rniga ishlatiladi.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r w:rsidR="005603EC" w:rsidTr="005603EC">
        <w:trPr>
          <w:cantSplit/>
        </w:trPr>
        <w:tc>
          <w:tcPr>
            <w:tcW w:w="3402" w:type="dxa"/>
          </w:tcPr>
          <w:p w:rsidR="005603EC" w:rsidRDefault="00AB61AC">
            <w:pPr>
              <w:pStyle w:val="Compact"/>
              <w:spacing w:line="240" w:lineRule="auto"/>
            </w:pPr>
            <w:r>
              <w:rPr>
                <w:color w:val="FF0000"/>
                <w:sz w:val="22"/>
              </w:rPr>
              <w:t xml:space="preserve">Yashirin kredit riski koeffitsiyenti</w:t>
            </w:r>
          </w:p>
        </w:tc>
        <w:tc>
          <w:tcPr>
            <w:tcW w:w="1179" w:type="dxa"/>
          </w:tcPr>
          <w:p w:rsidR="005603EC" w:rsidRDefault="00AB61AC">
            <w:pPr>
              <w:pStyle w:val="Compact"/>
              <w:spacing w:line="240" w:lineRule="auto"/>
            </w:pPr>
            <w:r>
              <w:rPr>
                <w:color w:val="FF0000"/>
                <w:sz w:val="22"/>
              </w:rPr>
              <w:t xml:space="preserve">1,65</w:t>
            </w:r>
          </w:p>
        </w:tc>
        <w:tc>
          <w:tcPr>
            <w:tcW w:w="1179" w:type="dxa"/>
          </w:tcPr>
          <w:p w:rsidR="005603EC" w:rsidRDefault="00AB61AC">
            <w:pPr>
              <w:pStyle w:val="Compact"/>
              <w:spacing w:line="240" w:lineRule="auto"/>
            </w:pPr>
            <w:r>
              <w:rPr>
                <w:color w:val="FF0000"/>
                <w:sz w:val="22"/>
              </w:rPr>
              <w:t xml:space="preserve">2,61</w:t>
            </w:r>
          </w:p>
        </w:tc>
        <w:tc>
          <w:tcPr>
            <w:tcW w:w="1179" w:type="dxa"/>
          </w:tcPr>
          <w:p w:rsidR="005603EC" w:rsidRDefault="00AB61AC">
            <w:pPr>
              <w:pStyle w:val="Compact"/>
              <w:spacing w:line="240" w:lineRule="auto"/>
            </w:pPr>
            <w:r>
              <w:rPr>
                <w:color w:val="FF0000"/>
                <w:sz w:val="22"/>
              </w:rPr>
              <w:t xml:space="preserve">2,14</w:t>
            </w:r>
          </w:p>
        </w:tc>
        <w:tc>
          <w:tcPr>
            <w:tcW w:w="1179" w:type="dxa"/>
          </w:tcPr>
          <w:p w:rsidR="005603EC" w:rsidRDefault="00AB61AC">
            <w:pPr>
              <w:pStyle w:val="Compact"/>
              <w:spacing w:line="240" w:lineRule="auto"/>
            </w:pPr>
            <w:r>
              <w:rPr>
                <w:color w:val="FF0000"/>
                <w:sz w:val="22"/>
              </w:rPr>
              <w:t xml:space="preserve">2,08</w:t>
            </w:r>
          </w:p>
        </w:tc>
        <w:tc>
          <w:tcPr>
            <w:tcW w:w="1179" w:type="dxa"/>
          </w:tcPr>
          <w:p w:rsidR="005603EC" w:rsidRDefault="00AB61AC">
            <w:pPr>
              <w:pStyle w:val="Compact"/>
              <w:spacing w:line="240" w:lineRule="auto"/>
            </w:pPr>
            <w:r>
              <w:rPr>
                <w:color w:val="FF0000"/>
                <w:sz w:val="22"/>
              </w:rPr>
              <w:t xml:space="preserve">2,96</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t xml:space="preserve">ushbu </w:t>
      </w:r>
      <w:r>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r>
      <w:r>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w:t>
      </w:r>
      <w:r>
        <w:rPr>
          <w:color w:val="FF0000"/>
        </w:rPr>
        <w:t xml:space="preserve">.</w:t>
      </w:r>
      <w:r>
        <w:t xml:space="preserve">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342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r>
      <w:r>
        <w:rPr/>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xml:space="preserve">. Demak, uchinchi bank misolida ham milliy hisobot asosidagi baholash aktivlar sifati va daromadlilikni oshirib, likvidlik buferining sifatini esa haqiqiydan yuqori ko‘rsatadi, bu esa </w:t>
      </w:r>
      <w:r>
        <w:rPr>
          <w:color w:val="FF0000"/>
        </w:rPr>
        <w:t xml:space="preserve">yuqorida ikki bank misoli</w:t>
      </w:r>
      <w:r>
        <w:rPr/>
        <w:t xml:space="preserve">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w:t>
      </w:r>
      <w:r>
        <w:rPr>
          <w:color w:val="FF0000"/>
        </w:rPr>
        <w:t xml:space="preserve">,</w:t>
      </w:r>
      <w:r>
        <w:t xml:space="preserve">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rPr>
          <w:color w:val="FF0000"/>
        </w:rPr>
        <w:t xml:space="preserve">Shu bilan birga, a</w:t>
      </w:r>
      <w:r>
        <w:t xml:space="preserve">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 xml:space="preserve">Umuman olganda, rasmiy ko‘rsatkichlar bo‘yicha qoniqarli manzara ortida xalqaro standartlar bo‘yicha aniqlanadigan sezilarli risklar mavjud. Bu </w:t>
      </w:r>
      <w:r>
        <w:rPr>
          <w:color w:val="FF0000"/>
        </w:rPr>
        <w:t xml:space="preserve">holat </w:t>
      </w:r>
      <w:r>
        <w:t xml:space="preserve">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w:t>
      </w:r>
      <w:r>
        <w:rPr>
          <w:color w:val="FF0000"/>
        </w:rPr>
        <w:t xml:space="preserve">Bunday shkalad</w:t>
      </w:r>
      <w:r>
        <w:t xml:space="preserve">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w:t>
      </w:r>
      <w:r>
        <w:rPr>
          <w:color w:val="FF0000"/>
        </w:rPr>
        <w:t xml:space="preserve">gan holda,</w:t>
      </w:r>
      <w:r>
        <w:t xml:space="preserve">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w:t>
      </w:r>
      <w:r>
        <w:rPr>
          <w:color w:val="FF0000"/>
        </w:rPr>
        <w:t xml:space="preserve"> hisoblanadi</w:t>
      </w:r>
      <w:r>
        <w:rPr/>
        <w:t xml:space="preserve">: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color w:val="FF0000"/>
        </w:rPr>
        <w:t xml:space="preserve">3.1.5-jadval ma’lumotlaridan ko‘rinib turibdiki, m</w:t>
      </w:r>
      <w:r>
        <w:rPr/>
        <w:t xml:space="preserve">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color w:val="FF0000"/>
        </w:rPr>
        <w:t xml:space="preserve">3.1.6-jadval ma’lumotlariga ko‘ra, M</w:t>
      </w:r>
      <w:r>
        <w:rPr/>
        <w:t xml:space="preserve">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rPr>
          <w:color w:val="FF0000"/>
        </w:rPr>
        <w:t xml:space="preserve">2025-yilda aniqlangan tafovut bir yillik holat emasligini tekshirish uchun integral indeks uchala bank bo‘yicha 2021–2025-yillar uchun ham ikki variantda hisoblandi (3.1.3-rasm).</w:t>
      </w:r>
    </w:p>
    <w:p>
      <w:pPr>
        <w:pStyle w:val="af"/>
        <w:keepNext/>
        <w:spacing w:after="0" w:line="240" w:lineRule="auto"/>
        <w:jc w:val="center"/>
      </w:pPr>
      <w:r xmlns:a="http://schemas.openxmlformats.org/drawingml/2006/main" xmlns:c="http://schemas.openxmlformats.org/drawingml/2006/chart">
        <w:rPr>
          <w:noProof/>
        </w:rPr>
        <w:drawing>
          <wp:inline distT="0" distB="0" distL="0" distR="0">
            <wp:extent cx="5760000" cy="2880000"/>
            <wp:effectExtent l="0" t="0" r="0" b="0"/>
            <wp:docPr id="9601" name="3.1.3-rasm"/>
            <wp:cNvGraphicFramePr/>
            <a:graphic>
              <a:graphicData uri="http://schemas.openxmlformats.org/drawingml/2006/chart">
                <c:chart r:id="rId51"/>
              </a:graphicData>
            </a:graphic>
          </wp:inline>
        </w:drawing>
      </w:r>
    </w:p>
    <w:tbl>
      <w:tblPr>
        <w:tblStyle w:val="aff0"/>
        <w:tblW w:type="auto" w:w="0"/>
        <w:jc w:val="center"/>
        <w:tblLayout w:type="fixed"/>
        <w:tblLook w:firstColumn="1" w:firstRow="1" w:lastColumn="0" w:lastRow="0" w:noHBand="0" w:noVBand="1" w:val="04A0"/>
        <w:tblLayout w:type="fixed"/>
      </w:tblPr>
      <w:tblGrid>
        <w:gridCol w:w="3685"/>
        <w:gridCol w:w="1020"/>
        <w:gridCol w:w="1020"/>
        <w:gridCol w:w="1020"/>
        <w:gridCol w:w="1020"/>
        <w:gridCol w:w="1020"/>
      </w:tblGrid>
      <w:tr>
        <w:tc>
          <w:tcPr>
            <w:tcW w:type="dxa" w:w="3685"/>
          </w:tcPr>
          <w:p>
            <w:pPr>
              <w:spacing w:before="0" w:after="0" w:line="240" w:lineRule="auto"/>
              <w:ind w:firstLine="0"/>
              <w:jc w:val="left"/>
            </w:pPr>
            <w:r>
              <w:rPr>
                <w:rFonts w:ascii="Times New Roman" w:hAnsi="Times New Roman" w:eastAsia="Times New Roman" w:cs="Times New Roman"/>
                <w:b/>
                <w:color w:val="FF0000"/>
                <w:sz w:val="22"/>
              </w:rPr>
              <w:t>Bank va hisobot turi</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2021</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2022</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2023</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2024</w:t>
            </w:r>
          </w:p>
        </w:tc>
        <w:tc>
          <w:tcPr>
            <w:tcW w:type="dxa" w:w="1020"/>
          </w:tcPr>
          <w:p>
            <w:pPr>
              <w:spacing w:before="0" w:after="0" w:line="240" w:lineRule="auto"/>
              <w:ind w:firstLine="0"/>
              <w:jc w:val="center"/>
            </w:pPr>
            <w:r>
              <w:rPr>
                <w:rFonts w:ascii="Times New Roman" w:hAnsi="Times New Roman" w:eastAsia="Times New Roman" w:cs="Times New Roman"/>
                <w:b/>
                <w:color w:val="FF0000"/>
                <w:sz w:val="22"/>
              </w:rPr>
              <w:t>2025</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3,14</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3,27</w:t>
            </w:r>
          </w:p>
        </w:tc>
      </w:tr>
      <w:tr>
        <w:tc>
          <w:tcPr>
            <w:tcW w:type="dxa" w:w="3685"/>
          </w:tcPr>
          <w:p>
            <w:pPr>
              <w:spacing w:before="0" w:after="0" w:line="240" w:lineRule="auto"/>
              <w:ind w:firstLine="0"/>
              <w:jc w:val="left"/>
            </w:pPr>
            <w:r>
              <w:rPr>
                <w:rFonts w:ascii="Times New Roman" w:hAnsi="Times New Roman" w:eastAsia="Times New Roman" w:cs="Times New Roman"/>
                <w:b/>
                <w:color w:val="2A78D6"/>
                <w:sz w:val="20"/>
              </w:rPr>
              <w:t xml:space="preserve">╍╍ </w:t>
            </w:r>
            <w:r>
              <w:rPr>
                <w:rFonts w:ascii="Times New Roman" w:hAnsi="Times New Roman" w:eastAsia="Times New Roman" w:cs="Times New Roman"/>
                <w:b w:val="0"/>
                <w:color w:val="FF0000"/>
                <w:sz w:val="22"/>
              </w:rPr>
              <w:t>“O‘zsanoatqurilishbank”: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2,81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2,79</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2,65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3,13</w:t>
            </w:r>
          </w:p>
        </w:tc>
      </w:tr>
      <w:tr>
        <w:tc>
          <w:tcPr>
            <w:tcW w:type="dxa" w:w="3685"/>
          </w:tcPr>
          <w:p>
            <w:pPr>
              <w:spacing w:before="0" w:after="0" w:line="240" w:lineRule="auto"/>
              <w:ind w:firstLine="0"/>
              <w:jc w:val="left"/>
            </w:pPr>
            <w:r>
              <w:rPr>
                <w:rFonts w:ascii="Times New Roman" w:hAnsi="Times New Roman" w:eastAsia="Times New Roman" w:cs="Times New Roman"/>
                <w:b/>
                <w:color w:val="EB6834"/>
                <w:sz w:val="20"/>
              </w:rPr>
              <w:t xml:space="preserve">╍╍ </w:t>
            </w:r>
            <w:r>
              <w:rPr>
                <w:rFonts w:ascii="Times New Roman" w:hAnsi="Times New Roman" w:eastAsia="Times New Roman" w:cs="Times New Roman"/>
                <w:b w:val="0"/>
                <w:color w:val="FF0000"/>
                <w:sz w:val="22"/>
              </w:rPr>
              <w:t>“Mikrokreditbank”: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2,18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2,31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2,25</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2,47</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milliy hisobot</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3,32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3,52</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3,58</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3,53</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3,25</w:t>
            </w:r>
          </w:p>
        </w:tc>
      </w:tr>
      <w:tr>
        <w:tc>
          <w:tcPr>
            <w:tcW w:type="dxa" w:w="3685"/>
          </w:tcPr>
          <w:p>
            <w:pPr>
              <w:spacing w:before="0" w:after="0" w:line="240" w:lineRule="auto"/>
              <w:ind w:firstLine="0"/>
              <w:jc w:val="left"/>
            </w:pPr>
            <w:r>
              <w:rPr>
                <w:rFonts w:ascii="Times New Roman" w:hAnsi="Times New Roman" w:eastAsia="Times New Roman" w:cs="Times New Roman"/>
                <w:b/>
                <w:color w:val="548235"/>
                <w:sz w:val="20"/>
              </w:rPr>
              <w:t xml:space="preserve">╍╍ </w:t>
            </w:r>
            <w:r>
              <w:rPr>
                <w:rFonts w:ascii="Times New Roman" w:hAnsi="Times New Roman" w:eastAsia="Times New Roman" w:cs="Times New Roman"/>
                <w:b w:val="0"/>
                <w:color w:val="FF0000"/>
                <w:sz w:val="22"/>
              </w:rPr>
              <w:t>“Aloqabank”: MHXS</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3,01</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2,97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3,17</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3,10</w:t>
            </w:r>
          </w:p>
        </w:tc>
        <w:tc>
          <w:tcPr>
            <w:tcW w:type="dxa" w:w="1020"/>
          </w:tcPr>
          <w:p>
            <w:pPr>
              <w:spacing w:before="0" w:after="0" w:line="240" w:lineRule="auto"/>
              <w:ind w:firstLine="0"/>
              <w:jc w:val="center"/>
            </w:pPr>
            <w:r>
              <w:rPr>
                <w:rFonts w:ascii="Times New Roman" w:hAnsi="Times New Roman" w:eastAsia="Times New Roman" w:cs="Times New Roman"/>
                <w:b w:val="0"/>
                <w:color w:val="FF0000"/>
                <w:sz w:val="22"/>
              </w:rPr>
              <w:t>2,78</w:t>
            </w:r>
          </w:p>
        </w:tc>
      </w:tr>
    </w:tbl>
    <w:p w:rsidR="005603EC" w:rsidRDefault="00AB61AC">
      <w:pPr>
        <w:pStyle w:val="af"/>
        <w:spacing w:after="0" w:line="360" w:lineRule="auto"/>
        <w:ind w:firstLine="709"/>
        <w:jc w:val="both"/>
      </w:pPr>
      <w:r>
        <w:rPr>
          <w:i/>
          <w:iCs/>
          <w:color w:val="FF0000"/>
        </w:rPr>
        <w:t xml:space="preserve">Izoh: uzluksiz chiziq – milliy hisobot, uzuq chiziq – MHXS; qizil chiziqlar – I va II sinflar (3,25 ball) hamda II va III sinflar (2,50 ball) chegaralari.</w:t>
      </w:r>
    </w:p>
    <w:p w:rsidR="005603EC" w:rsidRDefault="00AB61AC">
      <w:pPr>
        <w:pStyle w:val="af"/>
        <w:spacing w:before="120" w:after="240" w:line="240" w:lineRule="auto"/>
        <w:jc w:val="center"/>
      </w:pPr>
      <w:r>
        <w:rPr>
          <w:b/>
          <w:color w:val="FF0000"/>
        </w:rPr>
        <w:t xml:space="preserve">3.1.3-rasm. Uch bankda moliyaviy barqarorlikning integral indeksi: milliy hisobot va MHXS asosida, 2021–2025-yillar, ball</w:t>
      </w:r>
      <w:r>
        <w:rPr>
          <w:rStyle w:val="aff8"/>
          <w:color w:val="FF0000"/>
        </w:rPr>
        <w:footnoteReference w:id="412"/>
      </w:r>
    </w:p>
    <w:p w:rsidR="005603EC" w:rsidRDefault="00AB61AC">
      <w:pPr>
        <w:pStyle w:val="af"/>
        <w:spacing w:after="0" w:line="360" w:lineRule="auto"/>
        <w:ind w:firstLine="709"/>
        <w:jc w:val="both"/>
      </w:pPr>
      <w:r>
        <w:rPr>
          <w:color w:val="FF0000"/>
        </w:rPr>
        <w:t xml:space="preserve">Rasmdan ko‘rinib turibdiki, MHXS ma’lumotlari asosidagi indeks uchala bankda ham tahlil davrining barcha yillarida milliy hisobot asosidagi indeksdan past bo‘lgan, farq 0,23–0,66 ballni tashkil etgan. “Mikrokreditbank” ATB milliy hisobot bo‘yicha butun davr mobaynida II sinfda, MHXS bo‘yicha esa III sinfda joylashgan. “Aloqabank” ATB milliy hisobot bo‘yicha 2021–2024-yillarda I sinfda bo‘lsa, MHXS bo‘yicha barcha yillarda II sinfda qolgan. “O‘zsanoatqurilishbank” ATB ham MHXS bo‘yicha butun davr mobaynida II sinfda bo‘lgan, milliy hisobot bo‘yicha esa 2021 va 2025-yillarda I sinfga ko‘tarilgan. Demak, ikki variant o‘rtasidagi tafovut tasodifiy emas, balki muntazam xususiyatga ega bo‘lib, u 2.3-paragrafda aniqlangan yashirin kredit riskining integral indeksdagi aksidir.</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color w:val="FF0000"/>
        </w:rPr>
        <w:t xml:space="preserve">(3.1.4-rasm)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color w:val="FF0000"/>
        </w:rPr>
        <w:t xml:space="preserve">3.1.4</w:t>
      </w:r>
      <w:r>
        <w:rPr>
          <w:b/>
        </w:rPr>
        <w:t xml:space="preserve">-rasm</w:t>
      </w:r>
      <w:r>
        <w:rPr>
          <w:b/>
        </w:rPr>
        <w:t xml:space="preserve">. Moliyaviy barqarorlikning integral indeksi qiymatlarining vaznlar tizimiga sezgirligi, 2025-yil</w:t>
      </w:r>
      <w:r>
        <w:rPr>
          <w:rStyle w:val="aff8"/>
        </w:rPr>
        <w:footnoteReference w:id="413"/>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5"/>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6"/>
      </w:r>
      <w:r>
        <w:t>. Moliyaviy stress indekslarini qurishda ham M. Illing va Y. Liu turli vaznlash usullarini solishtirib, eng yaxshi usulni indeksning haqiqiy stress davrlarini aniqlash qobiliyati bo‘yicha tanlagan</w:t>
      </w:r>
      <w:r>
        <w:rPr>
          <w:rStyle w:val="aff8"/>
        </w:rPr>
        <w:footnoteReference w:id="417"/>
      </w:r>
      <w:r>
        <w:t>. A.M. Karminskiy esa reyting modellarida vaznlar ekspert yo‘li bilan belgilansa ham, ular albatta statistik tekshiruvdan o‘tkazilishi lozimligini ta’kidlaydi</w:t>
      </w:r>
      <w:r>
        <w:rPr>
          <w:rStyle w:val="aff8"/>
        </w:rPr>
        <w:footnoteReference w:id="418"/>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 xml:space="preserve">K. Shannon entropiyasi asosida har bir ko‘rsatkich</w:t>
            </w:r>
            <w:r>
              <w:rPr>
                <w:color w:val="FF0000"/>
                <w:sz w:val="22"/>
              </w:rPr>
              <w:t xml:space="preserve"> ballarining 25 ta bank-yil kuzatuvi</w:t>
            </w:r>
            <w:r>
              <w:rPr>
                <w:sz w:val="22"/>
              </w:rPr>
              <w:t xml:space="preserve">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r>
              <w:rPr>
                <w:color w:val="FF0000"/>
                <w:sz w:val="22"/>
              </w:rPr>
              <w:t xml:space="preserve"> (koeffitsiyentlar modulining ulushi; kutilganiga teskari ishorali koeffitsiyentga ega blok vazni – 0)</w:t>
            </w:r>
          </w:p>
        </w:tc>
        <w:tc>
          <w:tcPr>
            <w:tcW w:w="2381" w:type="dxa"/>
          </w:tcPr>
          <w:p w:rsidR="005603EC" w:rsidRDefault="00AB61AC">
            <w:pPr>
              <w:pStyle w:val="Compact"/>
              <w:spacing w:line="240" w:lineRule="auto"/>
            </w:pPr>
            <w:r>
              <w:rPr>
                <w:sz w:val="22"/>
              </w:rPr>
              <w:t xml:space="preserve">25 bank, 2021–2024-yillar choraklik ma’lumotlari</w:t>
            </w:r>
            <w:r>
              <w:rPr>
                <w:color w:val="FF0000"/>
                <w:sz w:val="22"/>
              </w:rPr>
              <w:t xml:space="preserve"> (308 kuzatuv), 8 ko‘rsatkichli panel indeksining 3 bloki (aktivlar sifati, likvidlik, daromadlilik)</w:t>
            </w:r>
            <w:r>
              <w:rPr>
                <w:sz w:val="22"/>
              </w:rPr>
              <w:t xml:space="preserve">,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20"/>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1"/>
      </w:r>
      <w:r>
        <w:rPr>
          <w:rStyle w:val="aff8"/>
        </w:rPr>
        <w:footnoteReference w:id="422"/>
      </w:r>
      <w:r>
        <w:rPr>
          <w:rStyle w:val="aff8"/>
        </w:rPr>
        <w:footnoteReference w:id="423"/>
      </w:r>
      <w:r>
        <w:rPr>
          <w:rStyle w:val="aff8"/>
        </w:rPr>
        <w:footnoteReference w:id="424"/>
      </w:r>
      <w:r>
        <w:rPr>
          <w:rStyle w:val="aff8"/>
        </w:rPr>
        <w:footnoteReference w:id="425"/>
      </w:r>
      <w:r>
        <w:t>. Yuqori likvid aktivlar ulushi esa “SNS” reyting agentligi bazasidan olindi</w:t>
      </w:r>
      <w:r>
        <w:rPr>
          <w:rStyle w:val="aff8"/>
        </w:rPr>
        <w:footnoteReference w:id="426"/>
      </w:r>
      <w:r>
        <w:t>. Logit usuli uchun 3.3-paragrafda shakllantirilgan 25 ta bank paneli qo‘llandi</w:t>
      </w:r>
      <w:r>
        <w:rPr>
          <w:color w:val="FF0000"/>
        </w:rPr>
        <w:t xml:space="preserve"> (panelning tarkibi 3.3-paragrafda, muammo hodisasining ta’rifi esa 4.1-paragrafda batafsil yoritiladi</w:t>
      </w:r>
      <w:r>
        <w:rPr>
          <w:color w:val="FF0000"/>
        </w:rPr>
        <w:t xml:space="preserve">). Bu panelda kapital monandligi koeffitsiyentlari, MHXS 9 bo‘yicha kreditlar bosqichlari va valyuta tarkibi bank kesimida e’lon qilinmagani sababli indeks 13 ta ko‘rsatkichning barcha banklar uchun mavjud bo‘lgan sakkiztasi asosida hisoblanadi. Ikki indeksni farqlash uchun bundan keyin 13 ko‘rsatkichli to‘liq indeks MBII-13, 8 ko‘rsatkichli panel indeksi esa MBII-8 deb belgilanadi. MBII-8 da kapital bloki</w:t>
      </w:r>
      <w:r>
        <w:rPr>
          <w:rStyle w:val="aff8"/>
        </w:rPr>
        <w:footnoteReference w:id="427"/>
      </w:r>
      <w:r>
        <w:t xml:space="preserve">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w:t>
      </w:r>
      <w:r>
        <w:rPr>
          <w:color w:val="FF0000"/>
          <w:sz w:val="24"/>
        </w:rPr>
        <w:t xml:space="preserve"> Logit usulida likvidlik blokining koeffitsiyenti kutilganiga teskari ishorali va statistik ahamiyatsiz (p = 0,79) bo‘lgani sababli uning vazni nolga teng olindi.</w:t>
      </w:r>
      <w:r>
        <w:rPr>
          <w:sz w:val="24"/>
        </w:rPr>
        <w:t xml:space="preserve">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w:t>
      </w:r>
      <w:r>
        <w:rPr>
          <w:color w:val="FF0000"/>
        </w:rPr>
        <w:t xml:space="preserve">(0,30)</w:t>
      </w:r>
      <w:r>
        <w:rPr/>
        <w:t xml:space="preserve">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w:t>
      </w:r>
      <w:r>
        <w:rPr>
          <w:color w:val="FF0000"/>
        </w:rPr>
        <w:t xml:space="preserve">Likvidlik va daromadlilik bloklarida ham sezilarli farq kuzatiladi:</w:t>
      </w:r>
      <w:r>
        <w:t xml:space="preserve">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w:t>
      </w:r>
    </w:p>
    <w:p w:rsidR="005603EC" w:rsidRDefault="00AB61AC">
      <w:pPr>
        <w:pStyle w:val="af"/>
        <w:spacing w:after="0" w:line="360" w:lineRule="auto"/>
        <w:ind w:firstLine="709"/>
        <w:jc w:val="both"/>
      </w:pPr>
      <w:r>
        <w:rPr>
          <w:color w:val="FF0000"/>
        </w:rPr>
        <w:t xml:space="preserve">Jadval ma’lumotlaridan</w:t>
      </w:r>
      <w:r>
        <w:t xml:space="preserve"> ko‘rinib turibdiki, usullar o‘rtasidagi farq asosan </w:t>
      </w:r>
      <w:r>
        <w:rPr>
          <w:color w:val="FF0000"/>
        </w:rPr>
        <w:t xml:space="preserve">kapital, </w:t>
      </w:r>
      <w:r>
        <w:t xml:space="preserve">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color w:val="FF0000"/>
        </w:rPr>
        <w:t xml:space="preserve">Tanlangan banklarning</w:t>
      </w:r>
      <w:r>
        <w:rPr>
          <w:b/>
          <w:bCs/>
        </w:rPr>
        <w:t xml:space="preserve">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color w:val="FF0000"/>
                <w:sz w:val="22"/>
              </w:rPr>
              <w:t xml:space="preserve">Bank / 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color w:val="FF0000"/>
                <w:sz w:val="22"/>
              </w:rPr>
              <w:t xml:space="preserve">“Aloqabank” ATB (tanlanmadan tashqari)</w:t>
            </w:r>
          </w:p>
        </w:tc>
        <w:tc>
          <w:tcPr>
            <w:tcW w:w="1176" w:type="dxa"/>
          </w:tcPr>
          <w:p w:rsidR="005603EC" w:rsidRDefault="00AB61AC">
            <w:pPr>
              <w:pStyle w:val="Compact"/>
              <w:spacing w:line="240" w:lineRule="auto"/>
              <w:jc w:val="center"/>
            </w:pPr>
            <w:r>
              <w:rPr>
                <w:color w:val="FF0000"/>
                <w:sz w:val="22"/>
              </w:rPr>
              <w:t xml:space="preserve">2,78</w:t>
            </w:r>
          </w:p>
        </w:tc>
        <w:tc>
          <w:tcPr>
            <w:tcW w:w="1176" w:type="dxa"/>
          </w:tcPr>
          <w:p w:rsidR="005603EC" w:rsidRDefault="00AB61AC">
            <w:pPr>
              <w:pStyle w:val="Compact"/>
              <w:spacing w:line="240" w:lineRule="auto"/>
              <w:jc w:val="center"/>
            </w:pPr>
            <w:r>
              <w:rPr>
                <w:color w:val="FF0000"/>
                <w:sz w:val="22"/>
              </w:rPr>
              <w:t xml:space="preserve">2,23</w:t>
            </w:r>
          </w:p>
        </w:tc>
        <w:tc>
          <w:tcPr>
            <w:tcW w:w="1176" w:type="dxa"/>
          </w:tcPr>
          <w:p w:rsidR="005603EC" w:rsidRDefault="00AB61AC">
            <w:pPr>
              <w:pStyle w:val="Compact"/>
              <w:spacing w:line="240" w:lineRule="auto"/>
              <w:jc w:val="center"/>
            </w:pPr>
            <w:r>
              <w:rPr>
                <w:color w:val="FF0000"/>
                <w:sz w:val="22"/>
              </w:rPr>
              <w:t xml:space="preserve">2,41</w:t>
            </w:r>
          </w:p>
        </w:tc>
        <w:tc>
          <w:tcPr>
            <w:tcW w:w="1176" w:type="dxa"/>
          </w:tcPr>
          <w:p w:rsidR="005603EC" w:rsidRDefault="00AB61AC">
            <w:pPr>
              <w:pStyle w:val="Compact"/>
              <w:spacing w:line="240" w:lineRule="auto"/>
              <w:jc w:val="center"/>
            </w:pPr>
            <w:r>
              <w:rPr>
                <w:color w:val="FF0000"/>
                <w:sz w:val="22"/>
              </w:rPr>
              <w:t xml:space="preserve">2,49</w:t>
            </w:r>
          </w:p>
        </w:tc>
        <w:tc>
          <w:tcPr>
            <w:tcW w:w="1126" w:type="dxa"/>
          </w:tcPr>
          <w:p w:rsidR="005603EC" w:rsidRDefault="00AB61AC">
            <w:pPr>
              <w:pStyle w:val="Compact"/>
              <w:spacing w:line="240" w:lineRule="auto"/>
              <w:jc w:val="center"/>
            </w:pPr>
            <w:r>
              <w:rPr>
                <w:color w:val="FF0000"/>
                <w:sz w:val="22"/>
              </w:rPr>
              <w:t xml:space="preserve">3,01</w:t>
            </w:r>
          </w:p>
        </w:tc>
        <w:tc>
          <w:tcPr>
            <w:tcW w:w="1176" w:type="dxa"/>
          </w:tcPr>
          <w:p w:rsidR="005603EC" w:rsidRDefault="00AB61AC">
            <w:pPr>
              <w:pStyle w:val="Compact"/>
              <w:spacing w:line="240" w:lineRule="auto"/>
              <w:jc w:val="center"/>
            </w:pPr>
            <w:r>
              <w:rPr>
                <w:color w:val="FF0000"/>
                <w:sz w:val="22"/>
              </w:rPr>
              <w:t xml:space="preserve">2,38</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line="240" w:lineRule="auto"/>
        <w:jc w:val="both"/>
      </w:pPr>
      <w:r>
        <w:rPr>
          <w:color w:val="FF0000"/>
          <w:sz w:val="24"/>
        </w:rPr>
        <w:t xml:space="preserve">Izoh: “Aloqabank” ATB empirik vaznlarni baholashda qatnashmagan va tanlanmadan tashqari tekshiruv uchun keltirilgan; jadvalning quyi uch qatoridagi ko‘rsatkichlar beshta bank bo‘yicha hisoblangan.</w:t>
      </w:r>
    </w:p>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w:t>
      </w:r>
      <w:r>
        <w:rPr>
          <w:color w:val="FF0000"/>
        </w:rPr>
        <w:t xml:space="preserve"> Tanlanmadan tashqari “Aloqabank” ATB da esa manzara boshqacha: tayanch vaznlarda bank II sinfda (2,78 ball) bo‘lsa, tarqoqlikka asoslangan uch usul vaznlarida III sinfga (2,23–2,49 ball) tushadi. Buning sababi shundaki, bu usullar daromadlilik blokiga yuqori vazn beradi, bank esa 2025-yilda MHXS bo‘yicha zarar ko‘rgan. Bu holat empirik vaznlar ular baholangan tanlanmaning xususiyatlariga bog‘liqligini amalda tasdiqlaydi.</w:t>
      </w:r>
      <w:r>
        <w:t xml:space="preserve"> Muammo hodisalarini bashorat qilish kuchi bo‘yicha empirik vaznlar </w:t>
      </w:r>
      <w:r>
        <w:rPr/>
        <w:t xml:space="preserve">tayanch vaznlar</w:t>
      </w:r>
      <w:r>
        <w:t xml:space="preserve">dan biroz ustun (</w:t>
      </w:r>
      <w:r>
        <w:rPr>
          <w:color w:val="FF0000"/>
        </w:rPr>
        <w:t xml:space="preserve">AUC 0,865–0,907, tayanch vaznlarda – 0,864)</w:t>
      </w:r>
      <w:r>
        <w:t xml:space="preserve">, biroq farq katta emas, </w:t>
      </w:r>
      <w:r>
        <w:rPr/>
        <w:t xml:space="preserve">tayanch vaznlar</w:t>
      </w:r>
      <w:r>
        <w:t xml:space="preserve">ning bashorat kuchi esa bosh komponentlar usuli bilan </w:t>
      </w:r>
      <w:r>
        <w:rPr>
          <w:color w:val="FF0000"/>
        </w:rPr>
        <w:t xml:space="preserve">deyarli </w:t>
      </w:r>
      <w:r>
        <w:t xml:space="preserve">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r>
        <w:rPr>
          <w:color w:val="FF0000"/>
        </w:rPr>
        <w:t xml:space="preserve"> Logit usulining nisbatan yuqori AUC qiymati (0,907) esa qisman uning vaznlari aynan shu panel ma’lumotlari va muammo hodisalari asosida baholangani bilan izohlanadi, shu sababli bu ustunlik tanlanmadan tashqari tekshiruvni talab qiladi.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w:t>
      </w:r>
      <w:r>
        <w:rPr>
          <w:color w:val="FF0000"/>
        </w:rPr>
        <w:t xml:space="preserve"> (Dirixle taqsimotining parametri α = 20·w, bu yerda w – blokning tayanch vazni)</w:t>
      </w:r>
      <w:r>
        <w:t xml:space="preserve"> va vaznlar to‘liq tasodifiy, ya’ni hech qanday dastlabki farazsiz tanlangan holatda </w:t>
      </w:r>
      <w:r>
        <w:rPr>
          <w:color w:val="FF0000"/>
        </w:rPr>
        <w:t xml:space="preserve">(3.2.1-rasm)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line="240" w:lineRule="auto"/>
        <w:jc w:val="both"/>
      </w:pPr>
      <w:r>
        <w:rPr>
          <w:color w:val="FF0000"/>
          <w:sz w:val="24"/>
        </w:rPr>
        <w:t xml:space="preserve">Izoh: SQB – “O‘zsanoatqurilishbank” ATB, MKB – “Mikrokreditbank” ATB, BRB – “Biznesni rivojlantirish banki” ATB.</w:t>
      </w:r>
    </w:p>
    <w:p w:rsidR="005603EC" w:rsidRDefault="00AB61AC">
      <w:pPr>
        <w:pStyle w:val="af"/>
        <w:spacing w:before="120" w:after="240" w:line="240" w:lineRule="auto"/>
        <w:jc w:val="center"/>
      </w:pPr>
      <w:r>
        <w:rPr>
          <w:b/>
          <w:color w:val="FF0000"/>
        </w:rPr>
        <w:t xml:space="preserve">3.2.1-rasm</w:t>
      </w:r>
      <w:r>
        <w:rPr>
          <w:b/>
        </w:rPr>
        <w:t xml:space="preserve">.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w:t>
      </w:r>
      <w:r>
        <w:rPr>
          <w:color w:val="FF0000"/>
        </w:rPr>
        <w:t xml:space="preserve">Yuqoridagi tahlil natijalari uchta amaliy xulos</w:t>
      </w:r>
      <w:r>
        <w:t xml:space="preserve">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w:t>
      </w:r>
      <w:r>
        <w:rPr>
          <w:color w:val="FF0000"/>
        </w:rPr>
        <w:t xml:space="preserve"> Tahlilda bunday holat, masalan, “Biznesni rivojlantirish banki” ATB ning 2021-yildagi ko‘rsatkichida kuzatilgan: vaznlar tayanch vaznlar atrofida o‘zgarganda uning sinfi atigi 51,2 foiz holatda saqlanadi, vaznlar to‘liq tasodifiy olinganda esa eng sezgir kuzatuv “Xalq banki” ATB ning 2024-yildagi ko‘rsatkichi bo‘lib, uning sinfi 39,4 foiz holatda saqlanadi.</w:t>
      </w:r>
      <w:r>
        <w:t xml:space="preserve">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rPr>
          <w:color w:val="FF0000"/>
        </w:rPr>
        <w:t xml:space="preserve">Vaznlardan tashqari, i</w:t>
      </w:r>
      <w:r>
        <w:t xml:space="preserve">ntegral indeksning ikkinchi metodik elementi – barqarorlik sinflari chegaralari, ya’ni 3,25; 2,5 va 1,75 ball</w:t>
      </w:r>
      <w:r>
        <w:rPr>
          <w:color w:val="FF0000"/>
        </w:rPr>
        <w:t xml:space="preserve"> hisoblanadi</w:t>
      </w:r>
      <w:r>
        <w:t xml:space="preserve">. Ular ham 3.1-paragrafda me’yoriy talablar asosida belgilangan edi. Ularni empirik tekshirish uchun 25 ta bank panelida</w:t>
      </w:r>
      <w:r>
        <w:rPr>
          <w:color w:val="FF0000"/>
        </w:rPr>
        <w:t xml:space="preserve"> MBII-8 bo‘yicha</w:t>
      </w:r>
      <w:r>
        <w:t xml:space="preserve">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 xml:space="preserve">Integral indeks sinflari bo‘yicha muammo hodisalarining yuz berish chastotasi, </w:t>
      </w:r>
      <w:r>
        <w:rPr>
          <w:b/>
          <w:bCs/>
          <w:color w:val="FF0000"/>
        </w:rPr>
        <w:t xml:space="preserve">2021–2024-yillar kuzatuvlari</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color w:val="FF0000"/>
          <w:sz w:val="24"/>
        </w:rPr>
        <w:t xml:space="preserve">Izoh: 25 ta bank paneli, milliy hisobot asosidagi 8 ko‘rsatkichli choraklik indeks</w:t>
      </w:r>
      <w:r>
        <w:rPr>
          <w:color w:val="FF0000"/>
          <w:sz w:val="24"/>
        </w:rPr>
        <w:t xml:space="preserve"> (MBII-8)</w:t>
      </w:r>
      <w:r>
        <w:rPr>
          <w:color w:val="FF0000"/>
          <w:sz w:val="24"/>
        </w:rPr>
        <w:t xml:space="preserve">; muammo hodisalari har bir kuzatuvdan keyingi to‘rt chorak, ya’ni 2025-yil oxirigacha bo‘lgan davrda kuzatilgan. 2025-yil kuzatuvlari keyingi to‘rt chorak ma’lumotlari to‘liq bo‘lmagani sababli kiritilmagan.</w:t>
      </w:r>
    </w:p>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w:t>
      </w:r>
      <w:r>
        <w:rPr>
          <w:color w:val="FF0000"/>
        </w:rPr>
        <w:t xml:space="preserve">Bundan tashqari</w:t>
      </w:r>
      <w:r>
        <w:t xml:space="preserve">, II sinf ichida risk bir tekis taqsimlanmagan: 4.1-paragrafda </w:t>
      </w:r>
      <w:r>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rPr>
          <w:color w:val="FF0000"/>
        </w:rPr>
        <w:t xml:space="preserve">Shundan so‘ng </w:t>
      </w:r>
      <w:r>
        <w:rPr>
          <w:color w:val="FF0000"/>
        </w:rPr>
        <w:t xml:space="preserve">empirik tekshiruvdan o‘tgan, tayanch vaznli indeks</w:t>
      </w:r>
      <w:r>
        <w:t xml:space="preserve"> beshta bankning 2021–2025-yillardagi moliyaviy barqarorligi dinamikasini baholash uchun qo‘llandi </w:t>
      </w:r>
      <w:r>
        <w:rPr>
          <w:color w:val="FF0000"/>
        </w:rPr>
        <w:t xml:space="preserve">(3.2.2-rasm)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color w:val="FF0000"/>
        </w:rPr>
        <w:t xml:space="preserve">3.2.2-rasm</w:t>
      </w:r>
      <w:r>
        <w:rPr>
          <w:b/>
        </w:rPr>
        <w:t xml:space="preserve">.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r>
      <w:r>
        <w:rPr/>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w:t>
      </w:r>
      <w:r>
        <w:rPr>
          <w:color w:val="FF0000"/>
        </w:rPr>
        <w:t xml:space="preserve">Natijalarning umumiyligini tekshirish maqsadida i</w:t>
      </w:r>
      <w:r>
        <w:rPr/>
        <w:t xml:space="preserve">ndeks empirik vaznlar baholanishida qatnashmagan oltinchi bank – “Aloqabank” ATB ma’lumotlarida ham tekshirildi </w:t>
      </w:r>
      <w:r>
        <w:rPr>
          <w:color w:val="FF0000"/>
        </w:rPr>
        <w:t xml:space="preserve">(3.2.2-rasmda</w:t>
      </w:r>
      <w:r>
        <w:rPr/>
        <w:t xml:space="preserve">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w:t>
      </w:r>
      <w:r>
        <w:rPr>
          <w:color w:val="FF0000"/>
        </w:rPr>
        <w:t xml:space="preserve">indeks 3,248 ballni tashkil etib, I sinf chegarasiga yaqinlashgan</w:t>
      </w:r>
      <w:r>
        <w:rPr/>
        <w:t xml:space="preserve">.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r>
      <w:r>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xml:space="preserve">. </w:t>
      </w:r>
      <w:r>
        <w:rPr>
          <w:color w:val="FF0000"/>
        </w:rPr>
        <w:t xml:space="preserve">To‘rtinchi gipoteza asosiy faoliyatdan olinadigan barqaror daromad bank kapitalini ichki manbalar hisobiga to‘ldirish imkonini berishi bilan izohlanadi. B</w:t>
      </w:r>
      <w:r>
        <w:t xml:space="preserve">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w:t>
      </w:r>
      <w:r>
        <w:rPr>
          <w:color w:val="FF0000"/>
        </w:rPr>
        <w:t xml:space="preserve">Bu panel indeksi 3.2-paragrafda kiritilgan MBII-8 belgisi bilan ifodalanadi.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r>
      <w:r>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r>
      <w:r>
        <w:t xml:space="preserve">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w:t>
      </w:r>
      <w:r>
        <w:rPr>
          <w:color w:val="FF0000"/>
        </w:rPr>
        <w:t xml:space="preserve">Shu bilan birga, k</w:t>
      </w:r>
      <w:r>
        <w:t xml:space="preserve">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rPr>
          <w:color w:val="FF0000"/>
        </w:rPr>
        <w:t xml:space="preserve">Tavsifiy tahlilda aniqlangan farqlarni ekonometrik jihatdan tekshirish va o</w:t>
      </w:r>
      <w:r>
        <w:t xml:space="preserve">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r>
      <w:r>
        <w:t xml:space="preserve">ulushining 10 foiz punktga barqaror oshishi uzoq muddatda indeksni </w:t>
      </w:r>
      <w:r>
        <w:rPr/>
        <w:t>0,16</w:t>
      </w:r>
      <w:r>
        <w:t xml:space="preserve"> ballga oshiradi. Bu natija P. Athanasoglou va hammualliflar xulosasiga mos keladi</w:t>
      </w:r>
      <w:r>
        <w:rPr>
          <w:rStyle w:val="aff8"/>
        </w:rPr>
        <w:footnoteReference w:id="470"/>
      </w:r>
      <w:r>
        <w:t xml:space="preserve">, biroq inersiyaning nisbatan pastligi bir martalik zararlar va qayta kapitallashtirishlar bilan izohlanadi. </w:t>
      </w:r>
      <w:r>
        <w:rPr>
          <w:color w:val="FF0000"/>
        </w:rPr>
        <w:t xml:space="preserve">Mazkur holat</w:t>
      </w:r>
      <w:r>
        <w:t xml:space="preserve">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w:t>
      </w:r>
      <w:r>
        <w:rPr>
          <w:color w:val="FF0000"/>
        </w:rPr>
        <w:t xml:space="preserve">Olingan natijalar</w:t>
      </w:r>
      <w:r>
        <w:t xml:space="preserve"> davlat banklarini isloh qilishda faqat xususiylashtirish bilan cheklanmasdan, ularning resurs bazasini depozitlar hisobiga diversifikatsiya qilish </w:t>
      </w:r>
      <w:r>
        <w:lastRenderedPageBreak/>
      </w:r>
      <w:r>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w:t>
      </w:r>
      <w:r>
        <w:rPr>
          <w:color w:val="FF0000"/>
        </w:rPr>
        <w:t xml:space="preserve">Fikrimizcha, j</w:t>
      </w:r>
      <w:r>
        <w:t xml:space="preserve">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r>
      <w:r>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r>
      <w:r>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t xml:space="preserve"> </w:t>
      </w:r>
      <w:r>
        <w:rPr>
          <w:color w:val="FF0000"/>
        </w:rPr>
        <w:t xml:space="preserve">Shuni ta’kidlash joizki, YaIM o‘sishi va asosiy stavka bo‘yicha olingan baholar</w:t>
      </w:r>
      <w:r>
        <w:rPr/>
        <w:t xml:space="preserve">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rPr>
          <w:color w:val="FF0000"/>
        </w:rPr>
        <w:t xml:space="preserve">Biroq n</w:t>
      </w:r>
      <w:r>
        <w:t xml:space="preserve">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w:t>
      </w:r>
      <w:r>
        <w:rPr>
          <w:color w:val="FF0000"/>
        </w:rPr>
        <w:t xml:space="preserve">i sababli</w:t>
      </w:r>
      <w:r>
        <w:t xml:space="preserve">,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rPr>
          <w:color w:val="FF0000"/>
        </w:rPr>
        <w:t xml:space="preserve">Keyingi bosqichda i</w:t>
      </w:r>
      <w:r>
        <w:t xml:space="preserve">ntegral indeks qiymatini muammo ehtimoliga aylantirish uchun logit modellar baholandi. Logit model bog‘liq o‘zgaruvchi ikki qiymatli bo‘lgan holatda </w:t>
      </w:r>
      <w:r>
        <w:lastRenderedPageBreak/>
      </w:r>
      <w:r>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w:t>
      </w:r>
      <w:r>
        <w:rPr>
          <w:color w:val="FF0000"/>
        </w:rPr>
        <w:t xml:space="preserve">ning</w:t>
      </w:r>
      <w:r>
        <w:t xml:space="preserve">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r>
      <w:r>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w:t>
      </w:r>
      <w:r>
        <w:rPr>
          <w:color w:val="FF0000"/>
        </w:rPr>
        <w:t xml:space="preserve">etgan. Uning asosiy sababi 2.3-paragrafda aniqlangan holat bilan izohlanadi:</w:t>
      </w:r>
      <w:r>
        <w:t xml:space="preserve"> 2025-yil yakunida bankning MHXS 9 bo‘yicha 3-bosqich kreditlari ulushi milliy tasnifdagi muammoli kreditlar ulushidan qariyb uch barobar yuqori bo‘lgan. Demak, milliy hisobot ma’lumotlari asosida bank yashil zonada ko‘rinsa-da, xalqaro standartlar </w:t>
      </w:r>
      <w:r>
        <w:lastRenderedPageBreak/>
      </w:r>
      <w:r>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w:t>
      </w:r>
      <w:r>
        <w:rPr>
          <w:color w:val="FF0000"/>
        </w:rPr>
        <w:t xml:space="preserve"> bo‘lib</w:t>
      </w:r>
      <w:r>
        <w:t xml:space="preserve">,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t xml:space="preserve">ular YaIM o‘sishi bilan kuchli bog‘langan (asosiy stavka bilan korrelyatsiya koeffitsiyenti −0,76), 3.3-paragrafda esa asosiy stavkaning ta’siri faqat 5–10 foiz darajada, so‘m kursiniki esa faqat Pooled modelda ahamiyatli bo‘lgan</w:t>
      </w:r>
      <w:r>
        <w:rPr>
          <w:color w:val="FF0000"/>
        </w:rPr>
        <w:t xml:space="preserve">. S</w:t>
      </w:r>
      <w:r>
        <w:rPr/>
        <w:t xml:space="preserve">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w:t>
      </w:r>
      <w:r>
        <w:rPr>
          <w:color w:val="FF0000"/>
        </w:rPr>
        <w:t xml:space="preserve">. Biroq</w:t>
      </w:r>
      <w:r>
        <w:t xml:space="preserve"> 2020-yil ko‘rsatkichlari tahlil va xulosalarda qo‘llanmaydi. Ma’lumotlarga ko‘ra, 2020-yilda YaIM o‘sish sur’ati yil boshidan 0,0–1,6 foizgacha pasaygan bo‘lsa-da, muammoli kreditlar ulushi 2,1–2,8 foiz </w:t>
      </w:r>
      <w:r>
        <w:lastRenderedPageBreak/>
      </w:r>
      <w:r>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r>
      <w: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t xml:space="preserve">shu chorakning o‘zida 0,153 foiz punktga oshiradi. Laglar tuzilishi farq qilsa-da, koeffitsiyentlarning yaqinligi bahoning barqarorligini ko‘rsatadi. </w:t>
      </w:r>
      <w:r>
        <w:rPr>
          <w:color w:val="FF0000"/>
        </w:rPr>
        <w:t xml:space="preserve">Ta’kidlash joizki, 3</w:t>
      </w:r>
      <w:r>
        <w:rPr/>
        <w:t xml:space="preserve">.3-paragrafdagi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t>o‘rtachaga qaytuvchi modelga nisbatan barqarorroq: 2023-yil uchun uning xatosi 0,21, o‘rtachaga qaytuvchi modelniki esa 1,08 foiz punktga teng, biroq 2024-yilda o‘rtachaga qaytuvchi model aniqroq bo‘lgan (0,73 ga nisbatan 0,33)</w:t>
      </w:r>
      <w:r>
        <w:t xml:space="preserve">. </w:t>
      </w:r>
      <w:r>
        <w:rPr>
          <w:color w:val="FF0000"/>
        </w:rPr>
        <w:t xml:space="preserve">Shu bilan birga,</w:t>
      </w:r>
      <w:r>
        <w:t xml:space="preserve">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r>
      <w:r>
        <w:t xml:space="preserve">darajasidagi qarorlar bilan belgilanganini ko‘rsatadi. Demak, ishlab chiqilgan model muammoli kreditlarning aniq darajasini bashorat qilish uchun emas, balki makroiqtisodiy shokning ta’sirini baholash, ya’ni stress-test uchun mo‘ljallangan</w:t>
      </w:r>
      <w:r>
        <w:rPr>
          <w:color w:val="FF0000"/>
        </w:rPr>
        <w:t xml:space="preserve">.</w:t>
      </w:r>
      <w:r>
        <w:t xml:space="preserve">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w:t>
      </w:r>
      <w:r>
        <w:rPr>
          <w:color w:val="FF0000"/>
        </w:rPr>
        <w:t xml:space="preserve"> holat</w:t>
      </w:r>
      <w:r>
        <w:t xml:space="preserve"> 3.3-paragrafda </w:t>
      </w:r>
      <w:r>
        <w:lastRenderedPageBreak/>
      </w:r>
      <w:r>
        <w:t xml:space="preserve">aniqlangan omillar bilan izohlanadi: davlat banklarida daromadlilik past (aktivlar bo‘yicha tortilgan ROA 1,0 foiz), shu sababli muammoli kreditlarning </w:t>
      </w:r>
      <w:r>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rPr>
          <w:color w:val="FF0000"/>
        </w:rPr>
        <w:t xml:space="preserve">Mazkur natijalarni yaqqol ifodalash maqsadida s</w:t>
      </w:r>
      <w:r>
        <w:t xml:space="preserve">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w:t>
      </w:r>
      <w:r>
        <w:rPr>
          <w:color w:val="FF0000"/>
        </w:rPr>
        <w:t xml:space="preserve">, biroq</w:t>
      </w:r>
      <w:r>
        <w:t xml:space="preserve">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rPr>
          <w:color w:val="FF0000"/>
        </w:rPr>
        <w:t xml:space="preserve">. Jumladan,</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r>
      <w:r>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 xml:space="preserve">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w:t>
      </w:r>
      <w:r>
        <w:rPr>
          <w:color w:val="FF0000"/>
        </w:rPr>
        <w:t xml:space="preserve">ning</w:t>
      </w:r>
      <w:r>
        <w:t xml:space="preserve">,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 xml:space="preserve">Shunday qilib, FSAP tavsiyalari va “yo‘l xaritasi” dissertatsiyada aniqlangan muammolarni tasdiqlaydi va ularni hal qilish yo‘nalishlarini belgilaydi. Biroq ular asosan “nima qilish kerak” degan savolga javob beradi, “qanday qilish kerak” degan savolga</w:t>
      </w:r>
      <w:r>
        <w:t xml:space="preserve">, ya’ni muayyan baholash metodikasi, ko‘rsatkichlar, chegaralar va ularning empirik asoslanishi masalasiga </w:t>
      </w:r>
      <w:r>
        <w:rPr>
          <w:color w:val="FF0000"/>
        </w:rPr>
        <w:t xml:space="preserve">esa </w:t>
      </w:r>
      <w:r>
        <w:t xml:space="preserve">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w:t>
      </w:r>
      <w:r>
        <w:rPr>
          <w:color w:val="FF0000"/>
        </w:rPr>
        <w:t xml:space="preserve">(2.3) formula bo‘yicha </w:t>
      </w:r>
      <w:r>
        <w:t xml:space="preserve">tuzatgan holda integral indeksga kiritish maqsadga muvofiq. </w:t>
      </w:r>
      <w:r>
        <w:lastRenderedPageBreak/>
      </w:r>
      <w:r>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t>faoliyatining dastlabki bosqichida bo‘lgan va kredit</w:t>
      </w:r>
      <w:r>
        <w:t xml:space="preserve"> portfeli </w:t>
      </w:r>
      <w:r>
        <w:lastRenderedPageBreak/>
      </w:r>
      <w:r>
        <w:t xml:space="preserve">tez kengaygan bank bilan bog‘liq bo‘lgan. Shu sababli erta ogohlantirish tizimida integral indeks bilan bir qatorda kreditlar yillik o‘sish sur</w:t>
      </w:r>
      <w:r>
        <w:rPr>
          <w:color w:val="FF0000"/>
        </w:rPr>
        <w:t xml:space="preserve">’</w:t>
      </w:r>
      <w:r>
        <w:t xml:space="preserve">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w:t>
      </w:r>
      <w:r>
        <w:rPr>
          <w:color w:val="FF0000"/>
        </w:rPr>
        <w:t xml:space="preserve">ning qariyb yarmi</w:t>
      </w:r>
      <w:r>
        <w:t xml:space="preserve"> ularning moliyalashtirish modeli – depozit bazasining torligi va imtiyozli kreditlarning past foiz marjasi bilan izohlanadi, depozitlar ulushining 10 foiz punktga oshishi esa indeksni uzoq muddatda </w:t>
      </w:r>
      <w:r>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 xml:space="preserve">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w:t>
      </w:r>
      <w:r>
        <w:rPr>
          <w:color w:val="FF0000"/>
        </w:rPr>
        <w:t xml:space="preserve"> aniqlangan, chunki davlat ko‘magi davlat banklarining daromadliligini barqarorlashtiradi</w:t>
      </w:r>
      <w:r>
        <w:t xml:space="preserve">.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rPr>
          <w:color w:val="FF0000"/>
        </w:rPr>
        <w:t xml:space="preserve">Umuman olganda, t</w:t>
      </w:r>
      <w:r>
        <w:t xml:space="preserve">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rPr>
          <w:color w:val="FF0000"/>
        </w:rPr>
        <w:t xml:space="preserve">Yuqoridagi qiyosiy tahlildan kelib chiqib aytish mumkinki, t</w:t>
      </w:r>
      <w:r>
        <w:t xml:space="preserve">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rPr>
          <w:color w:val="FF0000"/>
        </w:rPr>
        <w:t xml:space="preserve">Yuqorida qayd etilganlardan kelib chiqib, takliflar</w:t>
      </w:r>
      <w:r>
        <w:t xml:space="preserve">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 xml:space="preserve">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w:t>
      </w:r>
      <w:r>
        <w:rPr>
          <w:color w:val="FF0000"/>
        </w:rPr>
        <w:t xml:space="preserve">– </w:t>
      </w:r>
      <w:r>
        <w:t xml:space="preserve">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rPr>
          <w:color w:val="FF0000"/>
        </w:rPr>
        <w:t xml:space="preserve">Xalqaro standartlar tahlili shuni ko‘rsatdiki, B</w:t>
      </w:r>
      <w:r>
        <w:t xml:space="preserve">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rPr>
          <w:color w:val="FF0000"/>
        </w:rPr>
        <w:t xml:space="preserve">Tahlil natijalari ko‘rsatishicha, 2</w:t>
      </w:r>
      <w:r>
        <w:t xml:space="preserve">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r>
      <w:r>
        <w:t xml:space="preserve">zarurligini ko‘rsatadi. S</w:t>
      </w:r>
      <w:r>
        <w:rPr>
          <w:color w:val="FF0000"/>
        </w:rPr>
        <w:t xml:space="preserve">huningdek, sof barqaror moliyalashtirish me’yorini to‘rt variantda hisoblash natijalari</w:t>
      </w:r>
      <w:r>
        <w:t xml:space="preserve"> metodika farqi me’yorni 5,4 foiz punktga oshirishini, MHXS tuzatishlari esa </w:t>
      </w:r>
      <w:r>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w:t>
      </w:r>
      <w:r>
        <w:rPr>
          <w:color w:val="FF0000"/>
        </w:rPr>
        <w:t xml:space="preserve">(</w:t>
      </w:r>
      <w:r>
        <w:t xml:space="preserve">kapital yetarliligi, aktivlar sifati, likvidlik, daromadlilik va valyuta riskiga sezgirlik</w:t>
      </w:r>
      <w:r>
        <w:rPr>
          <w:color w:val="FF0000"/>
        </w:rPr>
        <w:t xml:space="preserve">)</w:t>
      </w:r>
      <w:r>
        <w:t xml:space="preserve">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rPr>
          <w:color w:val="FF0000"/>
        </w:rPr>
        <w:t xml:space="preserve">. Shu bilan birga, banklar tartibi</w:t>
      </w:r>
      <w:r>
        <w:t xml:space="preserve"> vaznlarning oqilona o‘zgarishlariga barqaror </w:t>
      </w:r>
      <w:r>
        <w:rPr/>
        <w:t>(tartib korrelyatsiyasi 0,95–0,98)</w:t>
      </w:r>
      <w:r>
        <w:t xml:space="preserve">. </w:t>
      </w:r>
      <w:r>
        <w:rPr>
          <w:color w:val="FF0000"/>
        </w:rPr>
        <w:t xml:space="preserve">Sinflar chegaralarini tekshirish natijalariga ko‘ra, I</w:t>
      </w:r>
      <w:r>
        <w:t xml:space="preserve">,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rPr>
          <w:color w:val="FF0000"/>
        </w:rPr>
        <w:t xml:space="preserve">Bundan tashqari, i</w:t>
      </w:r>
      <w:r>
        <w:t xml:space="preserve">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color w:val="FF0000"/>
          <w:lang w:val="ru-RU"/>
        </w:rPr>
        <w:t xml:space="preserve">181.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2022 года, и аудиторское заключение независимого аудитора. – Ташкент, 2023.</w:t>
      </w:r>
    </w:p>
    <w:p w:rsidR="005603EC" w:rsidRPr="009E01BD" w:rsidRDefault="00AB61AC">
      <w:pPr>
        <w:pStyle w:val="af"/>
        <w:spacing w:after="0" w:line="360" w:lineRule="auto"/>
        <w:ind w:firstLine="709"/>
        <w:jc w:val="both"/>
        <w:rPr>
          <w:lang w:val="ru-RU"/>
        </w:rPr>
      </w:pPr>
      <w:r>
        <w:rPr>
          <w:lang w:val="ru-RU"/>
        </w:rPr>
        <w:t>182.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color w:val="FF0000"/>
          <w:lang w:val="ru-RU"/>
        </w:rPr>
        <w:t xml:space="preserve">183. Joint Stock Commercial Bank “Uzbek Industrial and Construction Bank” and its subsidiaries. Consolidated Financial Statements and Independent Auditor’s Report for the year ended 31 December 2024. – Tashkent, 2025.</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color w:val="FF0000"/>
          <w:lang w:val="ru-RU"/>
        </w:rPr>
        <w:t xml:space="preserve">185.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w:t>
      </w:r>
    </w:p>
    <w:p w:rsidR="005603EC" w:rsidRPr="009E01BD" w:rsidRDefault="00AB61AC">
      <w:pPr>
        <w:pStyle w:val="af"/>
        <w:spacing w:after="0" w:line="360" w:lineRule="auto"/>
        <w:ind w:firstLine="709"/>
        <w:jc w:val="both"/>
        <w:rPr>
          <w:lang w:val="ru-RU"/>
        </w:rPr>
      </w:pPr>
      <w:r>
        <w:rPr>
          <w:lang w:val="ru-RU"/>
        </w:rPr>
        <w:t>186.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color w:val="FF0000"/>
          <w:lang w:val="ru-RU"/>
        </w:rPr>
        <w:t xml:space="preserve">187.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w:t>
      </w:r>
    </w:p>
    <w:p w:rsidR="005603EC" w:rsidRPr="009E01BD" w:rsidRDefault="00AB61AC">
      <w:pPr>
        <w:pStyle w:val="af"/>
        <w:spacing w:after="0" w:line="360" w:lineRule="auto"/>
        <w:ind w:firstLine="709"/>
        <w:jc w:val="both"/>
        <w:rPr>
          <w:lang w:val="ru-RU"/>
        </w:rPr>
      </w:pPr>
      <w:r>
        <w:rPr>
          <w:lang w:val="ru-RU"/>
        </w:rPr>
        <w:t>188.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189.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190.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191.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192.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rPr>
          <w:color w:val="FF0000"/>
        </w:rPr>
        <w:t xml:space="preserve">193. Joint-Stock Commercial Bank “Qishloq Qurilish Bank”. Consolidated Financial Statements for the year ended 31 December 2022 and Independent Auditor’s Report. – Tashkent: Deloitte &amp; Touche, 2023.</w:t>
      </w:r>
    </w:p>
    <w:p w:rsidR="005603EC" w:rsidRDefault="00AB61AC">
      <w:pPr>
        <w:pStyle w:val="af"/>
        <w:spacing w:after="0" w:line="360" w:lineRule="auto"/>
        <w:ind w:firstLine="709"/>
        <w:jc w:val="both"/>
      </w:pPr>
      <w:r>
        <w:rPr>
          <w:color w:val="FF0000"/>
        </w:rPr>
        <w:t xml:space="preserve">194. Joint-Stock Commercial Bank “Business Development Bank”. Consolidated Financial Statements for the year ended 31 December 2023 and Independent Auditor’s Report. – Tashkent: Deloitte &amp; Touche, 2024.</w:t>
      </w:r>
    </w:p>
    <w:p w:rsidR="005603EC" w:rsidRDefault="00AB61AC">
      <w:pPr>
        <w:pStyle w:val="af"/>
        <w:spacing w:after="0" w:line="360" w:lineRule="auto"/>
        <w:ind w:firstLine="709"/>
        <w:jc w:val="both"/>
      </w:pPr>
      <w:r>
        <w:rPr>
          <w:color w:val="FF0000"/>
        </w:rPr>
        <w:t xml:space="preserve">195. Joint-Stock Commercial Bank “Business Development Bank”. Consolidated Financial Statements for the year ended 31 December 2024 and Independent Auditor’s Report. – Tashkent: Deloitte &amp; Touche, 2025.</w:t>
      </w:r>
    </w:p>
    <w:p w:rsidR="005603EC" w:rsidRDefault="00AB61AC">
      <w:pPr>
        <w:pStyle w:val="af"/>
        <w:spacing w:after="0" w:line="360" w:lineRule="auto"/>
        <w:ind w:firstLine="709"/>
        <w:jc w:val="both"/>
      </w:pPr>
      <w:r>
        <w:t>196.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197.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rPr>
          <w:color w:val="FF0000"/>
        </w:rPr>
        <w:t xml:space="preserve">198. Joint-Stock Commercial “Xalq Bank”.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199. Joint-Stock Commercial “Xalq Bank”.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200.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rPr>
          <w:color w:val="FF0000"/>
        </w:rPr>
        <w:t xml:space="preserve">201. Joint Stock Commercial Mortgage Bank “Ipoteka Bank” and its subsidiaries. Consolidated Financial Statements and Independent Auditors’ Report for the year ended 31 December 2022. – Tashkent: KPMG Audit, 2023.</w:t>
      </w:r>
    </w:p>
    <w:p w:rsidR="005603EC" w:rsidRDefault="00AB61AC">
      <w:pPr>
        <w:pStyle w:val="af"/>
        <w:spacing w:after="0" w:line="360" w:lineRule="auto"/>
        <w:ind w:firstLine="709"/>
        <w:jc w:val="both"/>
      </w:pPr>
      <w:r>
        <w:t>202.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rPr>
          <w:color w:val="FF0000"/>
        </w:rPr>
        <w:t xml:space="preserve">203. Joint Stock Commercial Mortgage Bank “Ipoteka-bank” and its subsidiaries. Consolidated Financial Statements and Independent Auditors’ Report for the year ended 31 December 2024. – Tashkent: Ernst &amp; Young, 2025.</w:t>
      </w:r>
    </w:p>
    <w:p w:rsidR="005603EC" w:rsidRDefault="00AB61AC">
      <w:pPr>
        <w:pStyle w:val="af"/>
        <w:spacing w:after="0" w:line="360" w:lineRule="auto"/>
        <w:ind w:firstLine="709"/>
        <w:jc w:val="both"/>
      </w:pPr>
      <w:r>
        <w:t xml:space="preserve">204. </w:t>
      </w:r>
      <w:r>
        <w:rPr/>
        <w:t>O‘zbekiston Respublikasi Markaziy banki. Moliyaviy barqarorlik sharhi: 2025-yil. – Toshkent, 2026.</w:t>
      </w:r>
    </w:p>
    <w:p w:rsidR="005603EC" w:rsidRDefault="00AB61AC">
      <w:pPr>
        <w:pStyle w:val="af"/>
        <w:spacing w:after="0" w:line="360" w:lineRule="auto"/>
        <w:ind w:firstLine="709"/>
        <w:jc w:val="both"/>
      </w:pPr>
      <w:r>
        <w:t>205. The Central Bank of the Republic of Uzbekistan. Financial Stability Report for H1 2025. – Tashkent, 2025. – https://cbu.uz.</w:t>
      </w:r>
    </w:p>
    <w:p w:rsidR="005603EC" w:rsidRDefault="00AB61AC">
      <w:pPr>
        <w:pStyle w:val="af"/>
        <w:spacing w:after="0" w:line="360" w:lineRule="auto"/>
        <w:ind w:firstLine="709"/>
        <w:jc w:val="both"/>
      </w:pPr>
      <w:r>
        <w:t>206.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207.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208.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w:t>
      </w:r>
      <w:r>
        <w:rPr>
          <w:color w:val="FF0000"/>
        </w:rPr>
        <w:t xml:space="preserve">2.3.2- va 2.3.4-jadvallar ma’lumotlari</w:t>
      </w:r>
      <w:r>
        <w:t xml:space="preserve">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rPr>
          <w:color w:val="FF0000"/>
        </w:rPr>
        <w:t xml:space="preserve"> Tadqiqot natijasida muallif tomonidan banklarning Markaziy bankka taqdim etilgan prudensial hisobot shakllari va MHXS bo‘yicha moliyaviy hisobotlari asosida hisoblandi.</w:t>
      </w:r>
    </w:p>
  </w:footnote>
  <w:footnote w:id="413">
    <w:p w:rsidR="00AB61AC" w:rsidRDefault="00AB61AC">
      <w:pPr>
        <w:pStyle w:val="aff9"/>
      </w:pPr>
      <w:r>
        <w:rPr>
          <w:rStyle w:val="aff8"/>
        </w:rPr>
        <w:footnoteRef/>
      </w:r>
      <w:r>
        <w:t xml:space="preserve"> Tadqiqot natijasida muallif tomonidan 3.1.3 va 3.1.5-jadvallar ma’lumotlari asosida hisoblandi.</w:t>
      </w:r>
    </w:p>
  </w:footnote>
  <w:footnote w:id="41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5">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6">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7">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8">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20">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3">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4">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5">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6">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7">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“SNS” reyting agentligi bazasi va Markaziy bank statistikasi asosida hisoblandi.</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w:t>
      </w:r>
      <w:r>
        <w:rPr>
          <w:color w:val="FF0000"/>
        </w:rPr>
        <w:t xml:space="preserve">“O‘zsanoatqurilishbank”, “Mikrokreditbank”, “Biznesni rivojlantirish banki”, “Xalq banki” va “Ipoteka-bank” ATBlarining 2021–2025-yillardagi MHXS bo‘yicha moliyaviy hisobotlari va “SNS” reyting agentligi bazasi asosida hisoblandi.</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 Id="rId51" Type="http://schemas.openxmlformats.org/officeDocument/2006/relationships/chart" Target="charts/chart30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_rels/chart301.xml.rels><?xml version='1.0' encoding='UTF-8' standalone='yes'?>
<Relationships xmlns="http://schemas.openxmlformats.org/package/2006/relationships"><Relationship Id="rId1" Type="http://schemas.openxmlformats.org/officeDocument/2006/relationships/package" Target="../embeddings/Microsoft_Excel_Worksheet30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Qoldiriladigan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ser>
          <c:idx val="2"/>
          <c:order val="2"/>
          <c:tx>
            <c:strRef>
              <c:f>Sheet1!$F$1</c:f>
              <c:strCache>
                <c:ptCount val="1"/>
                <c:pt idx="0">
                  <c:v>Pog‘ona darajasi</c:v>
                </c:pt>
              </c:strCache>
            </c:strRef>
          </c:tx>
          <c:spPr>
            <a:ln>
              <a:noFill/>
            </a:ln>
          </c:spPr>
          <c:marker>
            <c:symbol val="none"/>
          </c:marker>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100 %</a:t>
                    </a:r>
                  </a:p>
                </c:rich>
              </c:tx>
              <c:spPr>
                <a:noFill/>
                <a:ln>
                  <a:noFill/>
                </a:ln>
              </c:spPr>
              <c:dLblPos val="t"/>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80 %</a:t>
                    </a:r>
                  </a:p>
                </c:rich>
              </c:tx>
              <c:spPr>
                <a:noFill/>
                <a:ln>
                  <a:noFill/>
                </a:ln>
              </c:spPr>
              <c:dLblPos val="t"/>
              <c:showLegendKey val="0"/>
              <c:showVal val="1"/>
              <c:showCatName val="0"/>
              <c:showSerName val="0"/>
              <c:showPercent val="0"/>
              <c:showBubbleSize val="0"/>
            </c:dLbl>
            <c:dLbl>
              <c:idx val="2"/>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60 %</a:t>
                    </a:r>
                  </a:p>
                </c:rich>
              </c:tx>
              <c:spPr>
                <a:noFill/>
                <a:ln>
                  <a:noFill/>
                </a:ln>
              </c:spPr>
              <c:dLblPos val="t"/>
              <c:showLegendKey val="0"/>
              <c:showVal val="1"/>
              <c:showCatName val="0"/>
              <c:showSerName val="0"/>
              <c:showPercent val="0"/>
              <c:showBubbleSize val="0"/>
            </c:dLbl>
            <c:dLbl>
              <c:idx val="3"/>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40 %</a:t>
                    </a:r>
                  </a:p>
                </c:rich>
              </c:tx>
              <c:spPr>
                <a:noFill/>
                <a:ln>
                  <a:noFill/>
                </a:ln>
              </c:spPr>
              <c:dLblPos val="t"/>
              <c:showLegendKey val="0"/>
              <c:showVal val="1"/>
              <c:showCatName val="0"/>
              <c:showSerName val="0"/>
              <c:showPercent val="0"/>
              <c:showBubbleSize val="0"/>
            </c:dLbl>
            <c:dLbl>
              <c:idx val="4"/>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0 %</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Sheet1!$E$2:$E$6</c:f>
              <c:numCache>
                <c:formatCode>General</c:formatCode>
                <c:ptCount val="5"/>
                <c:pt idx="0">
                  <c:v>4.8125</c:v>
                </c:pt>
                <c:pt idx="1">
                  <c:v>5.4375</c:v>
                </c:pt>
                <c:pt idx="2">
                  <c:v>6.0625</c:v>
                </c:pt>
                <c:pt idx="3">
                  <c:v>6.6875</c:v>
                </c:pt>
                <c:pt idx="4">
                  <c:v>7.3125</c:v>
                </c:pt>
              </c:numCache>
            </c:numRef>
          </c:xVal>
          <c:yVal>
            <c:numRef>
              <c:f>Sheet1!$F$2:$F$6</c:f>
              <c:numCache>
                <c:formatCode>General</c:formatCode>
                <c:ptCount val="5"/>
                <c:pt idx="0">
                  <c:v>100</c:v>
                </c:pt>
                <c:pt idx="1">
                  <c:v>80</c:v>
                </c:pt>
                <c:pt idx="2">
                  <c:v>60</c:v>
                </c:pt>
                <c:pt idx="3">
                  <c:v>40</c:v>
                </c:pt>
                <c:pt idx="4">
                  <c:v>0</c:v>
                </c:pt>
              </c:numCache>
            </c:numRef>
          </c:yVal>
          <c:smooth val="0"/>
        </c:ser>
        <c:ser>
          <c:idx val="3"/>
          <c:order val="3"/>
          <c:tx>
            <c:strRef>
              <c:f>Sheet1!$H$1</c:f>
              <c:strCache>
                <c:ptCount val="1"/>
                <c:pt idx="0">
                  <c:v>X qiymatlari</c:v>
                </c:pt>
              </c:strCache>
            </c:strRef>
          </c:tx>
          <c:spPr>
            <a:ln>
              <a:noFill/>
            </a:ln>
          </c:spPr>
          <c:marker>
            <c:symbol val="none"/>
          </c:marker>
          <c:dLbls>
            <c:dLbl>
              <c:idx val="0"/>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4,5</a:t>
                    </a:r>
                  </a:p>
                </c:rich>
              </c:tx>
              <c:spPr>
                <a:noFill/>
                <a:ln>
                  <a:noFill/>
                </a:ln>
              </c:spPr>
              <c:dLblPos val="b"/>
              <c:showLegendKey val="0"/>
              <c:showVal val="1"/>
              <c:showCatName val="0"/>
              <c:showSerName val="0"/>
              <c:showPercent val="0"/>
              <c:showBubbleSize val="0"/>
            </c:dLbl>
            <c:dLbl>
              <c:idx val="1"/>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5,125</a:t>
                    </a:r>
                  </a:p>
                </c:rich>
              </c:tx>
              <c:spPr>
                <a:noFill/>
                <a:ln>
                  <a:noFill/>
                </a:ln>
              </c:spPr>
              <c:dLblPos val="b"/>
              <c:showLegendKey val="0"/>
              <c:showVal val="1"/>
              <c:showCatName val="0"/>
              <c:showSerName val="0"/>
              <c:showPercent val="0"/>
              <c:showBubbleSize val="0"/>
            </c:dLbl>
            <c:dLbl>
              <c:idx val="2"/>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5,75</a:t>
                    </a:r>
                  </a:p>
                </c:rich>
              </c:tx>
              <c:spPr>
                <a:noFill/>
                <a:ln>
                  <a:noFill/>
                </a:ln>
              </c:spPr>
              <c:dLblPos val="b"/>
              <c:showLegendKey val="0"/>
              <c:showVal val="1"/>
              <c:showCatName val="0"/>
              <c:showSerName val="0"/>
              <c:showPercent val="0"/>
              <c:showBubbleSize val="0"/>
            </c:dLbl>
            <c:dLbl>
              <c:idx val="3"/>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6,375</a:t>
                    </a:r>
                  </a:p>
                </c:rich>
              </c:tx>
              <c:spPr>
                <a:noFill/>
                <a:ln>
                  <a:noFill/>
                </a:ln>
              </c:spPr>
              <c:dLblPos val="b"/>
              <c:showLegendKey val="0"/>
              <c:showVal val="1"/>
              <c:showCatName val="0"/>
              <c:showSerName val="0"/>
              <c:showPercent val="0"/>
              <c:showBubbleSize val="0"/>
            </c:dLbl>
            <c:dLbl>
              <c:idx val="4"/>
              <c:tx>
                <c:rich>
                  <a:bodyPr/>
                  <a:lstStyle/>
                  <a:p>
                    <a:pPr>
                      <a:defRPr sz="1100" b="0">
                        <a:solidFill>
                          <a:srgbClr val="000000"/>
                        </a:solidFill>
                        <a:latin typeface="Times New Roman"/>
                        <a:cs typeface="Times New Roman"/>
                      </a:defRPr>
                    </a:pPr>
                    <a:r>
                      <a:rPr lang="uz-Latn-UZ" sz="1100" b="0">
                        <a:solidFill>
                          <a:srgbClr val="000000"/>
                        </a:solidFill>
                        <a:latin typeface="Times New Roman"/>
                        <a:cs typeface="Times New Roman"/>
                      </a:rPr>
                      <a:t>7,0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xVal>
            <c:numRef>
              <c:f>Sheet1!$G$2:$G$6</c:f>
              <c:numCache>
                <c:formatCode>General</c:formatCode>
                <c:ptCount val="5"/>
                <c:pt idx="0">
                  <c:v>4.5</c:v>
                </c:pt>
                <c:pt idx="1">
                  <c:v>5.125</c:v>
                </c:pt>
                <c:pt idx="2">
                  <c:v>5.75</c:v>
                </c:pt>
                <c:pt idx="3">
                  <c:v>6.375</c:v>
                </c:pt>
                <c:pt idx="4">
                  <c:v>7.0</c:v>
                </c:pt>
              </c:numCache>
            </c:numRef>
          </c:xVal>
          <c:yVal>
            <c:numRef>
              <c:f>Sheet1!$H$2:$H$6</c:f>
              <c:numCache>
                <c:formatCode>General</c:formatCode>
                <c:ptCount val="5"/>
                <c:pt idx="0">
                  <c:v>0</c:v>
                </c:pt>
                <c:pt idx="1">
                  <c:v>0</c:v>
                </c:pt>
                <c:pt idx="2">
                  <c:v>0</c:v>
                </c:pt>
                <c:pt idx="3">
                  <c:v>0</c:v>
                </c:pt>
                <c:pt idx="4">
                  <c:v>0</c:v>
                </c:pt>
              </c:numCache>
            </c:numRef>
          </c:yVal>
          <c:smooth val="0"/>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legendEntry>
        <c:idx val="2"/>
        <c:delete val="1"/>
      </c:legendEntry>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 sifati</c:v>
                </c:pt>
              </c:strCache>
            </c:strRef>
          </c:tx>
          <c:spPr>
            <a:solidFill>
              <a:srgbClr val="1F4E79"/>
            </a:solidFill>
            <a:ln w="6350">
              <a:solidFill>
                <a:srgbClr val="FFFFFF"/>
              </a:solidFill>
            </a:ln>
          </c:spPr>
          <c:invertIfNegative val="0"/>
          <c:dLbls>
            <c:dLbl>
              <c:idx val="0"/>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+195,7</a:t>
                    </a:r>
                  </a:p>
                </c:rich>
              </c:tx>
              <c:spPr>
                <a:noFill/>
                <a:ln>
                  <a:noFill/>
                </a:ln>
              </c:spPr>
              <c:dLblPos val="outEnd"/>
              <c:showLegendKey val="0"/>
              <c:showVal val="1"/>
              <c:showCatName val="0"/>
              <c:showSerName val="0"/>
              <c:showPercent val="0"/>
              <c:showBubbleSize val="0"/>
            </c:dLbl>
            <c:dLbl>
              <c:idx val="1"/>
              <c:tx>
                <c:rich>
                  <a:bodyPr/>
                  <a:lstStyle/>
                  <a:p>
                    <a:pPr>
                      <a:defRPr sz="1050" b="1">
                        <a:solidFill>
                          <a:srgbClr val="1F4E79"/>
                        </a:solidFill>
                        <a:latin typeface="Times New Roman"/>
                        <a:cs typeface="Times New Roman"/>
                      </a:defRPr>
                    </a:pPr>
                    <a:r>
                      <a:rPr lang="uz-Latn-UZ" sz="1050" b="1">
                        <a:solidFill>
                          <a:srgbClr val="1F4E79"/>
                        </a:solidFill>
                        <a:latin typeface="Times New Roman"/>
                        <a:cs typeface="Times New Roman"/>
                      </a:rPr>
                      <a:t>+44,2</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Sheet1!$B$2:$B$8</c:f>
              <c:numCache>
                <c:formatCode>General</c:formatCode>
                <c:ptCount val="7"/>
                <c:pt idx="0">
                  <c:v>195.7</c:v>
                </c:pt>
                <c:pt idx="1">
                  <c:v>44.2</c:v>
                </c:pt>
              </c:numCache>
            </c:numRef>
          </c:val>
        </c:ser>
        <c:ser>
          <c:idx val="1"/>
          <c:order val="1"/>
          <c:tx>
            <c:strRef>
              <c:f>Sheet1!$C$1</c:f>
              <c:strCache>
                <c:ptCount val="1"/>
                <c:pt idx="0">
                  <c:v>Daromadlilik</c:v>
                </c:pt>
              </c:strCache>
            </c:strRef>
          </c:tx>
          <c:spPr>
            <a:solidFill>
              <a:srgbClr val="C55A11"/>
            </a:solidFill>
            <a:ln w="6350">
              <a:solidFill>
                <a:srgbClr val="FFFFFF"/>
              </a:solidFill>
            </a:ln>
          </c:spPr>
          <c:invertIfNegative val="0"/>
          <c:dLbls>
            <c:dLbl>
              <c:idx val="2"/>
              <c:tx>
                <c:rich>
                  <a:bodyPr/>
                  <a:lstStyle/>
                  <a:p>
                    <a:pPr>
                      <a:defRPr sz="1050" b="1">
                        <a:solidFill>
                          <a:srgbClr val="C55A11"/>
                        </a:solidFill>
                        <a:latin typeface="Times New Roman"/>
                        <a:cs typeface="Times New Roman"/>
                      </a:defRPr>
                    </a:pPr>
                    <a:r>
                      <a:rPr lang="uz-Latn-UZ" sz="1050" b="1">
                        <a:solidFill>
                          <a:srgbClr val="C55A11"/>
                        </a:solidFill>
                        <a:latin typeface="Times New Roman"/>
                        <a:cs typeface="Times New Roman"/>
                      </a:rPr>
                      <a:t>−17,9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Sheet1!$C$2:$C$8</c:f>
              <c:numCache>
                <c:formatCode>General</c:formatCode>
                <c:ptCount val="7"/>
                <c:pt idx="2">
                  <c:v>-17.9</c:v>
                </c:pt>
              </c:numCache>
            </c:numRef>
          </c:val>
        </c:ser>
        <c:ser>
          <c:idx val="2"/>
          <c:order val="2"/>
          <c:tx>
            <c:strRef>
              <c:f>Sheet1!$D$1</c:f>
              <c:strCache>
                <c:ptCount val="1"/>
                <c:pt idx="0">
                  <c:v>Kapital</c:v>
                </c:pt>
              </c:strCache>
            </c:strRef>
          </c:tx>
          <c:spPr>
            <a:solidFill>
              <a:srgbClr val="548235"/>
            </a:solidFill>
            <a:ln w="6350">
              <a:solidFill>
                <a:srgbClr val="FFFFFF"/>
              </a:solidFill>
            </a:ln>
          </c:spPr>
          <c:invertIfNegative val="0"/>
          <c:dLbls>
            <c:dLbl>
              <c:idx val="3"/>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−13,5</a:t>
                    </a:r>
                  </a:p>
                </c:rich>
              </c:tx>
              <c:spPr>
                <a:noFill/>
                <a:ln>
                  <a:noFill/>
                </a:ln>
              </c:spPr>
              <c:dLblPos val="outEnd"/>
              <c:showLegendKey val="0"/>
              <c:showVal val="1"/>
              <c:showCatName val="0"/>
              <c:showSerName val="0"/>
              <c:showPercent val="0"/>
              <c:showBubbleSize val="0"/>
            </c:dLbl>
            <c:dLbl>
              <c:idx val="4"/>
              <c:tx>
                <c:rich>
                  <a:bodyPr/>
                  <a:lstStyle/>
                  <a:p>
                    <a:pPr>
                      <a:defRPr sz="1050" b="1">
                        <a:solidFill>
                          <a:srgbClr val="548235"/>
                        </a:solidFill>
                        <a:latin typeface="Times New Roman"/>
                        <a:cs typeface="Times New Roman"/>
                      </a:defRPr>
                    </a:pPr>
                    <a:r>
                      <a:rPr lang="uz-Latn-UZ" sz="1050" b="1">
                        <a:solidFill>
                          <a:srgbClr val="548235"/>
                        </a:solidFill>
                        <a:latin typeface="Times New Roman"/>
                        <a:cs typeface="Times New Roman"/>
                      </a:rPr>
                      <a:t>−13,1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Sheet1!$D$2:$D$8</c:f>
              <c:numCache>
                <c:formatCode>General</c:formatCode>
                <c:ptCount val="7"/>
                <c:pt idx="3">
                  <c:v>-13.5</c:v>
                </c:pt>
                <c:pt idx="4">
                  <c:v>-13.1</c:v>
                </c:pt>
              </c:numCache>
            </c:numRef>
          </c:val>
        </c:ser>
        <c:ser>
          <c:idx val="3"/>
          <c:order val="3"/>
          <c:tx>
            <c:strRef>
              <c:f>Sheet1!$E$1</c:f>
              <c:strCache>
                <c:ptCount val="1"/>
                <c:pt idx="0">
                  <c:v>Likvidlik</c:v>
                </c:pt>
              </c:strCache>
            </c:strRef>
          </c:tx>
          <c:spPr>
            <a:solidFill>
              <a:srgbClr val="7F6000"/>
            </a:solidFill>
            <a:ln w="6350">
              <a:solidFill>
                <a:srgbClr val="FFFFFF"/>
              </a:solidFill>
            </a:ln>
          </c:spPr>
          <c:invertIfNegative val="0"/>
          <c:dLbls>
            <c:dLbl>
              <c:idx val="5"/>
              <c:tx>
                <c:rich>
                  <a:bodyPr/>
                  <a:lstStyle/>
                  <a:p>
                    <a:pPr>
                      <a:defRPr sz="1050" b="1">
                        <a:solidFill>
                          <a:srgbClr val="7F6000"/>
                        </a:solidFill>
                        <a:latin typeface="Times New Roman"/>
                        <a:cs typeface="Times New Roman"/>
                      </a:defRPr>
                    </a:pPr>
                    <a:r>
                      <a:rPr lang="uz-Latn-UZ" sz="1050" b="1">
                        <a:solidFill>
                          <a:srgbClr val="7F6000"/>
                        </a:solidFill>
                        <a:latin typeface="Times New Roman"/>
                        <a:cs typeface="Times New Roman"/>
                      </a:rPr>
                      <a:t>+2,1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Sheet1!$E$2:$E$8</c:f>
              <c:numCache>
                <c:formatCode>General</c:formatCode>
                <c:ptCount val="7"/>
                <c:pt idx="5">
                  <c:v>2.1</c:v>
                </c:pt>
              </c:numCache>
            </c:numRef>
          </c:val>
        </c:ser>
        <c:ser>
          <c:idx val="4"/>
          <c:order val="4"/>
          <c:tx>
            <c:strRef>
              <c:f>Sheet1!$F$1</c:f>
              <c:strCache>
                <c:ptCount val="1"/>
                <c:pt idx="0">
                  <c:v>Balans hajmi</c:v>
                </c:pt>
              </c:strCache>
            </c:strRef>
          </c:tx>
          <c:spPr>
            <a:solidFill>
              <a:srgbClr val="7F7F7F"/>
            </a:solidFill>
            <a:ln w="6350">
              <a:solidFill>
                <a:srgbClr val="FFFFFF"/>
              </a:solidFill>
            </a:ln>
          </c:spPr>
          <c:invertIfNegative val="0"/>
          <c:dLbls>
            <c:dLbl>
              <c:idx val="6"/>
              <c:tx>
                <c:rich>
                  <a:bodyPr/>
                  <a:lstStyle/>
                  <a:p>
                    <a:pPr>
                      <a:defRPr sz="1050" b="1">
                        <a:solidFill>
                          <a:srgbClr val="7F7F7F"/>
                        </a:solidFill>
                        <a:latin typeface="Times New Roman"/>
                        <a:cs typeface="Times New Roman"/>
                      </a:defRPr>
                    </a:pPr>
                    <a:r>
                      <a:rPr lang="uz-Latn-UZ" sz="1050" b="1">
                        <a:solidFill>
                          <a:srgbClr val="7F7F7F"/>
                        </a:solidFill>
                        <a:latin typeface="Times New Roman"/>
                        <a:cs typeface="Times New Roman"/>
                      </a:rPr>
                      <a:t>−5,1</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Sheet1!$A$2:$A$8</c:f>
              <c:strCache>
                <c:ptCount val="7"/>
                <c:pt idx="0">
                  <c:v>Muammoli kreditlar ulushi</c:v>
                </c:pt>
                <c:pt idx="1">
                  <c:v>Kredit zaxiralari</c:v>
                </c:pt>
                <c:pt idx="2">
                  <c:v>Sof foyda</c:v>
                </c:pt>
                <c:pt idx="3">
                  <c:v>Xususiy kapital</c:v>
                </c:pt>
                <c:pt idx="4">
                  <c:v>CET1 monandligi</c:v>
                </c:pt>
                <c:pt idx="5">
                  <c:v>NSFR me’yori</c:v>
                </c:pt>
                <c:pt idx="6">
                  <c:v>Jami aktivlar</c:v>
                </c:pt>
              </c:strCache>
            </c:strRef>
          </c:cat>
          <c:val>
            <c:numRef>
              <c:f>Sheet1!$F$2:$F$8</c:f>
              <c:numCache>
                <c:formatCode>General</c:formatCode>
                <c:ptCount val="7"/>
                <c:pt idx="6">
                  <c:v>-5.1</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91,7</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76,9</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71,5</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78,1</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76,1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78,9</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c:v>
                </c:pt>
                <c:pt idx="2">
                  <c:v>71.5</c:v>
                </c:pt>
                <c:pt idx="3">
                  <c:v>78.1</c:v>
                </c:pt>
                <c:pt idx="4">
                  <c:v>76.1</c:v>
                </c:pt>
                <c:pt idx="5">
                  <c:v>78.9</c:v>
                </c:pt>
              </c:numCache>
            </c:numRef>
          </c:val>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dLbl>
              <c:idx val="0"/>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57,0</a:t>
                    </a:r>
                  </a:p>
                </c:rich>
              </c:tx>
              <c:spPr>
                <a:noFill/>
                <a:ln>
                  <a:noFill/>
                </a:ln>
              </c:spPr>
              <c:dLblPos val="outEnd"/>
              <c:showLegendKey val="0"/>
              <c:showVal val="1"/>
              <c:showCatName val="0"/>
              <c:showSerName val="0"/>
              <c:showPercent val="0"/>
              <c:showBubbleSize val="0"/>
            </c:dLbl>
            <c:dLbl>
              <c:idx val="1"/>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52,7</a:t>
                    </a:r>
                  </a:p>
                </c:rich>
              </c:tx>
              <c:spPr>
                <a:noFill/>
                <a:ln>
                  <a:noFill/>
                </a:ln>
              </c:spPr>
              <c:dLblPos val="outEnd"/>
              <c:showLegendKey val="0"/>
              <c:showVal val="1"/>
              <c:showCatName val="0"/>
              <c:showSerName val="0"/>
              <c:showPercent val="0"/>
              <c:showBubbleSize val="0"/>
            </c:dLbl>
            <c:dLbl>
              <c:idx val="2"/>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58,6</a:t>
                    </a:r>
                  </a:p>
                </c:rich>
              </c:tx>
              <c:spPr>
                <a:noFill/>
                <a:ln>
                  <a:noFill/>
                </a:ln>
              </c:spPr>
              <c:dLblPos val="outEnd"/>
              <c:showLegendKey val="0"/>
              <c:showVal val="1"/>
              <c:showCatName val="0"/>
              <c:showSerName val="0"/>
              <c:showPercent val="0"/>
              <c:showBubbleSize val="0"/>
            </c:dLbl>
            <c:dLbl>
              <c:idx val="3"/>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57,7</a:t>
                    </a:r>
                  </a:p>
                </c:rich>
              </c:tx>
              <c:spPr>
                <a:noFill/>
                <a:ln>
                  <a:noFill/>
                </a:ln>
              </c:spPr>
              <c:dLblPos val="outEnd"/>
              <c:showLegendKey val="0"/>
              <c:showVal val="1"/>
              <c:showCatName val="0"/>
              <c:showSerName val="0"/>
              <c:showPercent val="0"/>
              <c:showBubbleSize val="0"/>
            </c:dLbl>
            <c:dLbl>
              <c:idx val="4"/>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53,1</a:t>
                    </a:r>
                  </a:p>
                </c:rich>
              </c:tx>
              <c:spPr>
                <a:noFill/>
                <a:ln>
                  <a:noFill/>
                </a:ln>
              </c:spPr>
              <c:dLblPos val="outEnd"/>
              <c:showLegendKey val="0"/>
              <c:showVal val="1"/>
              <c:showCatName val="0"/>
              <c:showSerName val="0"/>
              <c:showPercent val="0"/>
              <c:showBubbleSize val="0"/>
            </c:dLbl>
            <c:dLbl>
              <c:idx val="5"/>
              <c:tx>
                <c:rich>
                  <a:bodyPr wrap="none"/>
                  <a:lstStyle/>
                  <a:p>
                    <a:pPr>
                      <a:defRPr sz="1000" b="1">
                        <a:solidFill>
                          <a:srgbClr val="000000"/>
                        </a:solidFill>
                        <a:latin typeface="Times New Roman"/>
                        <a:cs typeface="Times New Roman"/>
                      </a:defRPr>
                    </a:pPr>
                    <a:r>
                      <a:rPr lang="uz-Latn-UZ" sz="1000" b="1">
                        <a:solidFill>
                          <a:srgbClr val="000000"/>
                        </a:solidFill>
                        <a:latin typeface="Times New Roman"/>
                        <a:cs typeface="Times New Roman"/>
                      </a:rPr>
                      <a:t>55,8</a:t>
                    </a:r>
                  </a:p>
                </c:rich>
              </c:tx>
              <c:spPr>
                <a:noFill/>
                <a:ln>
                  <a:noFill/>
                </a:ln>
              </c:spPr>
              <c:dLblPos val="outEnd"/>
              <c:showLegendKey val="0"/>
              <c:showVal val="1"/>
              <c:showCatName val="0"/>
              <c:showSerName val="0"/>
              <c:showPercent val="0"/>
              <c:showBubbleSize val="0"/>
            </c:dLbl>
            <c:showLegendKey val="0"/>
            <c:showVal val="0"/>
            <c:showCatName val="0"/>
            <c:showSerName val="0"/>
            <c:showPercent val="0"/>
            <c:showBubbleSize val="0"/>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57.0</c:v>
                </c:pt>
                <c:pt idx="1">
                  <c:v>52.7</c:v>
                </c:pt>
                <c:pt idx="2">
                  <c:v>58.6</c:v>
                </c:pt>
                <c:pt idx="3">
                  <c:v>57.7</c:v>
                </c:pt>
                <c:pt idx="4">
                  <c:v>53.1</c:v>
                </c:pt>
                <c:pt idx="5">
                  <c:v>55.8</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manualLayout>
          <c:layoutTarget val="inner"/>
          <c:xMode val="edge"/>
          <c:yMode val="edge"/>
          <c:x val="0.11"/>
          <c:y val="0.04"/>
          <c:w val="0.8"/>
          <c:h val="0.84"/>
        </c:manualLayout>
      </c:layout>
      <c:lineChart>
        <c:grouping val="standard"/>
        <c:varyColors val="0"/>
        <c:ser>
          <c:idx val="0"/>
          <c:order val="0"/>
          <c:tx>
            <c:strRef>
              <c:f>Sheet1!$B$1</c:f>
              <c:strCache>
                <c:ptCount val="1"/>
                <c:pt idx="0">
                  <c:v>“O‘zsanoatqurilishbank”: milliy hisobot</c:v>
                </c:pt>
              </c:strCache>
            </c:strRef>
          </c:tx>
          <c:spPr>
            <a:ln w="28575">
              <a:solidFill>
                <a:srgbClr val="2A78D6"/>
              </a:solidFill>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Sheet1!$B$2:$B$6</c:f>
              <c:numCache>
                <c:formatCode>0.00</c:formatCode>
                <c:ptCount val="5"/>
                <c:pt idx="0">
                  <c:v>3.29</c:v>
                </c:pt>
                <c:pt idx="1">
                  <c:v>3.13</c:v>
                </c:pt>
                <c:pt idx="2">
                  <c:v>3.14</c:v>
                </c:pt>
                <c:pt idx="3">
                  <c:v>3.09</c:v>
                </c:pt>
                <c:pt idx="4">
                  <c:v>3.27</c:v>
                </c:pt>
              </c:numCache>
            </c:numRef>
          </c:val>
          <c:smooth val="0"/>
        </c:ser>
        <c:ser>
          <c:idx val="1"/>
          <c:order val="1"/>
          <c:tx>
            <c:strRef>
              <c:f>Sheet1!$C$1</c:f>
              <c:strCache>
                <c:ptCount val="1"/>
                <c:pt idx="0">
                  <c:v>“O‘zsanoatqurilishbank”: MHXS</c:v>
                </c:pt>
              </c:strCache>
            </c:strRef>
          </c:tx>
          <c:spPr>
            <a:ln w="28575">
              <a:solidFill>
                <a:srgbClr val="2A78D6"/>
              </a:solidFill>
              <a:prstDash val="dash"/>
            </a:ln>
          </c:spPr>
          <c:marker>
            <c:symbol val="circle"/>
            <c:size val="5"/>
            <c:spPr>
              <a:solidFill>
                <a:srgbClr val="2A78D6"/>
              </a:solidFill>
              <a:ln>
                <a:noFill/>
              </a:ln>
            </c:spPr>
          </c:marker>
          <c:cat>
            <c:strRef>
              <c:f>Sheet1!$A$2:$A$6</c:f>
              <c:strCache>
                <c:ptCount val="5"/>
                <c:pt idx="0">
                  <c:v>2021</c:v>
                </c:pt>
                <c:pt idx="1">
                  <c:v>2022</c:v>
                </c:pt>
                <c:pt idx="2">
                  <c:v>2023</c:v>
                </c:pt>
                <c:pt idx="3">
                  <c:v>2024</c:v>
                </c:pt>
                <c:pt idx="4">
                  <c:v>2025</c:v>
                </c:pt>
              </c:strCache>
            </c:strRef>
          </c:cat>
          <c:val>
            <c:numRef>
              <c:f>Sheet1!$C$2:$C$6</c:f>
              <c:numCache>
                <c:formatCode>0.00</c:formatCode>
                <c:ptCount val="5"/>
                <c:pt idx="0">
                  <c:v>2.92</c:v>
                </c:pt>
                <c:pt idx="1">
                  <c:v>2.81</c:v>
                </c:pt>
                <c:pt idx="2">
                  <c:v>2.91</c:v>
                </c:pt>
                <c:pt idx="3">
                  <c:v>2.72</c:v>
                </c:pt>
                <c:pt idx="4">
                  <c:v>2.81</c:v>
                </c:pt>
              </c:numCache>
            </c:numRef>
          </c:val>
          <c:smooth val="0"/>
        </c:ser>
        <c:ser>
          <c:idx val="2"/>
          <c:order val="2"/>
          <c:tx>
            <c:strRef>
              <c:f>Sheet1!$D$1</c:f>
              <c:strCache>
                <c:ptCount val="1"/>
                <c:pt idx="0">
                  <c:v>“Mikrokreditbank”: milliy hisobot</c:v>
                </c:pt>
              </c:strCache>
            </c:strRef>
          </c:tx>
          <c:spPr>
            <a:ln w="28575">
              <a:solidFill>
                <a:srgbClr val="EB6834"/>
              </a:solidFill>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Sheet1!$D$2:$D$6</c:f>
              <c:numCache>
                <c:formatCode>0.00</c:formatCode>
                <c:ptCount val="5"/>
                <c:pt idx="0">
                  <c:v>2.81</c:v>
                </c:pt>
                <c:pt idx="1">
                  <c:v>2.79</c:v>
                </c:pt>
                <c:pt idx="2">
                  <c:v>2.65</c:v>
                </c:pt>
                <c:pt idx="3">
                  <c:v>2.78</c:v>
                </c:pt>
                <c:pt idx="4">
                  <c:v>3.13</c:v>
                </c:pt>
              </c:numCache>
            </c:numRef>
          </c:val>
          <c:smooth val="0"/>
        </c:ser>
        <c:ser>
          <c:idx val="3"/>
          <c:order val="3"/>
          <c:tx>
            <c:strRef>
              <c:f>Sheet1!$E$1</c:f>
              <c:strCache>
                <c:ptCount val="1"/>
                <c:pt idx="0">
                  <c:v>“Mikrokreditbank”: MHXS</c:v>
                </c:pt>
              </c:strCache>
            </c:strRef>
          </c:tx>
          <c:spPr>
            <a:ln w="28575">
              <a:solidFill>
                <a:srgbClr val="EB6834"/>
              </a:solidFill>
              <a:prstDash val="dash"/>
            </a:ln>
          </c:spPr>
          <c:marker>
            <c:symbol val="circle"/>
            <c:size val="5"/>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Sheet1!$E$2:$E$6</c:f>
              <c:numCache>
                <c:formatCode>0.00</c:formatCode>
                <c:ptCount val="5"/>
                <c:pt idx="0">
                  <c:v>2.18</c:v>
                </c:pt>
                <c:pt idx="1">
                  <c:v>2.31</c:v>
                </c:pt>
                <c:pt idx="2">
                  <c:v>2.22</c:v>
                </c:pt>
                <c:pt idx="3">
                  <c:v>2.25</c:v>
                </c:pt>
                <c:pt idx="4">
                  <c:v>2.47</c:v>
                </c:pt>
              </c:numCache>
            </c:numRef>
          </c:val>
          <c:smooth val="0"/>
        </c:ser>
        <c:ser>
          <c:idx val="4"/>
          <c:order val="4"/>
          <c:tx>
            <c:strRef>
              <c:f>Sheet1!$F$1</c:f>
              <c:strCache>
                <c:ptCount val="1"/>
                <c:pt idx="0">
                  <c:v>“Aloqabank”: milliy hisobot</c:v>
                </c:pt>
              </c:strCache>
            </c:strRef>
          </c:tx>
          <c:spPr>
            <a:ln w="28575">
              <a:solidFill>
                <a:srgbClr val="548235"/>
              </a:solidFill>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Sheet1!$F$2:$F$6</c:f>
              <c:numCache>
                <c:formatCode>0.00</c:formatCode>
                <c:ptCount val="5"/>
                <c:pt idx="0">
                  <c:v>3.32</c:v>
                </c:pt>
                <c:pt idx="1">
                  <c:v>3.52</c:v>
                </c:pt>
                <c:pt idx="2">
                  <c:v>3.58</c:v>
                </c:pt>
                <c:pt idx="3">
                  <c:v>3.53</c:v>
                </c:pt>
                <c:pt idx="4">
                  <c:v>3.25</c:v>
                </c:pt>
              </c:numCache>
            </c:numRef>
          </c:val>
          <c:smooth val="0"/>
        </c:ser>
        <c:ser>
          <c:idx val="5"/>
          <c:order val="5"/>
          <c:tx>
            <c:strRef>
              <c:f>Sheet1!$G$1</c:f>
              <c:strCache>
                <c:ptCount val="1"/>
                <c:pt idx="0">
                  <c:v>“Aloqabank”: MHXS</c:v>
                </c:pt>
              </c:strCache>
            </c:strRef>
          </c:tx>
          <c:spPr>
            <a:ln w="28575">
              <a:solidFill>
                <a:srgbClr val="548235"/>
              </a:solidFill>
              <a:prstDash val="dash"/>
            </a:ln>
          </c:spPr>
          <c:marker>
            <c:symbol val="circle"/>
            <c:size val="5"/>
            <c:spPr>
              <a:solidFill>
                <a:srgbClr val="548235"/>
              </a:solidFill>
              <a:ln>
                <a:noFill/>
              </a:ln>
            </c:spPr>
          </c:marker>
          <c:cat>
            <c:strRef>
              <c:f>Sheet1!$A$2:$A$6</c:f>
              <c:strCache>
                <c:ptCount val="5"/>
                <c:pt idx="0">
                  <c:v>2021</c:v>
                </c:pt>
                <c:pt idx="1">
                  <c:v>2022</c:v>
                </c:pt>
                <c:pt idx="2">
                  <c:v>2023</c:v>
                </c:pt>
                <c:pt idx="3">
                  <c:v>2024</c:v>
                </c:pt>
                <c:pt idx="4">
                  <c:v>2025</c:v>
                </c:pt>
              </c:strCache>
            </c:strRef>
          </c:cat>
          <c:val>
            <c:numRef>
              <c:f>Sheet1!$G$2:$G$6</c:f>
              <c:numCache>
                <c:formatCode>0.00</c:formatCode>
                <c:ptCount val="5"/>
                <c:pt idx="0">
                  <c:v>3.01</c:v>
                </c:pt>
                <c:pt idx="1">
                  <c:v>2.97</c:v>
                </c:pt>
                <c:pt idx="2">
                  <c:v>3.17</c:v>
                </c:pt>
                <c:pt idx="3">
                  <c:v>3.1</c:v>
                </c:pt>
                <c:pt idx="4">
                  <c:v>2.78</c:v>
                </c:pt>
              </c:numCache>
            </c:numRef>
          </c:val>
          <c:smooth val="0"/>
        </c:ser>
        <c:ser>
          <c:idx val="6"/>
          <c:order val="6"/>
          <c:tx>
            <c:strRef>
              <c:f>Sheet1!$H$1</c:f>
              <c:strCache>
                <c:ptCount val="1"/>
                <c:pt idx="0">
                  <c:v>I va 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 va II sinflar chegarasi (3,25)</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Sheet1!$H$2:$H$6</c:f>
              <c:numCache>
                <c:formatCode>0.00</c:formatCode>
                <c:ptCount val="5"/>
                <c:pt idx="0">
                  <c:v>3.25</c:v>
                </c:pt>
                <c:pt idx="1">
                  <c:v>3.25</c:v>
                </c:pt>
                <c:pt idx="2">
                  <c:v>3.25</c:v>
                </c:pt>
                <c:pt idx="3">
                  <c:v>3.25</c:v>
                </c:pt>
                <c:pt idx="4">
                  <c:v>3.25</c:v>
                </c:pt>
              </c:numCache>
            </c:numRef>
          </c:val>
          <c:smooth val="0"/>
        </c:ser>
        <c:ser>
          <c:idx val="7"/>
          <c:order val="7"/>
          <c:tx>
            <c:strRef>
              <c:f>Sheet1!$I$1</c:f>
              <c:strCache>
                <c:ptCount val="1"/>
                <c:pt idx="0">
                  <c:v>II va III sinflar chegarasi</c:v>
                </c:pt>
              </c:strCache>
            </c:strRef>
          </c:tx>
          <c:spPr>
            <a:ln w="19050">
              <a:solidFill>
                <a:srgbClr val="C00000"/>
              </a:solidFill>
              <a:prstDash val="sysDash"/>
            </a:ln>
          </c:spPr>
          <c:marker>
            <c:symbol val="none"/>
          </c:marker>
          <c:dLbls>
            <c:dLbl>
              <c:idx val="2"/>
              <c:tx>
                <c:rich>
                  <a:bodyPr wrap="none"/>
                  <a:lstStyle/>
                  <a:p>
                    <a:pPr>
                      <a:defRPr sz="1050" b="1">
                        <a:solidFill>
                          <a:srgbClr val="C00000"/>
                        </a:solidFill>
                        <a:latin typeface="Times New Roman"/>
                        <a:cs typeface="Times New Roman"/>
                      </a:defRPr>
                    </a:pPr>
                    <a:r>
                      <a:rPr lang="uz-Latn-UZ" sz="1050" b="1">
                        <a:solidFill>
                          <a:srgbClr val="C00000"/>
                        </a:solidFill>
                        <a:latin typeface="Times New Roman"/>
                        <a:cs typeface="Times New Roman"/>
                      </a:rPr>
                      <a:t>II va III sinflar chegarasi (2,50)</a:t>
                    </a:r>
                  </a:p>
                </c:rich>
              </c:tx>
              <c:spPr>
                <a:noFill/>
                <a:ln>
                  <a:noFill/>
                </a:ln>
              </c:spPr>
              <c:dLblPos val="b"/>
              <c:showLegendKey val="0"/>
              <c:showVal val="1"/>
              <c:showCatName val="0"/>
              <c:showSerName val="0"/>
              <c:showPercent val="0"/>
              <c:showBubbleSize val="0"/>
            </c:dLbl>
            <c:showLegendKey val="0"/>
            <c:showVal val="0"/>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Sheet1!$I$2:$I$6</c:f>
              <c:numCache>
                <c:formatCode>0.00</c:formatCode>
                <c:ptCount val="5"/>
                <c:pt idx="0">
                  <c:v>2.5</c:v>
                </c:pt>
                <c:pt idx="1">
                  <c:v>2.5</c:v>
                </c:pt>
                <c:pt idx="2">
                  <c:v>2.5</c:v>
                </c:pt>
                <c:pt idx="3">
                  <c:v>2.5</c:v>
                </c:pt>
                <c:pt idx="4">
                  <c:v>2.5</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7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25"/>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Tijorat banklari moliyaviy barqarorligini xalqaro standartlar asosida baholash metodologiyasini takomillashtirish</dc:title>
  <dc:subject/>
  <dc:creator>Maxmudov O.T.</dc:creator>
  <cp:keywords/>
  <dc:description/>
  <cp:lastModifiedBy>Maxmudov O.T.</cp:lastModifiedBy>
  <cp:revision>3</cp:revision>
  <dcterms:created xsi:type="dcterms:W3CDTF">2026-10-12T19:11:00Z</dcterms:created>
  <dcterms:modified xsi:type="dcterms:W3CDTF">2026-10-13T09:52:00Z</dcterms:modified>
  <cp:category/>
</cp:coreProperties>
</file>