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ishtirokidagi banklarning jami aktivlardagi ulushi 2019-yil boshida 84 foizni, 2021-yil oxirida 81 foizni tashkil etgan bo‘lsa, 2024-yilga kelib 67 foizgacha, 2026-yil o‘rtasida esa 62 foizgacha pasaygan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52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izchil kamayib bormoqda, biroq ular hali ham tizimda ustun mavqega ega.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2023-yilda qariyb 20 foizni</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2022–2025-yillarda 36,7–52,6 foizni tashkil etgan</w:t>
      </w:r>
      <w:r>
        <w:rPr>
          <w:rStyle w:val="FootnoteReference"/>
        </w:rPr>
        <w:footnoteReference w:id="43"/>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4"/>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5"/>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7"/>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8"/>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49"/>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0"/>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2"/>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5"/>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7"/>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8"/>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5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World Bank. Republic of Uzbekistan: Financial Sector Assessment. – Washington, DC: World Bank, 2025; Private bank assets in Uzbekistan rise 29% in a year // UzDaily.uz. – 2026. – https://www.uzdaily.uz/en/private-bank-assets-in-uzbekistan-rise-29-in-a-year/</w:t>
      </w:r>
    </w:p>
  </w:footnote>
  <w:footnote w:id="27">
    <w:p>
      <w:pPr>
        <w:pStyle w:val="FootnoteText"/>
      </w:pPr>
      <w:r>
        <w:rPr>
          <w:rStyle w:val="FootnoteReference"/>
        </w:rPr>
        <w:footnoteRef/>
      </w:r>
      <w:r>
        <w:t xml:space="preserve"> </w:t>
      </w:r>
      <w:r>
        <w:t xml:space="preserve">Tadqiqot natijasida muallif tomonidan quyidagi manbalar ma’lumotlari asosida ishlab chiqildi: World Bank. Uzbekistan Financial Sector Reform Project: Project Appraisal Document. Report No. PAD4468. – Washington, DC: World Bank, 2022; World Bank. Republic of Uzbekistan: Financial Sector Assessment. – Washington, DC: World Bank, 2025; Private bank assets in Uzbekistan rise 29% in a year // UzDaily.uz. – 2026. – https://www.uzdaily.uz/en/private-bank-assets-in-uzbekistan-rise-29-in-a-year.</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Financial Stability Report for 2023. – Tashkent, 2024.</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 World Bank. Republic of Uzbekistan: Financial Sector Assessment. – Washington, DC: World Bank, 2025.</w:t>
      </w:r>
    </w:p>
  </w:footnote>
  <w:footnote w:id="4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7">
    <w:p>
      <w:pPr>
        <w:pStyle w:val="FootnoteText"/>
      </w:pPr>
      <w:r>
        <w:rPr>
          <w:rStyle w:val="FootnoteReference"/>
        </w:rPr>
        <w:footnoteRef/>
      </w:r>
      <w:r>
        <w:t xml:space="preserve"> </w:t>
      </w:r>
      <w:r>
        <w:t xml:space="preserve">Tadqiqot natijasida muallif tomonidan 2.2.1-jadval ma’lumotlari asosida ishlab chiqildi.</w:t>
      </w:r>
    </w:p>
  </w:footnote>
  <w:footnote w:id="4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6">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7">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2">
                  <c:v>7.8</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20.0</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2026-10-11T05:30:19Z</dcterms:created>
  <dcterms:modified xsi:type="dcterms:W3CDTF">2026-10-11T05:30:19Z</dcterms:modified>
</cp:coreProperties>
</file>

<file path=docProps/custom.xml><?xml version="1.0" encoding="utf-8"?>
<Properties xmlns="http://schemas.openxmlformats.org/officeDocument/2006/custom-properties" xmlns:vt="http://schemas.openxmlformats.org/officeDocument/2006/docPropsVTypes"/>
</file>