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01.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 xml:space="preserve">DENOV TADBIRKORLIK VA PEDAGOGIKA </w:t>
      </w:r>
      <w:r>
        <w:rPr>
          <w:b/>
        </w:rPr>
        <w:t xml:space="preserve">INSTITUTI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81</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84</w:t>
      </w:r>
    </w:p>
    <w:p w:rsidR="005603EC" w:rsidRDefault="00AB61AC">
      <w:pPr>
        <w:tabs>
          <w:tab w:val="right" w:leader="dot" w:pos="9354"/>
        </w:tabs>
        <w:spacing w:after="80" w:line="240" w:lineRule="auto"/>
        <w:ind w:left="454"/>
      </w:pPr>
      <w:r>
        <w:rPr>
          <w:sz w:val="26"/>
        </w:rPr>
        <w:t xml:space="preserve">2.1-§. </w:t>
      </w:r>
      <w:r>
        <w:rPr>
          <w:sz w:val="26"/>
        </w:rPr>
        <w:t>O‘zbekistonda</w:t>
      </w:r>
      <w:r>
        <w:rPr>
          <w:sz w:val="26"/>
        </w:rPr>
        <w:t xml:space="preserve"> banklar moliyaviy barqarorligini baholashning amaldagi holati va xalqaro standartlarga moslashtirish muammolari</w:t>
      </w:r>
      <w:r>
        <w:rPr>
          <w:sz w:val="26"/>
        </w:rPr>
        <w:tab/>
        <w:t>84</w:t>
      </w:r>
    </w:p>
    <w:p w:rsidR="005603EC" w:rsidRDefault="00AB61AC">
      <w:pPr>
        <w:tabs>
          <w:tab w:val="right" w:leader="dot" w:pos="9354"/>
        </w:tabs>
        <w:spacing w:after="80" w:line="240" w:lineRule="auto"/>
        <w:ind w:left="454"/>
      </w:pPr>
      <w:r>
        <w:rPr>
          <w:sz w:val="26"/>
        </w:rPr>
        <w:t xml:space="preserve">2.2-§. </w:t>
      </w:r>
      <w:r>
        <w:rPr>
          <w:sz w:val="26"/>
        </w:rPr>
        <w:t>O‘zbekiston bank tizimida moliyaviy barqarorlik ko‘rsatkichlari dinamikasining xalqaro standartlar mezonlari bo‘yicha</w:t>
      </w:r>
      <w:r>
        <w:rPr>
          <w:sz w:val="26"/>
        </w:rPr>
        <w:t xml:space="preserve"> tahlili</w:t>
      </w:r>
      <w:r>
        <w:rPr>
          <w:sz w:val="26"/>
        </w:rPr>
        <w:tab/>
        <w:t>97</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115</w:t>
      </w:r>
    </w:p>
    <w:p w:rsidR="005603EC" w:rsidRDefault="00AB61AC">
      <w:pPr>
        <w:tabs>
          <w:tab w:val="right" w:leader="dot" w:pos="9354"/>
        </w:tabs>
        <w:spacing w:after="80" w:line="240" w:lineRule="auto"/>
        <w:ind w:left="454"/>
      </w:pPr>
      <w:r>
        <w:rPr>
          <w:sz w:val="26"/>
        </w:rPr>
        <w:t>II bob bo‘yicha xulosalar</w:t>
      </w:r>
      <w:r>
        <w:rPr>
          <w:sz w:val="26"/>
        </w:rPr>
        <w:tab/>
        <w:t>140</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143</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143</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163</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175</w:t>
      </w:r>
    </w:p>
    <w:p w:rsidR="005603EC" w:rsidRDefault="00AB61AC">
      <w:pPr>
        <w:tabs>
          <w:tab w:val="right" w:leader="dot" w:pos="9354"/>
        </w:tabs>
        <w:spacing w:after="80" w:line="240" w:lineRule="auto"/>
        <w:ind w:left="454"/>
      </w:pPr>
      <w:r>
        <w:rPr>
          <w:sz w:val="26"/>
        </w:rPr>
        <w:t>III bob bo‘yicha xulosalar</w:t>
      </w:r>
      <w:r>
        <w:rPr>
          <w:sz w:val="26"/>
        </w:rPr>
        <w:tab/>
        <w:t>193</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196</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196</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212</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224</w:t>
      </w:r>
    </w:p>
    <w:p w:rsidR="005603EC" w:rsidRDefault="00AB61AC">
      <w:pPr>
        <w:tabs>
          <w:tab w:val="right" w:leader="dot" w:pos="9354"/>
        </w:tabs>
        <w:spacing w:after="80" w:line="240" w:lineRule="auto"/>
        <w:ind w:left="454"/>
      </w:pPr>
      <w:r>
        <w:rPr>
          <w:sz w:val="26"/>
        </w:rPr>
        <w:t>IV bob bo‘yicha xulosalar</w:t>
      </w:r>
      <w:r>
        <w:rPr>
          <w:sz w:val="26"/>
        </w:rPr>
        <w:tab/>
        <w:t>237</w:t>
      </w:r>
    </w:p>
    <w:p w:rsidR="005603EC" w:rsidRDefault="00AB61AC">
      <w:pPr>
        <w:tabs>
          <w:tab w:val="right" w:leader="dot" w:pos="9354"/>
        </w:tabs>
        <w:spacing w:after="80" w:line="240" w:lineRule="auto"/>
      </w:pPr>
      <w:r>
        <w:rPr>
          <w:b/>
          <w:sz w:val="26"/>
        </w:rPr>
        <w:t>XULOSA</w:t>
      </w:r>
      <w:r>
        <w:rPr>
          <w:b/>
          <w:sz w:val="26"/>
        </w:rPr>
        <w:tab/>
        <w:t>240</w:t>
      </w:r>
    </w:p>
    <w:p w:rsidR="005603EC" w:rsidRDefault="00AB61AC">
      <w:pPr>
        <w:tabs>
          <w:tab w:val="right" w:leader="dot" w:pos="9354"/>
        </w:tabs>
        <w:spacing w:after="80" w:line="240" w:lineRule="auto"/>
      </w:pPr>
      <w:r>
        <w:rPr>
          <w:b/>
          <w:sz w:val="26"/>
        </w:rPr>
        <w:t>FOYDALANILGAN ADABIYOTLAR RO‘YXATI</w:t>
      </w:r>
      <w:r>
        <w:rPr>
          <w:b/>
          <w:sz w:val="26"/>
        </w:rPr>
        <w:tab/>
        <w:t>246</w:t>
      </w:r>
    </w:p>
    <w:p w:rsidR="005603EC" w:rsidRDefault="00AB61AC">
      <w:pPr>
        <w:tabs>
          <w:tab w:val="right" w:leader="dot" w:pos="9354"/>
        </w:tabs>
        <w:spacing w:after="80" w:line="240" w:lineRule="auto"/>
      </w:pPr>
      <w:r>
        <w:rPr>
          <w:b/>
          <w:sz w:val="26"/>
        </w:rPr>
        <w:t>ILOVALAR</w:t>
      </w:r>
      <w:r>
        <w:rPr>
          <w:b/>
          <w:sz w:val="26"/>
        </w:rPr>
        <w:tab/>
        <w:t>266</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t>bo‘lsa-da</w:t>
      </w:r>
      <w:r>
        <w:rPr>
          <w:rStyle w:val="aff8"/>
        </w:rPr>
        <w:footnoteReference w:id="8"/>
      </w:r>
      <w:r>
        <w:t xml:space="preserve">, substandart va muammoli kreditlarning umumiy ulushi 2024-yilda 21 foizga </w:t>
      </w:r>
      <w:r>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rPr>
          <w:color w:val="FF0000"/>
        </w:rPr>
        <w:t xml:space="preserve">Shu munosabat bilan, b</w:t>
      </w:r>
      <w:r>
        <w:t xml:space="preserve">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r>
      <w:r>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 xml:space="preserve">2017-yil 12-sentabrdagi PQ-3270-son “Respublika bank tizimini yanada rivojlantirish va barqarorligini oshirish chora-tadbirlari to‘g‘risida”gi qaror</w:t>
      </w:r>
      <w:r>
        <w:t xml:space="preserve">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r>
      <w:r>
        <w:t xml:space="preserve">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w:t>
      </w:r>
      <w:r>
        <w:rPr>
          <w:color w:val="FF0000"/>
        </w:rPr>
        <w:t xml:space="preserve">Shuningdek, N</w:t>
      </w:r>
      <w:r>
        <w:t xml:space="preserve">.Karabayev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w:t>
      </w:r>
      <w:r>
        <w:rPr/>
        <w:t xml:space="preserve">pedagogika instituti</w:t>
      </w:r>
      <w:r>
        <w:t xml:space="preserve">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w:t>
      </w:r>
      <w:r>
        <w:rPr/>
        <w:t xml:space="preserve"> analogiya (CAMEL tizimi vaznlariga tayanish), statistik verifikatsiya,</w:t>
      </w:r>
      <w:r>
        <w:t xml:space="preserve">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t>usuli asoslangan</w:t>
      </w:r>
      <w:r>
        <w:t xml:space="preserve"> (“O‘zsanoatqurilishbank” ATB misolida metodika farqi 5,4 foiz punktni, hisobot farqi esa </w:t>
      </w:r>
      <w:r>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 xml:space="preserve">O‘zbekiston bank tizimida moliyaviy barqarorlik ko‘rsatkichlari 2021–2025-yillar uchun Xalqaro valyuta jamg‘armasi metodikasi bo‘yicha tizimlashtirilib, rasmiy ko‘rsatkichlar kapital va likvidlik bo‘yicha xalqaro talablardan yuqori bo‘lsa-da, </w:t>
      </w:r>
      <w:r>
        <w:rPr>
          <w:color w:val="FF0000"/>
        </w:rPr>
        <w:t xml:space="preserve">bank tizimi </w:t>
      </w:r>
      <w:r>
        <w:t xml:space="preserve">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rPr>
          <w:color w:val="FF0000"/>
        </w:rPr>
        <w:t xml:space="preserve"> qayd etilgan</w:t>
      </w:r>
      <w:r>
        <w:rPr/>
        <w:t xml:space="preserve">)</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 xml:space="preserve">beshta yirik bank</w:t>
      </w:r>
      <w:r>
        <w:rPr>
          <w:color w:val="FF0000"/>
        </w:rPr>
        <w:t xml:space="preserve">ning</w:t>
      </w:r>
      <w:r>
        <w:t xml:space="preserve"> MHXS hisobotlari asosida integral indeks bo‘yicha reyting</w:t>
      </w:r>
      <w:r>
        <w:rPr>
          <w:color w:val="FF0000"/>
        </w:rPr>
        <w:t xml:space="preserve">i</w:t>
      </w:r>
      <w:r>
        <w:t xml:space="preserve">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color w:val="FF0000"/>
        </w:rPr>
        <w:t xml:space="preserve">242</w:t>
      </w:r>
      <w:r>
        <w:rPr/>
        <w:t xml:space="preserve"> betni</w:t>
      </w:r>
      <w:r>
        <w:t xml:space="preserve"> tashkil etadi, unda 60 dan ortiq jadval va rasm keltirilgan, foydalanilgan </w:t>
      </w:r>
      <w:r>
        <w:rPr/>
        <w:t xml:space="preserve">adabiyotlar </w:t>
      </w:r>
      <w:r>
        <w:rPr/>
        <w:t xml:space="preserve">ro‘yxati 197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w:t>
      </w:r>
      <w:r>
        <w:rPr>
          <w:color w:val="FF0000"/>
        </w:rPr>
        <w:t xml:space="preserve">. Ularning fikricha,</w:t>
      </w:r>
      <w:r>
        <w:t xml:space="preserve">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r>
      <w:r>
        <w:t>barqarorlikni aktiv va passivlar muvozanati bilan emas, aynan shu resurslarning barqaror o‘sishi bilan bog‘lash kerakligini ta’kidlaydi</w:t>
      </w:r>
      <w:r>
        <w:rPr>
          <w:rStyle w:val="aff8"/>
        </w:rPr>
        <w:footnoteReference w:id="57"/>
      </w:r>
      <w:r>
        <w:t xml:space="preserve">. </w:t>
      </w:r>
      <w:r>
        <w:rPr>
          <w:color w:val="FF0000"/>
        </w:rPr>
        <w:t xml:space="preserve">O.I. Lavrushin tahriridagi m</w:t>
      </w:r>
      <w:r>
        <w:t xml:space="preserve">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4"/>
      </w:r>
      <w:r>
        <w:rPr/>
        <w:t xml:space="preserve">, foiz stavkasi riski esa </w:t>
      </w:r>
      <w:r>
        <w:rPr>
          <w:color w:val="FF0000"/>
        </w:rPr>
        <w:t xml:space="preserve">banklarning 25 foizi</w:t>
      </w:r>
      <w:r>
        <w:rPr/>
        <w:t xml:space="preserve">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5"/>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color w:val="FF0000"/>
        </w:rPr>
        <w:t xml:space="preserve">Rasmda aks ettirilganidek, m</w:t>
      </w:r>
      <w:r>
        <w:rPr/>
        <w:t xml:space="preserve">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99"/>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w:t>
      </w:r>
      <w:r>
        <w:rPr>
          <w:color w:val="FF0000"/>
        </w:rPr>
        <w:t xml:space="preserve">Yuqoridagilardan kelib chiqib aytish mumkinki</w:t>
      </w:r>
      <w:r>
        <w:t xml:space="preserve">, </w:t>
      </w:r>
      <w:r>
        <w:lastRenderedPageBreak/>
      </w:r>
      <w:r>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w:t>
      </w:r>
      <w:r>
        <w:rPr>
          <w:color w:val="FF0000"/>
        </w:rPr>
        <w:t xml:space="preserve"> Asosiy kapital 7 foizdan yuqori bo‘lganda esa foydani taqsimlashga cheklov qo‘llanmaydi. Shuni ta’kidlash joizki, ushbu shkala kontrsiklik bufer nolga teng bo‘lgan holat uchun keltirilgan bo‘lib, kontrsiklik bufer joriy etilganda har bir oraliq bufer miqdoriga mutanosib ravishda kengayadi.</w:t>
      </w:r>
      <w:r>
        <w:t xml:space="preserve"> Bu shkala moliyaviy barqarorlikni baholash metodikasi uchun muhim metodologik namuna bo‘lib, kapital ko‘rsatkichini “bajarilgan – bajarilmagan” ikkilik mezoni bilan emas, balki minimumdan qanchalik yuqori ekaniga qarab bir necha pog‘onada baholash </w:t>
      </w:r>
      <w:r>
        <w:lastRenderedPageBreak/>
      </w:r>
      <w:r>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sz w:val="22"/>
              </w:rPr>
              <w:t xml:space="preserve">0–5</w:t>
            </w:r>
          </w:p>
        </w:tc>
        <w:tc>
          <w:tcPr>
            <w:tcW w:w="3345" w:type="dxa"/>
          </w:tcPr>
          <w:p w:rsidR="005603EC" w:rsidRDefault="005603EC">
            <w:pPr>
              <w:pStyle w:val="Compact"/>
              <w:spacing w:line="240" w:lineRule="auto"/>
            </w:pPr>
            <w:r>
              <w:rPr>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w:t>
      </w:r>
      <w:r>
        <w:rPr>
          <w:color w:val="FF0000"/>
        </w:rPr>
        <w:t xml:space="preserve">Shuni ham qayd etish lozimki, B</w:t>
      </w:r>
      <w:r>
        <w:t xml:space="preserve">azel qo‘mitasi 2017-yilda yakuniy islohotlar to‘plamini qabul qilib, standartlashtirilgan yondashuvlarni qayta ko‘rib chiqdi va ichki modellar asosida hisoblangan riskka tortilgan aktivlarning standartlashtirilgan </w:t>
      </w:r>
      <w:r>
        <w:lastRenderedPageBreak/>
      </w:r>
      <w:r>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sz w:val="22"/>
              </w:rPr>
              <w:t>Standart / blok</w:t>
            </w:r>
          </w:p>
        </w:tc>
        <w:tc>
          <w:tcPr>
            <w:tcW w:type="dxa" w:w="1531"/>
            <w:vAlign w:val="center"/>
            <w:shd w:val="clear" w:color="auto" w:fill="DEEBF7"/>
          </w:tcPr>
          <w:p>
            <w:pPr>
              <w:spacing w:line="240" w:lineRule="auto" w:before="0" w:after="0"/>
              <w:ind w:firstLine="0"/>
              <w:jc w:val="center"/>
            </w:pPr>
            <w:r>
              <w:rPr>
                <w:b/>
                <w:sz w:val="21"/>
              </w:rPr>
              <w:t>Kapital yetarliligi</w:t>
            </w:r>
          </w:p>
        </w:tc>
        <w:tc>
          <w:tcPr>
            <w:tcW w:type="dxa" w:w="1531"/>
            <w:vAlign w:val="center"/>
            <w:shd w:val="clear" w:color="auto" w:fill="DEEBF7"/>
          </w:tcPr>
          <w:p>
            <w:pPr>
              <w:spacing w:line="240" w:lineRule="auto" w:before="0" w:after="0"/>
              <w:ind w:firstLine="0"/>
              <w:jc w:val="center"/>
            </w:pPr>
            <w:r>
              <w:rPr>
                <w:b/>
                <w:sz w:val="21"/>
              </w:rPr>
              <w:t>Aktivlar sifati</w:t>
            </w:r>
          </w:p>
        </w:tc>
        <w:tc>
          <w:tcPr>
            <w:tcW w:type="dxa" w:w="1531"/>
            <w:vAlign w:val="center"/>
            <w:shd w:val="clear" w:color="auto" w:fill="DEEBF7"/>
          </w:tcPr>
          <w:p>
            <w:pPr>
              <w:spacing w:line="240" w:lineRule="auto" w:before="0" w:after="0"/>
              <w:ind w:firstLine="0"/>
              <w:jc w:val="center"/>
            </w:pPr>
            <w:r>
              <w:rPr>
                <w:b/>
                <w:sz w:val="21"/>
              </w:rPr>
              <w:t>Daromadlilik</w:t>
            </w:r>
          </w:p>
        </w:tc>
        <w:tc>
          <w:tcPr>
            <w:tcW w:type="dxa" w:w="1531"/>
            <w:vAlign w:val="center"/>
            <w:shd w:val="clear" w:color="auto" w:fill="DEEBF7"/>
          </w:tcPr>
          <w:p>
            <w:pPr>
              <w:spacing w:line="240" w:lineRule="auto" w:before="0" w:after="0"/>
              <w:ind w:firstLine="0"/>
              <w:jc w:val="center"/>
            </w:pPr>
            <w:r>
              <w:rPr>
                <w:b/>
                <w:sz w:val="21"/>
              </w:rPr>
              <w:t>Likvidlik</w:t>
            </w:r>
          </w:p>
        </w:tc>
        <w:tc>
          <w:tcPr>
            <w:tcW w:type="dxa" w:w="1531"/>
            <w:vAlign w:val="center"/>
            <w:shd w:val="clear" w:color="auto" w:fill="DEEBF7"/>
          </w:tcPr>
          <w:p>
            <w:pPr>
              <w:spacing w:line="240" w:lineRule="auto" w:before="0" w:after="0"/>
              <w:ind w:firstLine="0"/>
              <w:jc w:val="center"/>
            </w:pPr>
            <w:r>
              <w:rPr>
                <w:b/>
                <w:sz w:val="21"/>
              </w:rPr>
              <w:t>Bozor (valyuta) riskiga sezgirlik</w:t>
            </w:r>
          </w:p>
        </w:tc>
      </w:tr>
      <w:tr>
        <w:tc>
          <w:tcPr>
            <w:tcW w:type="dxa" w:w="1700"/>
            <w:vAlign w:val="center"/>
            <w:shd w:val="clear" w:color="auto" w:fill="F2F2F2"/>
          </w:tcPr>
          <w:p>
            <w:pPr>
              <w:spacing w:line="240" w:lineRule="auto" w:before="0" w:after="0"/>
              <w:ind w:firstLine="0"/>
              <w:jc w:val="left"/>
            </w:pPr>
            <w:r>
              <w:rPr>
                <w:b/>
                <w:sz w:val="22"/>
              </w:rPr>
              <w:t>Bazel III</w:t>
            </w:r>
          </w:p>
        </w:tc>
        <w:tc>
          <w:tcPr>
            <w:tcW w:type="dxa" w:w="1531"/>
            <w:vAlign w:val="center"/>
          </w:tcPr>
          <w:p>
            <w:pPr>
              <w:spacing w:line="240" w:lineRule="auto" w:before="0" w:after="0"/>
              <w:ind w:firstLine="0"/>
              <w:jc w:val="center"/>
            </w:pPr>
            <w:r>
              <w:rPr>
                <w:b w:val="0"/>
                <w:sz w:val="20"/>
              </w:rPr>
              <w:t>● CET1 ≥ 4,5%, jami ≥ 8% (+2,5% bufer), leverej ≥ 3%</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 LCR ≥ 100%, NSFR ≥ 100%</w:t>
            </w:r>
          </w:p>
        </w:tc>
        <w:tc>
          <w:tcPr>
            <w:tcW w:type="dxa" w:w="1531"/>
            <w:vAlign w:val="center"/>
          </w:tcPr>
          <w:p>
            <w:pPr>
              <w:spacing w:line="240" w:lineRule="auto" w:before="0" w:after="0"/>
              <w:ind w:firstLine="0"/>
              <w:jc w:val="center"/>
            </w:pPr>
            <w:r>
              <w:rPr>
                <w:b w:val="0"/>
                <w:sz w:val="20"/>
              </w:rPr>
              <w:t>○ bozor riski uchun kapital talabi</w:t>
            </w:r>
          </w:p>
        </w:tc>
      </w:tr>
      <w:tr>
        <w:tc>
          <w:tcPr>
            <w:tcW w:type="dxa" w:w="1700"/>
            <w:vAlign w:val="center"/>
            <w:shd w:val="clear" w:color="auto" w:fill="F2F2F2"/>
          </w:tcPr>
          <w:p>
            <w:pPr>
              <w:spacing w:line="240" w:lineRule="auto" w:before="0" w:after="0"/>
              <w:ind w:firstLine="0"/>
              <w:jc w:val="left"/>
            </w:pPr>
            <w:r>
              <w:rPr>
                <w:b/>
                <w:sz w:val="22"/>
              </w:rPr>
              <w:t>MHXS 9</w:t>
            </w:r>
          </w:p>
        </w:tc>
        <w:tc>
          <w:tcPr>
            <w:tcW w:type="dxa" w:w="1531"/>
            <w:vAlign w:val="center"/>
          </w:tcPr>
          <w:p>
            <w:pPr>
              <w:spacing w:line="240" w:lineRule="auto" w:before="0" w:after="0"/>
              <w:ind w:firstLine="0"/>
              <w:jc w:val="center"/>
            </w:pPr>
            <w:r>
              <w:rPr>
                <w:b w:val="0"/>
                <w:sz w:val="20"/>
              </w:rPr>
              <w:t>○ kutilgan zarar zaxiralari orqali</w:t>
            </w:r>
          </w:p>
        </w:tc>
        <w:tc>
          <w:tcPr>
            <w:tcW w:type="dxa" w:w="1531"/>
            <w:vAlign w:val="center"/>
          </w:tcPr>
          <w:p>
            <w:pPr>
              <w:spacing w:line="240" w:lineRule="auto" w:before="0" w:after="0"/>
              <w:ind w:firstLine="0"/>
              <w:jc w:val="center"/>
            </w:pPr>
            <w:r>
              <w:rPr>
                <w:b w:val="0"/>
                <w:sz w:val="20"/>
              </w:rPr>
              <w:t>● kutilgan kredit zararlari, 3 bosqichli tasnif</w:t>
            </w:r>
          </w:p>
        </w:tc>
        <w:tc>
          <w:tcPr>
            <w:tcW w:type="dxa" w:w="1531"/>
            <w:vAlign w:val="center"/>
          </w:tcPr>
          <w:p>
            <w:pPr>
              <w:spacing w:line="240" w:lineRule="auto" w:before="0" w:after="0"/>
              <w:ind w:firstLine="0"/>
              <w:jc w:val="center"/>
            </w:pPr>
            <w:r>
              <w:rPr>
                <w:b w:val="0"/>
                <w:sz w:val="20"/>
              </w:rPr>
              <w:t>○ zaxira xarajatlari orqali</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r>
      <w:tr>
        <w:tc>
          <w:tcPr>
            <w:tcW w:type="dxa" w:w="1700"/>
            <w:vAlign w:val="center"/>
            <w:shd w:val="clear" w:color="auto" w:fill="F2F2F2"/>
          </w:tcPr>
          <w:p>
            <w:pPr>
              <w:spacing w:line="240" w:lineRule="auto" w:before="0" w:after="0"/>
              <w:ind w:firstLine="0"/>
              <w:jc w:val="left"/>
            </w:pPr>
            <w:r>
              <w:rPr>
                <w:b/>
                <w:sz w:val="22"/>
              </w:rPr>
              <w:t>XVJ moliyaviy barqarorlik ko‘rsatkichlari</w:t>
            </w:r>
          </w:p>
        </w:tc>
        <w:tc>
          <w:tcPr>
            <w:tcW w:type="dxa" w:w="1531"/>
            <w:vAlign w:val="center"/>
          </w:tcPr>
          <w:p>
            <w:pPr>
              <w:spacing w:line="240" w:lineRule="auto" w:before="0" w:after="0"/>
              <w:ind w:firstLine="0"/>
              <w:jc w:val="center"/>
            </w:pPr>
            <w:r>
              <w:rPr>
                <w:b w:val="0"/>
                <w:sz w:val="20"/>
              </w:rPr>
              <w:t>● regulyativ kapital / RWA</w:t>
            </w:r>
          </w:p>
        </w:tc>
        <w:tc>
          <w:tcPr>
            <w:tcW w:type="dxa" w:w="1531"/>
            <w:vAlign w:val="center"/>
          </w:tcPr>
          <w:p>
            <w:pPr>
              <w:spacing w:line="240" w:lineRule="auto" w:before="0" w:after="0"/>
              <w:ind w:firstLine="0"/>
              <w:jc w:val="center"/>
            </w:pPr>
            <w:r>
              <w:rPr>
                <w:b w:val="0"/>
                <w:sz w:val="20"/>
              </w:rPr>
              <w:t>● muammoli kreditlar / jami kreditlar</w:t>
            </w:r>
          </w:p>
        </w:tc>
        <w:tc>
          <w:tcPr>
            <w:tcW w:type="dxa" w:w="1531"/>
            <w:vAlign w:val="center"/>
          </w:tcPr>
          <w:p>
            <w:pPr>
              <w:spacing w:line="240" w:lineRule="auto" w:before="0" w:after="0"/>
              <w:ind w:firstLine="0"/>
              <w:jc w:val="center"/>
            </w:pPr>
            <w:r>
              <w:rPr>
                <w:b w:val="0"/>
                <w:sz w:val="20"/>
              </w:rPr>
              <w:t>● ROA, ROE</w:t>
            </w:r>
          </w:p>
        </w:tc>
        <w:tc>
          <w:tcPr>
            <w:tcW w:type="dxa" w:w="1531"/>
            <w:vAlign w:val="center"/>
          </w:tcPr>
          <w:p>
            <w:pPr>
              <w:spacing w:line="240" w:lineRule="auto" w:before="0" w:after="0"/>
              <w:ind w:firstLine="0"/>
              <w:jc w:val="center"/>
            </w:pPr>
            <w:r>
              <w:rPr>
                <w:b w:val="0"/>
                <w:sz w:val="20"/>
              </w:rPr>
              <w:t>● likvid aktivlar / jami aktivlar</w:t>
            </w:r>
          </w:p>
        </w:tc>
        <w:tc>
          <w:tcPr>
            <w:tcW w:type="dxa" w:w="1531"/>
            <w:vAlign w:val="center"/>
          </w:tcPr>
          <w:p>
            <w:pPr>
              <w:spacing w:line="240" w:lineRule="auto" w:before="0" w:after="0"/>
              <w:ind w:firstLine="0"/>
              <w:jc w:val="center"/>
            </w:pPr>
            <w:r>
              <w:rPr>
                <w:b w:val="0"/>
                <w:sz w:val="20"/>
              </w:rPr>
              <w:t>● sof ochiq valyuta pozitsiyasi / kapital</w:t>
            </w:r>
          </w:p>
        </w:tc>
      </w:tr>
      <w:tr>
        <w:tc>
          <w:tcPr>
            <w:tcW w:type="dxa" w:w="1700"/>
            <w:vAlign w:val="center"/>
            <w:shd w:val="clear" w:color="auto" w:fill="F2F2F2"/>
          </w:tcPr>
          <w:p>
            <w:pPr>
              <w:spacing w:line="240" w:lineRule="auto" w:before="0" w:after="0"/>
              <w:ind w:firstLine="0"/>
              <w:jc w:val="left"/>
            </w:pPr>
            <w:r>
              <w:rPr>
                <w:b/>
                <w:sz w:val="22"/>
              </w:rPr>
              <w:t>CAMELS</w:t>
            </w:r>
          </w:p>
        </w:tc>
        <w:tc>
          <w:tcPr>
            <w:tcW w:type="dxa" w:w="1531"/>
            <w:vAlign w:val="center"/>
          </w:tcPr>
          <w:p>
            <w:pPr>
              <w:spacing w:line="240" w:lineRule="auto" w:before="0" w:after="0"/>
              <w:ind w:firstLine="0"/>
              <w:jc w:val="center"/>
            </w:pPr>
            <w:r>
              <w:rPr>
                <w:b w:val="0"/>
                <w:sz w:val="20"/>
              </w:rPr>
              <w:t>● C – kapital</w:t>
            </w:r>
          </w:p>
        </w:tc>
        <w:tc>
          <w:tcPr>
            <w:tcW w:type="dxa" w:w="1531"/>
            <w:vAlign w:val="center"/>
          </w:tcPr>
          <w:p>
            <w:pPr>
              <w:spacing w:line="240" w:lineRule="auto" w:before="0" w:after="0"/>
              <w:ind w:firstLine="0"/>
              <w:jc w:val="center"/>
            </w:pPr>
            <w:r>
              <w:rPr>
                <w:b w:val="0"/>
                <w:sz w:val="20"/>
              </w:rPr>
              <w:t>● A – aktivlar sifati</w:t>
            </w:r>
          </w:p>
        </w:tc>
        <w:tc>
          <w:tcPr>
            <w:tcW w:type="dxa" w:w="1531"/>
            <w:vAlign w:val="center"/>
          </w:tcPr>
          <w:p>
            <w:pPr>
              <w:spacing w:line="240" w:lineRule="auto" w:before="0" w:after="0"/>
              <w:ind w:firstLine="0"/>
              <w:jc w:val="center"/>
            </w:pPr>
            <w:r>
              <w:rPr>
                <w:b w:val="0"/>
                <w:sz w:val="20"/>
              </w:rPr>
              <w:t>● E – daromadlilik</w:t>
            </w:r>
          </w:p>
        </w:tc>
        <w:tc>
          <w:tcPr>
            <w:tcW w:type="dxa" w:w="1531"/>
            <w:vAlign w:val="center"/>
          </w:tcPr>
          <w:p>
            <w:pPr>
              <w:spacing w:line="240" w:lineRule="auto" w:before="0" w:after="0"/>
              <w:ind w:firstLine="0"/>
              <w:jc w:val="center"/>
            </w:pPr>
            <w:r>
              <w:rPr>
                <w:b w:val="0"/>
                <w:sz w:val="20"/>
              </w:rPr>
              <w:t>● L – likvidlik</w:t>
            </w:r>
          </w:p>
        </w:tc>
        <w:tc>
          <w:tcPr>
            <w:tcW w:type="dxa" w:w="1531"/>
            <w:vAlign w:val="center"/>
          </w:tcPr>
          <w:p>
            <w:pPr>
              <w:spacing w:line="240" w:lineRule="auto" w:before="0" w:after="0"/>
              <w:ind w:firstLine="0"/>
              <w:jc w:val="center"/>
            </w:pPr>
            <w:r>
              <w:rPr>
                <w:b w:val="0"/>
                <w:sz w:val="20"/>
              </w:rPr>
              <w:t>● S – bozor riskiga sezgirlik</w:t>
            </w:r>
          </w:p>
        </w:tc>
      </w:tr>
      <w:tr>
        <w:tc>
          <w:tcPr>
            <w:tcW w:type="dxa" w:w="1700"/>
            <w:vAlign w:val="center"/>
            <w:shd w:val="clear" w:color="auto" w:fill="F2F2F2"/>
          </w:tcPr>
          <w:p>
            <w:pPr>
              <w:spacing w:line="240" w:lineRule="auto" w:before="0" w:after="0"/>
              <w:ind w:firstLine="0"/>
              <w:jc w:val="left"/>
            </w:pPr>
            <w:r>
              <w:rPr>
                <w:b/>
                <w:sz w:val="22"/>
              </w:rPr>
              <w:t>Reyting agentliklari</w:t>
            </w:r>
          </w:p>
        </w:tc>
        <w:tc>
          <w:tcPr>
            <w:tcW w:type="dxa" w:w="1531"/>
            <w:vAlign w:val="center"/>
          </w:tcPr>
          <w:p>
            <w:pPr>
              <w:spacing w:line="240" w:lineRule="auto" w:before="0" w:after="0"/>
              <w:ind w:firstLine="0"/>
              <w:jc w:val="center"/>
            </w:pPr>
            <w:r>
              <w:rPr>
                <w:b w:val="0"/>
                <w:sz w:val="20"/>
              </w:rPr>
              <w:t>● kapitallashuv</w:t>
            </w:r>
          </w:p>
        </w:tc>
        <w:tc>
          <w:tcPr>
            <w:tcW w:type="dxa" w:w="1531"/>
            <w:vAlign w:val="center"/>
          </w:tcPr>
          <w:p>
            <w:pPr>
              <w:spacing w:line="240" w:lineRule="auto" w:before="0" w:after="0"/>
              <w:ind w:firstLine="0"/>
              <w:jc w:val="center"/>
            </w:pPr>
            <w:r>
              <w:rPr>
                <w:b w:val="0"/>
                <w:sz w:val="20"/>
              </w:rPr>
              <w:t>● aktivlar sifati</w:t>
            </w:r>
          </w:p>
        </w:tc>
        <w:tc>
          <w:tcPr>
            <w:tcW w:type="dxa" w:w="1531"/>
            <w:vAlign w:val="center"/>
          </w:tcPr>
          <w:p>
            <w:pPr>
              <w:spacing w:line="240" w:lineRule="auto" w:before="0" w:after="0"/>
              <w:ind w:firstLine="0"/>
              <w:jc w:val="center"/>
            </w:pPr>
            <w:r>
              <w:rPr>
                <w:b w:val="0"/>
                <w:sz w:val="20"/>
              </w:rPr>
              <w:t>● daromadlilik</w:t>
            </w:r>
          </w:p>
        </w:tc>
        <w:tc>
          <w:tcPr>
            <w:tcW w:type="dxa" w:w="1531"/>
            <w:vAlign w:val="center"/>
          </w:tcPr>
          <w:p>
            <w:pPr>
              <w:spacing w:line="240" w:lineRule="auto" w:before="0" w:after="0"/>
              <w:ind w:firstLine="0"/>
              <w:jc w:val="center"/>
            </w:pPr>
            <w:r>
              <w:rPr>
                <w:b w:val="0"/>
                <w:sz w:val="20"/>
              </w:rPr>
              <w:t>● moliyalashtirish va likvidlik</w:t>
            </w:r>
          </w:p>
        </w:tc>
        <w:tc>
          <w:tcPr>
            <w:tcW w:type="dxa" w:w="1531"/>
            <w:vAlign w:val="center"/>
          </w:tcPr>
          <w:p>
            <w:pPr>
              <w:spacing w:line="240" w:lineRule="auto" w:before="0" w:after="0"/>
              <w:ind w:firstLine="0"/>
              <w:jc w:val="center"/>
            </w:pPr>
            <w:r>
              <w:rPr>
                <w:b w:val="0"/>
                <w:sz w:val="20"/>
              </w:rPr>
              <w:t>● xorijiy valyutadagi likvidlik</w:t>
            </w:r>
          </w:p>
        </w:tc>
      </w:tr>
      <w:tr>
        <w:tc>
          <w:tcPr>
            <w:tcW w:type="dxa" w:w="1700"/>
            <w:vAlign w:val="center"/>
            <w:shd w:val="clear" w:color="auto" w:fill="DEEBF7"/>
          </w:tcPr>
          <w:p>
            <w:pPr>
              <w:spacing w:line="240" w:lineRule="auto" w:before="0" w:after="0"/>
              <w:ind w:firstLine="0"/>
              <w:jc w:val="left"/>
            </w:pPr>
            <w:r>
              <w:rPr>
                <w:b/>
                <w:sz w:val="22"/>
              </w:rPr>
              <w:t>Integral bahoga hissasi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MHXS 9 bo‘yicha baholash</w:t>
            </w:r>
          </w:p>
        </w:tc>
        <w:tc>
          <w:tcPr>
            <w:tcW w:type="dxa" w:w="1531"/>
            <w:vAlign w:val="center"/>
            <w:shd w:val="clear" w:color="auto" w:fill="DEEBF7"/>
          </w:tcPr>
          <w:p>
            <w:pPr>
              <w:spacing w:line="240" w:lineRule="auto" w:before="0" w:after="0"/>
              <w:ind w:firstLine="0"/>
              <w:jc w:val="center"/>
            </w:pPr>
            <w:r>
              <w:rPr>
                <w:b/>
                <w:sz w:val="20"/>
              </w:rPr>
              <w:t>XVJ va CAMELS ko‘rsatkichlari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r>
        <w:rPr>
          <w:color w:val="FF0000"/>
        </w:rPr>
        <w:t xml:space="preserve"> Bu esa O‘zbekiston sharoitida valyuta riskiga sezgirlikni integral bahoning alohida bloki sifatida ajratish zarurligini ko‘rsatadi.</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w:t>
      </w:r>
      <w:r>
        <w:rPr>
          <w:color w:val="FF0000"/>
        </w:rPr>
        <w:t xml:space="preserve"> hamda</w:t>
      </w:r>
      <w:r>
        <w:t xml:space="preserve">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CAMEL (1978–1979)</w:t>
            </w:r>
            <w:r>
              <w:rPr>
                <w:sz w:val="22"/>
              </w:rPr>
              <w:t xml:space="preserve">,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 xml:space="preserve">ORAP (1997), SAABA (1997)</w:t>
            </w:r>
          </w:p>
        </w:tc>
        <w:tc>
          <w:tcPr>
            <w:tcW w:w="0" w:type="auto"/>
          </w:tcPr>
          <w:p w:rsidR="005603EC" w:rsidRDefault="00AB61AC">
            <w:pPr>
              <w:pStyle w:val="Compact"/>
              <w:spacing w:line="240" w:lineRule="auto"/>
            </w:pPr>
            <w:r>
              <w:rPr>
                <w:sz w:val="22"/>
              </w:rPr>
              <w:t xml:space="preserve">Reyting va statistik-ekspert model</w:t>
            </w:r>
          </w:p>
        </w:tc>
        <w:tc>
          <w:tcPr>
            <w:tcW w:w="0" w:type="auto"/>
          </w:tcPr>
          <w:p w:rsidR="005603EC" w:rsidRDefault="00AB61AC">
            <w:pPr>
              <w:pStyle w:val="Compact"/>
              <w:spacing w:line="240" w:lineRule="auto"/>
            </w:pPr>
            <w:r>
              <w:rPr>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w:t>
      </w:r>
      <w:r>
        <w:rPr>
          <w:color w:val="FF0000"/>
        </w:rPr>
        <w:t xml:space="preserve">. Masalan,</w:t>
      </w:r>
      <w:r>
        <w:t xml:space="preserve">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7"/>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xml:space="preserve">. </w:t>
      </w:r>
      <w:r>
        <w:rPr>
          <w:color w:val="FF0000"/>
        </w:rPr>
        <w:t xml:space="preserve">Fikrimiz</w:t>
      </w:r>
      <w:r>
        <w:t xml:space="preserve">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1"/>
      </w:r>
      <w:r>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2"/>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t xml:space="preserve"> Federal rezerv tizimining nazorat bo‘yicha rais </w:t>
      </w:r>
      <w:r>
        <w:rPr/>
        <w:lastRenderedPageBreak/>
        <w:t>o‘rinbosari M. Bowman bu o‘zgarishni nazoratning shaffoflik, miqdoriy omillar va bashorat qilinuvchanlik tomon qat’iy burilishi deb baholagan, taklif bo‘yicha fikrlar esa 2026-yil 17-avgustgacha qabul qilinadi</w:t>
      </w:r>
      <w:r>
        <w:rPr>
          <w:rStyle w:val="aff8"/>
        </w:rPr>
        <w:footnoteReference w:id="186"/>
      </w:r>
      <w:r>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 xml:space="preserve">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w:t>
      </w:r>
      <w:r>
        <w:rPr>
          <w:color w:val="FF0000"/>
        </w:rPr>
        <w:t xml:space="preserve">. Muallif ma’lumotiga ko‘ra,</w:t>
      </w:r>
      <w:r>
        <w:t xml:space="preserve">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0"/>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1"/>
      </w:r>
      <w:r>
        <w:rPr>
          <w:rStyle w:val="aff8"/>
        </w:rPr>
        <w:footnoteReference w:id="192"/>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3"/>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r>
      <w:r>
        <w:t xml:space="preserve">Yevropa tizimli risklar kengashi amalga oshiradi</w:t>
      </w:r>
      <w:r>
        <w:rPr>
          <w:color w:val="FF0000"/>
        </w:rPr>
        <w:t xml:space="preserve">, Yevropa bank boshqarmasi esa</w:t>
      </w:r>
      <w:r>
        <w:t xml:space="preserve">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r>
      <w:r>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xml:space="preserve">. </w:t>
      </w:r>
      <w:r>
        <w:rPr>
          <w:color w:val="FF0000"/>
        </w:rPr>
        <w:t xml:space="preserve">E. Gualandri va M. Noera</w:t>
      </w:r>
      <w:r>
        <w:t xml:space="preserve">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rPr>
          <w:color w:val="FF0000"/>
        </w:rPr>
        <w:t xml:space="preserve">Xususan, 2</w:t>
      </w:r>
      <w:r>
        <w:t xml:space="preserve">005-U ko‘rsatmaga asoslangan tizimda kapital, aktivlar, daromadlilik, likvidlik va boshqaruv sifati guruhlari bo‘yicha ko‘rsatkichlar 1–4 ballik shkalada </w:t>
      </w:r>
      <w:r>
        <w:lastRenderedPageBreak/>
      </w:r>
      <w:r>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rPr>
        <w:footnoteReference w:id="217"/>
      </w:r>
      <w:r>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r>
      <w:r>
        <w:rPr>
          <w:color w:val="FF0000"/>
        </w:rPr>
        <w:t xml:space="preserve">Makroprudensial monitoringning muhim yo‘nalishlaridan biri tizimli ahamiyatli banklarni aniqlash hisoblanadi. T</w:t>
      </w:r>
      <w:r>
        <w:t xml:space="preserve">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w:t>
      </w:r>
      <w:r>
        <w:rPr>
          <w:color w:val="FF0000"/>
        </w:rPr>
        <w:t xml:space="preserve">edi va 2011-yil iyunidan boshlab bu ko‘rsatkich har kuni monitoring qilingan</w:t>
      </w:r>
      <w:r>
        <w:t xml:space="preserve">;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r>
      <w:r>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5"/>
      </w:r>
      <w:r>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t xml:space="preserve">AQSh – FIMS; Yevropa Ittifoqi – EBA modellari</w:t>
            </w:r>
          </w:p>
        </w:tc>
        <w:tc>
          <w:tcPr>
            <w:tcW w:w="0" w:type="auto"/>
          </w:tcPr>
          <w:p w:rsidR="005603EC" w:rsidRDefault="00AB61AC">
            <w:pPr>
              <w:pStyle w:val="Compact"/>
              <w:spacing w:line="240" w:lineRule="auto"/>
            </w:pPr>
            <w:r>
              <w:rPr>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 xml:space="preserve">Buyuk Britaniya – RATE, PRA</w:t>
            </w:r>
          </w:p>
        </w:tc>
        <w:tc>
          <w:tcPr>
            <w:tcW w:w="0" w:type="auto"/>
          </w:tcPr>
          <w:p w:rsidR="005603EC" w:rsidRDefault="00AB61AC">
            <w:pPr>
              <w:pStyle w:val="Compact"/>
              <w:spacing w:line="240" w:lineRule="auto"/>
            </w:pPr>
            <w:r>
              <w:rPr>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rPr>
          <w:color w:val="FF0000"/>
        </w:rPr>
        <w:t xml:space="preserve">Mazkur me’yoriy baza asosida O</w:t>
      </w:r>
      <w:r>
        <w:t xml:space="preserve">‘zbekistonda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t xml:space="preserve">I darajali kapital monandligi</w:t>
            </w:r>
          </w:p>
        </w:tc>
        <w:tc>
          <w:tcPr>
            <w:tcW w:w="0" w:type="auto"/>
          </w:tcPr>
          <w:p w:rsidR="005603EC" w:rsidRDefault="00AB61AC">
            <w:pPr>
              <w:pStyle w:val="Compact"/>
              <w:spacing w:line="240" w:lineRule="auto"/>
            </w:pPr>
            <w:r>
              <w:rPr>
                <w:sz w:val="22"/>
              </w:rPr>
              <w:t xml:space="preserve">≥ 10% (2025-yilgacha); ≥ 6% + buferlar (2026-yildan)</w:t>
            </w:r>
          </w:p>
        </w:tc>
        <w:tc>
          <w:tcPr>
            <w:tcW w:w="0" w:type="auto"/>
          </w:tcPr>
          <w:p w:rsidR="005603EC" w:rsidRDefault="00AB61AC">
            <w:pPr>
              <w:pStyle w:val="Compact"/>
              <w:spacing w:line="240" w:lineRule="auto"/>
            </w:pPr>
            <w:r>
              <w:rPr>
                <w:sz w:val="22"/>
              </w:rPr>
              <w:t xml:space="preserve">≥ 6%</w:t>
            </w:r>
          </w:p>
        </w:tc>
        <w:tc>
          <w:tcPr>
            <w:tcW w:w="0" w:type="auto"/>
          </w:tcPr>
          <w:p w:rsidR="005603EC" w:rsidRDefault="00AB61AC">
            <w:pPr>
              <w:pStyle w:val="Compact"/>
              <w:spacing w:line="240" w:lineRule="auto"/>
            </w:pPr>
            <w:r>
              <w:rPr>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sz w:val="22"/>
              </w:rPr>
              <w:t>Yuqori likvid aktivlar / jami aktivlar</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0"/>
      </w:r>
      <w:r>
        <w:rPr/>
        <w:t>, 2026-yildan amal qiladigan talablar va buferlar esa Markaziy bankning moliyaviy barqarorlik sharhi bo‘yicha keltirildi</w:t>
      </w:r>
      <w:r>
        <w:rPr>
          <w:rStyle w:val="aff8"/>
        </w:rPr>
        <w:footnoteReference w:id="251"/>
      </w:r>
      <w:r>
        <w:rPr/>
        <w:t>. 2026-yildan minimal talablar Bazel III darajasiga tushirilib, ularning ustiga buferlar qo‘shilganligi sababli buferlar bilan birga umumiy talab CET1 bo‘yicha 8,5 foizni, tizimli ahamiyatga molik banklar uchun 9,5 foizni tashkil etadi.</w:t>
      </w:r>
      <w:r>
        <w:t xml:space="preserve"> </w:t>
      </w:r>
      <w:r>
        <w:rPr>
          <w:color w:val="FF0000"/>
        </w:rPr>
        <w:t xml:space="preserve">Shuni ta’kidlash joizki, B</w:t>
      </w:r>
      <w:r>
        <w:t xml:space="preserve">.T.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xml:space="preserve">. Yo‘l xaritasida ham avtomatik reyting tuzatishlarini muntazam tekshirish va ularning asoslanganligini ta’minlash uchun alohida “sifat nazorati” bo‘linmasini tashkil etish ko‘zda tutilgani bu muammo hali </w:t>
      </w:r>
      <w:r>
        <w:rPr>
          <w:color w:val="FF0000"/>
        </w:rPr>
        <w:t xml:space="preserve">ham dolzarb ekan</w:t>
      </w:r>
      <w:r>
        <w:t xml:space="preserve">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barqaror holatda: 2021–2025-yillarda kapital monandligi 13 foizlik regulyativ minimumdan barqaror yuqori bo‘lgan</w:t>
      </w:r>
      <w:r>
        <w:rPr>
          <w:rStyle w:val="aff8"/>
        </w:rPr>
        <w:footnoteReference w:id="259"/>
      </w:r>
      <w:r>
        <w:rPr/>
        <w:t xml:space="preserve">, 2025-yil oxirida esa 18,3 foizga yetgan</w:t>
      </w:r>
      <w:r>
        <w:lastRenderedPageBreak/>
      </w:r>
      <w:r>
        <w:rPr>
          <w:rStyle w:val="aff8"/>
        </w:rPr>
        <w:footnoteReference w:id="260"/>
      </w:r>
      <w:r>
        <w:t xml:space="preserve">. </w:t>
      </w:r>
      <w:r>
        <w:rPr/>
        <w:t xml:space="preserve">Rasmiy muammoli kreditlar ulushi ham</w:t>
      </w:r>
      <w:r>
        <w:t xml:space="preserve"> 2021-yil oxiridagi 5,2 foizdan 2025-yil oxirida 3,0 foizgacha kamaygan</w:t>
      </w:r>
      <w:r>
        <w:rPr>
          <w:rStyle w:val="aff8"/>
        </w:rPr>
        <w:footnoteReference w:id="261"/>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rPr>
          <w:color w:val="FF0000"/>
        </w:rPr>
        <w:t xml:space="preserve">Biroq rasmiy ko‘rsatkichlarning yuqoriligi xalqaro standartlarga to‘liq muvofiqlikni anglatmaydi. X</w:t>
      </w:r>
      <w:r>
        <w:t xml:space="preserve">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rPr>
          <w:color w:val="FF0000"/>
        </w:rPr>
        <w:t xml:space="preserve">Mazkur muammolarni bartaraf etishga qaratilgan i</w:t>
      </w:r>
      <w:r>
        <w:t xml:space="preserve">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r>
      <w:r>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rPr>
          <w:color w:val="FF0000"/>
        </w:rPr>
        <w:t xml:space="preserve">Shuningdek, b</w:t>
      </w:r>
      <w:r>
        <w:t xml:space="preserve">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79"/>
      </w:r>
      <w:r>
        <w:rPr>
          <w:rStyle w:val="aff8"/>
        </w:rPr>
        <w:footnoteReference w:id="280"/>
      </w:r>
      <w:r>
        <w:t xml:space="preserve">. Bu banklarning tanlanishi tasodifiy emas: birinchisi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rPr/>
        <w:t xml:space="preserve">Rasmda</w:t>
      </w:r>
      <w:r>
        <w:rPr>
          <w:color w:val="FF0000"/>
        </w:rPr>
        <w:t xml:space="preserve">n</w:t>
      </w:r>
      <w:r>
        <w:rPr/>
        <w:t xml:space="preserve">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r>
      <w:r>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rPr>
          <w:color w:val="FF0000"/>
        </w:rPr>
        <w:t xml:space="preserve">2.2.4-rasm ma’lumotlarini xalqaro mezonlar bilan solishtiradigan bo‘lsak, C</w:t>
      </w:r>
      <w:r>
        <w:t xml:space="preserve">AMELS tizimida aktivlar rentabelligi 1 foizdan yuqori bo‘lganda daromadlilik eng yuqori reyting bilan baholanadi</w:t>
      </w:r>
      <w:r>
        <w:rPr>
          <w:rStyle w:val="aff8"/>
        </w:rPr>
        <w:footnoteReference w:id="307"/>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1"/>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resurslari hisobiga moliyalashtiradi: 2025-yil yakunida bankning olingan kreditlari 35,5 trln so‘mni tashkil etib, depozitlardan qariyb 1,1 barobar ko‘p bo‘lgan</w:t>
      </w:r>
      <w:r>
        <w:rPr>
          <w:rStyle w:val="aff8"/>
        </w:rPr>
        <w:footnoteReference w:id="312"/>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Kapital monandligi yuqoriroq bo‘lsa-da, keskin tebranadi: 2021-yilda 13,8 foiz bilan minimum chegarasida bo‘lgan ko‘rsatkich 2022-yilda 20,7 foizga ko‘tarilgan, 2024-yilda 15,4 foizgacha tushib, 2025-yilda yana 18,5 foizga yetgan. Bu tebranishlarning sababi kapital manbalarida: bankning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daromadlilikka bevosita ta’sir ko‘rsatgan: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w:t>
      </w:r>
      <w:r>
        <w:rPr>
          <w:color w:val="FF0000"/>
        </w:rPr>
        <w:t xml:space="preserve">bank</w:t>
      </w:r>
      <w:r>
        <w:rPr/>
        <w:t xml:space="preserve">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 xml:space="preserve">Jami aktivlar, trln so‘m</w:t>
            </w:r>
          </w:p>
        </w:tc>
        <w:tc>
          <w:tcPr>
            <w:tcW w:w="1179" w:type="dxa"/>
          </w:tcPr>
          <w:p w:rsidR="005603EC" w:rsidRDefault="00AB61AC">
            <w:pPr>
              <w:pStyle w:val="Compact"/>
              <w:spacing w:line="240" w:lineRule="auto"/>
            </w:pPr>
            <w:r>
              <w:rPr>
                <w:sz w:val="22"/>
              </w:rPr>
              <w:t xml:space="preserve">12,6</w:t>
            </w:r>
          </w:p>
        </w:tc>
        <w:tc>
          <w:tcPr>
            <w:tcW w:w="1179" w:type="dxa"/>
          </w:tcPr>
          <w:p w:rsidR="005603EC" w:rsidRDefault="00AB61AC">
            <w:pPr>
              <w:pStyle w:val="Compact"/>
              <w:spacing w:line="240" w:lineRule="auto"/>
            </w:pPr>
            <w:r>
              <w:rPr>
                <w:sz w:val="22"/>
              </w:rPr>
              <w:t xml:space="preserve">16,1</w:t>
            </w:r>
          </w:p>
        </w:tc>
        <w:tc>
          <w:tcPr>
            <w:tcW w:w="1179" w:type="dxa"/>
          </w:tcPr>
          <w:p w:rsidR="005603EC" w:rsidRDefault="00AB61AC">
            <w:pPr>
              <w:pStyle w:val="Compact"/>
              <w:spacing w:line="240" w:lineRule="auto"/>
            </w:pPr>
            <w:r>
              <w:rPr>
                <w:sz w:val="22"/>
              </w:rPr>
              <w:t xml:space="preserve">16,0</w:t>
            </w:r>
          </w:p>
        </w:tc>
        <w:tc>
          <w:tcPr>
            <w:tcW w:w="1179" w:type="dxa"/>
          </w:tcPr>
          <w:p w:rsidR="005603EC" w:rsidRDefault="00AB61AC">
            <w:pPr>
              <w:pStyle w:val="Compact"/>
              <w:spacing w:line="240" w:lineRule="auto"/>
            </w:pPr>
            <w:r>
              <w:rPr>
                <w:sz w:val="22"/>
              </w:rPr>
              <w:t xml:space="preserve">23,3</w:t>
            </w:r>
          </w:p>
        </w:tc>
        <w:tc>
          <w:tcPr>
            <w:tcW w:w="1179" w:type="dxa"/>
          </w:tcPr>
          <w:p w:rsidR="005603EC" w:rsidRDefault="00AB61AC">
            <w:pPr>
              <w:pStyle w:val="Compact"/>
              <w:spacing w:line="240" w:lineRule="auto"/>
            </w:pPr>
            <w:r>
              <w:rPr>
                <w:sz w:val="22"/>
              </w:rPr>
              <w:t xml:space="preserve">31,5</w:t>
            </w:r>
          </w:p>
        </w:tc>
      </w:tr>
      <w:tr w:rsidR="005603EC" w:rsidTr="005603EC">
        <w:trPr>
          <w:cantSplit/>
        </w:trPr>
        <w:tc>
          <w:tcPr>
            <w:tcW w:w="3402" w:type="dxa"/>
          </w:tcPr>
          <w:p w:rsidR="005603EC" w:rsidRDefault="00AB61AC">
            <w:pPr>
              <w:pStyle w:val="Compact"/>
              <w:spacing w:line="240" w:lineRule="auto"/>
            </w:pPr>
            <w:r>
              <w:rPr>
                <w:sz w:val="22"/>
              </w:rPr>
              <w:t xml:space="preserve">Regulyativ kapital monandligi, %</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12,5</w:t>
            </w:r>
          </w:p>
        </w:tc>
        <w:tc>
          <w:tcPr>
            <w:tcW w:w="1179" w:type="dxa"/>
          </w:tcPr>
          <w:p w:rsidR="005603EC" w:rsidRDefault="00AB61AC">
            <w:pPr>
              <w:pStyle w:val="Compact"/>
              <w:spacing w:line="240" w:lineRule="auto"/>
            </w:pPr>
            <w:r>
              <w:rPr>
                <w:sz w:val="22"/>
              </w:rPr>
              <w:t xml:space="preserve">16,4</w:t>
            </w:r>
          </w:p>
        </w:tc>
        <w:tc>
          <w:tcPr>
            <w:tcW w:w="1179" w:type="dxa"/>
          </w:tcPr>
          <w:p w:rsidR="005603EC" w:rsidRDefault="00AB61AC">
            <w:pPr>
              <w:pStyle w:val="Compact"/>
              <w:spacing w:line="240" w:lineRule="auto"/>
            </w:pPr>
            <w:r>
              <w:rPr>
                <w:sz w:val="22"/>
              </w:rPr>
              <w:t xml:space="preserve">13,9</w:t>
            </w:r>
          </w:p>
        </w:tc>
        <w:tc>
          <w:tcPr>
            <w:tcW w:w="1179" w:type="dxa"/>
          </w:tcPr>
          <w:p w:rsidR="005603EC" w:rsidRDefault="00AB61AC">
            <w:pPr>
              <w:pStyle w:val="Compact"/>
              <w:spacing w:line="240" w:lineRule="auto"/>
            </w:pPr>
            <w:r>
              <w:rPr>
                <w:sz w:val="22"/>
              </w:rPr>
              <w:t xml:space="preserve">14,1</w:t>
            </w:r>
          </w:p>
        </w:tc>
      </w:tr>
      <w:tr w:rsidR="005603EC" w:rsidTr="005603EC">
        <w:trPr>
          <w:cantSplit/>
        </w:trPr>
        <w:tc>
          <w:tcPr>
            <w:tcW w:w="3402" w:type="dxa"/>
          </w:tcPr>
          <w:p w:rsidR="005603EC" w:rsidRDefault="00AB61AC">
            <w:pPr>
              <w:pStyle w:val="Compact"/>
              <w:spacing w:line="240" w:lineRule="auto"/>
            </w:pPr>
            <w:r>
              <w:rPr>
                <w:sz w:val="22"/>
              </w:rPr>
              <w:t xml:space="preserve">Asosiy kapital (CET1) monandligi, %</w:t>
            </w:r>
          </w:p>
        </w:tc>
        <w:tc>
          <w:tcPr>
            <w:tcW w:w="1179" w:type="dxa"/>
          </w:tcPr>
          <w:p w:rsidR="005603EC" w:rsidRDefault="00AB61AC">
            <w:pPr>
              <w:pStyle w:val="Compact"/>
              <w:spacing w:line="240" w:lineRule="auto"/>
            </w:pPr>
            <w:r>
              <w:rPr>
                <w:sz w:val="22"/>
              </w:rPr>
              <w:t xml:space="preserve">11,4</w:t>
            </w:r>
          </w:p>
        </w:tc>
        <w:tc>
          <w:tcPr>
            <w:tcW w:w="1179" w:type="dxa"/>
          </w:tcPr>
          <w:p w:rsidR="005603EC" w:rsidRDefault="00AB61AC">
            <w:pPr>
              <w:pStyle w:val="Compact"/>
              <w:spacing w:line="240" w:lineRule="auto"/>
            </w:pPr>
            <w:r>
              <w:rPr>
                <w:sz w:val="22"/>
              </w:rPr>
              <w:t xml:space="preserve">9,4</w:t>
            </w:r>
          </w:p>
        </w:tc>
        <w:tc>
          <w:tcPr>
            <w:tcW w:w="1179" w:type="dxa"/>
          </w:tcPr>
          <w:p w:rsidR="005603EC" w:rsidRDefault="00AB61AC">
            <w:pPr>
              <w:pStyle w:val="Compact"/>
              <w:spacing w:line="240" w:lineRule="auto"/>
            </w:pPr>
            <w:r>
              <w:rPr>
                <w:sz w:val="22"/>
              </w:rPr>
              <w:t xml:space="preserve">11,5</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10,1</w:t>
            </w:r>
          </w:p>
        </w:tc>
      </w:tr>
      <w:tr w:rsidR="005603EC" w:rsidTr="005603EC">
        <w:trPr>
          <w:cantSplit/>
        </w:trPr>
        <w:tc>
          <w:tcPr>
            <w:tcW w:w="3402" w:type="dxa"/>
          </w:tcPr>
          <w:p w:rsidR="005603EC" w:rsidRDefault="00AB61AC">
            <w:pPr>
              <w:pStyle w:val="Compact"/>
              <w:spacing w:line="240" w:lineRule="auto"/>
            </w:pPr>
            <w:r>
              <w:rPr>
                <w:sz w:val="22"/>
              </w:rPr>
              <w:t xml:space="preserve">Muammoli kreditlar ulushi, %</w:t>
            </w:r>
          </w:p>
        </w:tc>
        <w:tc>
          <w:tcPr>
            <w:tcW w:w="1179" w:type="dxa"/>
          </w:tcPr>
          <w:p w:rsidR="005603EC" w:rsidRDefault="00AB61AC">
            <w:pPr>
              <w:pStyle w:val="Compact"/>
              <w:spacing w:line="240" w:lineRule="auto"/>
            </w:pPr>
            <w:r>
              <w:rPr>
                <w:sz w:val="22"/>
              </w:rPr>
              <w:t xml:space="preserve">4,1</w:t>
            </w:r>
          </w:p>
        </w:tc>
        <w:tc>
          <w:tcPr>
            <w:tcW w:w="1179" w:type="dxa"/>
          </w:tcPr>
          <w:p w:rsidR="005603EC" w:rsidRDefault="00AB61AC">
            <w:pPr>
              <w:pStyle w:val="Compact"/>
              <w:spacing w:line="240" w:lineRule="auto"/>
            </w:pPr>
            <w:r>
              <w:rPr>
                <w:sz w:val="22"/>
              </w:rPr>
              <w:t xml:space="preserve">2,0</w:t>
            </w:r>
          </w:p>
        </w:tc>
        <w:tc>
          <w:tcPr>
            <w:tcW w:w="1179" w:type="dxa"/>
          </w:tcPr>
          <w:p w:rsidR="005603EC" w:rsidRDefault="00AB61AC">
            <w:pPr>
              <w:pStyle w:val="Compact"/>
              <w:spacing w:line="240" w:lineRule="auto"/>
            </w:pPr>
            <w:r>
              <w:rPr>
                <w:sz w:val="22"/>
              </w:rPr>
              <w:t xml:space="preserve">1,5</w:t>
            </w:r>
          </w:p>
        </w:tc>
        <w:tc>
          <w:tcPr>
            <w:tcW w:w="1179" w:type="dxa"/>
          </w:tcPr>
          <w:p w:rsidR="005603EC" w:rsidRDefault="00AB61AC">
            <w:pPr>
              <w:pStyle w:val="Compact"/>
              <w:spacing w:line="240" w:lineRule="auto"/>
            </w:pPr>
            <w:r>
              <w:rPr>
                <w:sz w:val="22"/>
              </w:rPr>
              <w:t xml:space="preserve">1,9</w:t>
            </w:r>
          </w:p>
        </w:tc>
        <w:tc>
          <w:tcPr>
            <w:tcW w:w="1179" w:type="dxa"/>
          </w:tcPr>
          <w:p w:rsidR="005603EC" w:rsidRDefault="00AB61AC">
            <w:pPr>
              <w:pStyle w:val="Compact"/>
              <w:spacing w:line="240" w:lineRule="auto"/>
            </w:pPr>
            <w:r>
              <w:rPr>
                <w:sz w:val="22"/>
              </w:rPr>
              <w:t xml:space="preserve">2,5</w:t>
            </w:r>
          </w:p>
        </w:tc>
      </w:tr>
      <w:tr w:rsidR="005603EC" w:rsidTr="005603EC">
        <w:trPr>
          <w:cantSplit/>
        </w:trPr>
        <w:tc>
          <w:tcPr>
            <w:tcW w:w="3402" w:type="dxa"/>
          </w:tcPr>
          <w:p w:rsidR="005603EC" w:rsidRDefault="00AB61AC">
            <w:pPr>
              <w:pStyle w:val="Compact"/>
              <w:spacing w:line="240" w:lineRule="auto"/>
            </w:pPr>
            <w:r>
              <w:rPr>
                <w:sz w:val="22"/>
              </w:rPr>
              <w:t xml:space="preserve">Substandart kreditlar ulushi, %</w:t>
            </w:r>
          </w:p>
        </w:tc>
        <w:tc>
          <w:tcPr>
            <w:tcW w:w="1179" w:type="dxa"/>
          </w:tcPr>
          <w:p w:rsidR="005603EC" w:rsidRDefault="00AB61AC">
            <w:pPr>
              <w:pStyle w:val="Compact"/>
              <w:spacing w:line="240" w:lineRule="auto"/>
            </w:pPr>
            <w:r>
              <w:rPr>
                <w:sz w:val="22"/>
              </w:rPr>
              <w:t xml:space="preserve">8,0</w:t>
            </w:r>
          </w:p>
        </w:tc>
        <w:tc>
          <w:tcPr>
            <w:tcW w:w="1179" w:type="dxa"/>
          </w:tcPr>
          <w:p w:rsidR="005603EC" w:rsidRDefault="00AB61AC">
            <w:pPr>
              <w:pStyle w:val="Compact"/>
              <w:spacing w:line="240" w:lineRule="auto"/>
            </w:pPr>
            <w:r>
              <w:rPr>
                <w:sz w:val="22"/>
              </w:rPr>
              <w:t xml:space="preserve">1,1</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10,2</w:t>
            </w:r>
          </w:p>
        </w:tc>
        <w:tc>
          <w:tcPr>
            <w:tcW w:w="1179" w:type="dxa"/>
          </w:tcPr>
          <w:p w:rsidR="005603EC" w:rsidRDefault="00AB61AC">
            <w:pPr>
              <w:pStyle w:val="Compact"/>
              <w:spacing w:line="240" w:lineRule="auto"/>
            </w:pPr>
            <w:r>
              <w:rPr>
                <w:sz w:val="22"/>
              </w:rPr>
              <w:t xml:space="preserve">6,4</w:t>
            </w:r>
          </w:p>
        </w:tc>
      </w:tr>
      <w:tr w:rsidR="005603EC" w:rsidTr="005603EC">
        <w:trPr>
          <w:cantSplit/>
        </w:trPr>
        <w:tc>
          <w:tcPr>
            <w:tcW w:w="3402" w:type="dxa"/>
          </w:tcPr>
          <w:p w:rsidR="005603EC" w:rsidRDefault="00AB61AC">
            <w:pPr>
              <w:pStyle w:val="Compact"/>
              <w:spacing w:line="240" w:lineRule="auto"/>
            </w:pPr>
            <w:r>
              <w:rPr>
                <w:sz w:val="22"/>
              </w:rPr>
              <w:t xml:space="preserve">ROA, %</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1,6</w:t>
            </w:r>
          </w:p>
        </w:tc>
        <w:tc>
          <w:tcPr>
            <w:tcW w:w="1179" w:type="dxa"/>
          </w:tcPr>
          <w:p w:rsidR="005603EC" w:rsidRDefault="00AB61AC">
            <w:pPr>
              <w:pStyle w:val="Compact"/>
              <w:spacing w:line="240" w:lineRule="auto"/>
            </w:pPr>
            <w:r>
              <w:rPr>
                <w:sz w:val="22"/>
              </w:rPr>
              <w:t xml:space="preserve">3,8</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0,9</w:t>
            </w:r>
          </w:p>
        </w:tc>
      </w:tr>
      <w:tr w:rsidR="005603EC" w:rsidTr="005603EC">
        <w:trPr>
          <w:cantSplit/>
        </w:trPr>
        <w:tc>
          <w:tcPr>
            <w:tcW w:w="3402" w:type="dxa"/>
          </w:tcPr>
          <w:p w:rsidR="005603EC" w:rsidRDefault="00AB61AC">
            <w:pPr>
              <w:pStyle w:val="Compact"/>
              <w:spacing w:line="240" w:lineRule="auto"/>
            </w:pPr>
            <w:r>
              <w:rPr>
                <w:sz w:val="22"/>
              </w:rPr>
              <w:t xml:space="preserve">ROE, %</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27,4</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7,3</w:t>
            </w:r>
          </w:p>
        </w:tc>
      </w:tr>
      <w:tr w:rsidR="005603EC" w:rsidTr="005603EC">
        <w:trPr>
          <w:cantSplit/>
        </w:trPr>
        <w:tc>
          <w:tcPr>
            <w:tcW w:w="3402" w:type="dxa"/>
          </w:tcPr>
          <w:p w:rsidR="005603EC" w:rsidRDefault="00AB61AC">
            <w:pPr>
              <w:pStyle w:val="Compact"/>
              <w:spacing w:line="240" w:lineRule="auto"/>
            </w:pPr>
            <w:r>
              <w:rPr>
                <w:sz w:val="22"/>
              </w:rPr>
              <w:t xml:space="preserve">LCR, %</w:t>
            </w:r>
          </w:p>
        </w:tc>
        <w:tc>
          <w:tcPr>
            <w:tcW w:w="1179" w:type="dxa"/>
          </w:tcPr>
          <w:p w:rsidR="005603EC" w:rsidRDefault="00AB61AC">
            <w:pPr>
              <w:pStyle w:val="Compact"/>
              <w:spacing w:line="240" w:lineRule="auto"/>
            </w:pPr>
            <w:r>
              <w:rPr>
                <w:sz w:val="22"/>
              </w:rPr>
              <w:t xml:space="preserve">110,9</w:t>
            </w:r>
          </w:p>
        </w:tc>
        <w:tc>
          <w:tcPr>
            <w:tcW w:w="1179" w:type="dxa"/>
          </w:tcPr>
          <w:p w:rsidR="005603EC" w:rsidRDefault="00AB61AC">
            <w:pPr>
              <w:pStyle w:val="Compact"/>
              <w:spacing w:line="240" w:lineRule="auto"/>
            </w:pPr>
            <w:r>
              <w:rPr>
                <w:sz w:val="22"/>
              </w:rPr>
              <w:t xml:space="preserve">226,8</w:t>
            </w:r>
          </w:p>
        </w:tc>
        <w:tc>
          <w:tcPr>
            <w:tcW w:w="1179" w:type="dxa"/>
          </w:tcPr>
          <w:p w:rsidR="005603EC" w:rsidRDefault="00AB61AC">
            <w:pPr>
              <w:pStyle w:val="Compact"/>
              <w:spacing w:line="240" w:lineRule="auto"/>
            </w:pPr>
            <w:r>
              <w:rPr>
                <w:sz w:val="22"/>
              </w:rPr>
              <w:t xml:space="preserve">103,1</w:t>
            </w:r>
          </w:p>
        </w:tc>
        <w:tc>
          <w:tcPr>
            <w:tcW w:w="1179" w:type="dxa"/>
          </w:tcPr>
          <w:p w:rsidR="005603EC" w:rsidRDefault="00AB61AC">
            <w:pPr>
              <w:pStyle w:val="Compact"/>
              <w:spacing w:line="240" w:lineRule="auto"/>
            </w:pPr>
            <w:r>
              <w:rPr>
                <w:sz w:val="22"/>
              </w:rPr>
              <w:t xml:space="preserve">144,4</w:t>
            </w:r>
          </w:p>
        </w:tc>
        <w:tc>
          <w:tcPr>
            <w:tcW w:w="1179" w:type="dxa"/>
          </w:tcPr>
          <w:p w:rsidR="005603EC" w:rsidRDefault="00AB61AC">
            <w:pPr>
              <w:pStyle w:val="Compact"/>
              <w:spacing w:line="240" w:lineRule="auto"/>
            </w:pPr>
            <w:r>
              <w:rPr>
                <w:sz w:val="22"/>
              </w:rPr>
              <w:t xml:space="preserve">142,0</w:t>
            </w:r>
          </w:p>
        </w:tc>
      </w:tr>
      <w:tr w:rsidR="005603EC" w:rsidTr="005603EC">
        <w:trPr>
          <w:cantSplit/>
        </w:trPr>
        <w:tc>
          <w:tcPr>
            <w:tcW w:w="3402" w:type="dxa"/>
          </w:tcPr>
          <w:p w:rsidR="005603EC" w:rsidRDefault="00AB61AC">
            <w:pPr>
              <w:pStyle w:val="Compact"/>
              <w:spacing w:line="240" w:lineRule="auto"/>
            </w:pPr>
            <w:r>
              <w:rPr>
                <w:sz w:val="22"/>
              </w:rPr>
              <w:t xml:space="preserve">NSFR, %</w:t>
            </w:r>
          </w:p>
        </w:tc>
        <w:tc>
          <w:tcPr>
            <w:tcW w:w="1179" w:type="dxa"/>
          </w:tcPr>
          <w:p w:rsidR="005603EC" w:rsidRDefault="00AB61AC">
            <w:pPr>
              <w:pStyle w:val="Compact"/>
              <w:spacing w:line="240" w:lineRule="auto"/>
            </w:pPr>
            <w:r>
              <w:rPr>
                <w:sz w:val="22"/>
              </w:rPr>
              <w:t xml:space="preserve">108,0</w:t>
            </w:r>
          </w:p>
        </w:tc>
        <w:tc>
          <w:tcPr>
            <w:tcW w:w="1179" w:type="dxa"/>
          </w:tcPr>
          <w:p w:rsidR="005603EC" w:rsidRDefault="00AB61AC">
            <w:pPr>
              <w:pStyle w:val="Compact"/>
              <w:spacing w:line="240" w:lineRule="auto"/>
            </w:pPr>
            <w:r>
              <w:rPr>
                <w:sz w:val="22"/>
              </w:rPr>
              <w:t xml:space="preserve">100,9</w:t>
            </w:r>
          </w:p>
        </w:tc>
        <w:tc>
          <w:tcPr>
            <w:tcW w:w="1179" w:type="dxa"/>
          </w:tcPr>
          <w:p w:rsidR="005603EC" w:rsidRDefault="00AB61AC">
            <w:pPr>
              <w:pStyle w:val="Compact"/>
              <w:spacing w:line="240" w:lineRule="auto"/>
            </w:pPr>
            <w:r>
              <w:rPr>
                <w:sz w:val="22"/>
              </w:rPr>
              <w:t xml:space="preserve">102,8</w:t>
            </w:r>
          </w:p>
        </w:tc>
        <w:tc>
          <w:tcPr>
            <w:tcW w:w="1179" w:type="dxa"/>
          </w:tcPr>
          <w:p w:rsidR="005603EC" w:rsidRDefault="00AB61AC">
            <w:pPr>
              <w:pStyle w:val="Compact"/>
              <w:spacing w:line="240" w:lineRule="auto"/>
            </w:pPr>
            <w:r>
              <w:rPr>
                <w:sz w:val="22"/>
              </w:rPr>
              <w:t xml:space="preserve">106,6</w:t>
            </w:r>
          </w:p>
        </w:tc>
        <w:tc>
          <w:tcPr>
            <w:tcW w:w="1179" w:type="dxa"/>
          </w:tcPr>
          <w:p w:rsidR="005603EC" w:rsidRDefault="00AB61AC">
            <w:pPr>
              <w:pStyle w:val="Compact"/>
              <w:spacing w:line="240" w:lineRule="auto"/>
            </w:pPr>
            <w:r>
              <w:rPr>
                <w:sz w:val="22"/>
              </w:rPr>
              <w:t xml:space="preserve">103,0</w:t>
            </w:r>
          </w:p>
        </w:tc>
      </w:tr>
      <w:tr w:rsidR="005603EC" w:rsidTr="005603EC">
        <w:trPr>
          <w:cantSplit/>
        </w:trPr>
        <w:tc>
          <w:tcPr>
            <w:tcW w:w="3402" w:type="dxa"/>
          </w:tcPr>
          <w:p w:rsidR="005603EC" w:rsidRDefault="00AB61AC">
            <w:pPr>
              <w:pStyle w:val="Compact"/>
              <w:spacing w:line="240" w:lineRule="auto"/>
            </w:pPr>
            <w:r>
              <w:rPr>
                <w:sz w:val="22"/>
              </w:rPr>
              <w:t xml:space="preserve">Kreditlar / depozitlar, %</w:t>
            </w:r>
          </w:p>
        </w:tc>
        <w:tc>
          <w:tcPr>
            <w:tcW w:w="1179" w:type="dxa"/>
          </w:tcPr>
          <w:p w:rsidR="005603EC" w:rsidRDefault="00AB61AC">
            <w:pPr>
              <w:pStyle w:val="Compact"/>
              <w:spacing w:line="240" w:lineRule="auto"/>
            </w:pPr>
            <w:r>
              <w:rPr>
                <w:sz w:val="22"/>
              </w:rPr>
              <w:t xml:space="preserve">114,1</w:t>
            </w:r>
          </w:p>
        </w:tc>
        <w:tc>
          <w:tcPr>
            <w:tcW w:w="1179" w:type="dxa"/>
          </w:tcPr>
          <w:p w:rsidR="005603EC" w:rsidRDefault="00AB61AC">
            <w:pPr>
              <w:pStyle w:val="Compact"/>
              <w:spacing w:line="240" w:lineRule="auto"/>
            </w:pPr>
            <w:r>
              <w:rPr>
                <w:sz w:val="22"/>
              </w:rPr>
              <w:t xml:space="preserve">119,0</w:t>
            </w:r>
          </w:p>
        </w:tc>
        <w:tc>
          <w:tcPr>
            <w:tcW w:w="1179" w:type="dxa"/>
          </w:tcPr>
          <w:p w:rsidR="005603EC" w:rsidRDefault="00AB61AC">
            <w:pPr>
              <w:pStyle w:val="Compact"/>
              <w:spacing w:line="240" w:lineRule="auto"/>
            </w:pPr>
            <w:r>
              <w:rPr>
                <w:sz w:val="22"/>
              </w:rPr>
              <w:t xml:space="preserve">111,6</w:t>
            </w:r>
          </w:p>
        </w:tc>
        <w:tc>
          <w:tcPr>
            <w:tcW w:w="1179" w:type="dxa"/>
          </w:tcPr>
          <w:p w:rsidR="005603EC" w:rsidRDefault="00AB61AC">
            <w:pPr>
              <w:pStyle w:val="Compact"/>
              <w:spacing w:line="240" w:lineRule="auto"/>
            </w:pPr>
            <w:r>
              <w:rPr>
                <w:sz w:val="22"/>
              </w:rPr>
              <w:t xml:space="preserve">93,7</w:t>
            </w:r>
          </w:p>
        </w:tc>
        <w:tc>
          <w:tcPr>
            <w:tcW w:w="1179" w:type="dxa"/>
          </w:tcPr>
          <w:p w:rsidR="005603EC" w:rsidRDefault="00AB61AC">
            <w:pPr>
              <w:pStyle w:val="Compact"/>
              <w:spacing w:line="240" w:lineRule="auto"/>
            </w:pPr>
            <w:r>
              <w:rPr>
                <w:sz w:val="22"/>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 asosiy kapital monandligi 9,4–11,8 foiz oralig‘ida o‘zgargan. 2023-yildagi kapital o‘sishi (847,8 mlrd so‘m) asosan o‘z foydasi (607,7 mlrd so‘m) hisobiga ta’minlangan, 2024–2025-yillarda esa kapital o‘sishining yarmidan ko‘pi tashqi manbalarga to‘g‘ri kelgan</w:t>
      </w:r>
      <w:r>
        <w:rPr>
          <w:rStyle w:val="aff8"/>
        </w:rPr>
        <w:footnoteReference w:id="317"/>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farqi moliyalashtirish tuzilmasida: kreditlarning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8"/>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19"/>
      </w:r>
      <w:r>
        <w:rPr>
          <w:rStyle w:val="aff8"/>
        </w:rPr>
        <w:footnoteReference w:id="320"/>
      </w:r>
      <w:r>
        <w:t>. Bundan ham muhimi, bankda 2-bosqich, ya’ni kredit riski sezilarli oshgan kreditlar ulushi 2023-yildagi 15,8 foizdan 2024-yilda 27,1 foizga, 2025-yilda esa 35,7 foizga ko‘tarilgan</w:t>
      </w:r>
      <w:r>
        <w:rPr>
          <w:rStyle w:val="aff8"/>
        </w:rPr>
        <w:footnoteReference w:id="321"/>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2"/>
      </w:r>
      <w:r>
        <w:t>.</w:t>
      </w:r>
      <w:r>
        <w:rPr/>
        <w:t xml:space="preserve"> </w:t>
      </w:r>
      <w:r>
        <w:rPr/>
        <w:t xml:space="preserve">“Aloqabank” ATB da ham</w:t>
      </w:r>
      <w:r>
        <w:rPr/>
        <w:t xml:space="preserve">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rPr>
        <w:footnoteReference w:id="323"/>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4"/>
      </w:r>
      <w:r>
        <w:t xml:space="preserve">. </w:t>
      </w:r>
      <w:r>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tcPr>
          <w:p w:rsidR="005603EC" w:rsidRDefault="00AB61AC">
            <w:pPr>
              <w:pStyle w:val="Compact"/>
              <w:spacing w:line="240" w:lineRule="auto"/>
              <w:jc w:val="center"/>
            </w:pPr>
            <w:r>
              <w:rPr>
                <w:b/>
                <w:sz w:val="22"/>
              </w:rPr>
              <w:t>Ko‘rsatkich</w:t>
            </w:r>
          </w:p>
        </w:tc>
        <w:tc>
          <w:tcPr>
            <w:tcW w:w="900" w:type="dxa"/>
            <w:shd w:val="clear" w:color="auto" w:fill="DEEBF7"/>
          </w:tcPr>
          <w:p w:rsidR="005603EC" w:rsidRDefault="00AB61AC">
            <w:pPr>
              <w:pStyle w:val="Compact"/>
              <w:spacing w:line="240" w:lineRule="auto"/>
              <w:jc w:val="center"/>
            </w:pPr>
            <w:r>
              <w:rPr>
                <w:b/>
                <w:sz w:val="22"/>
              </w:rPr>
              <w:t>Bank tizimi</w:t>
            </w:r>
          </w:p>
        </w:tc>
        <w:tc>
          <w:tcPr>
            <w:tcW w:w="1080" w:type="dxa"/>
            <w:shd w:val="clear" w:color="auto" w:fill="DEEBF7"/>
          </w:tcPr>
          <w:p w:rsidR="005603EC" w:rsidRDefault="00AB61AC">
            <w:pPr>
              <w:pStyle w:val="Compact"/>
              <w:spacing w:line="240" w:lineRule="auto"/>
              <w:jc w:val="center"/>
            </w:pPr>
            <w:r>
              <w:rPr>
                <w:b/>
                <w:sz w:val="22"/>
              </w:rPr>
              <w:t>“O‘zsanoatqurilishbank”</w:t>
            </w:r>
          </w:p>
        </w:tc>
        <w:tc>
          <w:tcPr>
            <w:tcW w:w="1080" w:type="dxa"/>
            <w:shd w:val="clear" w:color="auto" w:fill="DEEBF7"/>
          </w:tcPr>
          <w:p w:rsidR="005603EC" w:rsidRDefault="00AB61AC">
            <w:pPr>
              <w:pStyle w:val="Compact"/>
              <w:spacing w:line="240" w:lineRule="auto"/>
              <w:jc w:val="center"/>
            </w:pPr>
            <w:r>
              <w:rPr>
                <w:b/>
                <w:sz w:val="22"/>
              </w:rPr>
              <w:t>“Mikrokreditbank”</w:t>
            </w:r>
          </w:p>
        </w:tc>
        <w:tc>
          <w:tcPr>
            <w:tcW w:w="1000" w:type="dxa"/>
            <w:shd w:val="clear" w:color="auto" w:fill="DEEBF7"/>
          </w:tcPr>
          <w:p w:rsidR="005603EC" w:rsidRDefault="00AB61AC">
            <w:pPr>
              <w:pStyle w:val="Compact"/>
              <w:spacing w:line="240" w:lineRule="auto"/>
              <w:jc w:val="center"/>
            </w:pPr>
            <w:r>
              <w:rPr>
                <w:b/>
                <w:sz w:val="22"/>
              </w:rPr>
              <w:t xml:space="preserve">“Aloqabank”</w:t>
            </w:r>
          </w:p>
        </w:tc>
        <w:tc>
          <w:tcPr>
            <w:tcW w:w="1500" w:type="dxa"/>
            <w:shd w:val="clear" w:color="auto" w:fill="DEEBF7"/>
          </w:tcPr>
          <w:p w:rsidR="005603EC" w:rsidRDefault="00AB61AC">
            <w:pPr>
              <w:pStyle w:val="Compact"/>
              <w:spacing w:line="240" w:lineRule="auto"/>
              <w:jc w:val="center"/>
            </w:pPr>
            <w:r>
              <w:rPr>
                <w:b/>
                <w:sz w:val="22"/>
              </w:rPr>
              <w:t>Xalqaro mezon</w:t>
            </w:r>
          </w:p>
        </w:tc>
        <w:tc>
          <w:tcPr>
            <w:tcW w:w="1895"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1900" w:type="dxa"/>
          </w:tcPr>
          <w:p w:rsidR="005603EC" w:rsidRDefault="00AB61AC">
            <w:pPr>
              <w:pStyle w:val="Compact"/>
              <w:spacing w:line="240" w:lineRule="auto"/>
            </w:pPr>
            <w:r>
              <w:rPr>
                <w:sz w:val="22"/>
              </w:rPr>
              <w:t>Regulyativ kapital monandligi, %</w:t>
            </w:r>
          </w:p>
        </w:tc>
        <w:tc>
          <w:tcPr>
            <w:tcW w:w="900" w:type="dxa"/>
          </w:tcPr>
          <w:p w:rsidR="005603EC" w:rsidRDefault="00AB61AC">
            <w:pPr>
              <w:pStyle w:val="Compact"/>
              <w:spacing w:line="240" w:lineRule="auto"/>
            </w:pPr>
            <w:r>
              <w:rPr>
                <w:sz w:val="22"/>
              </w:rPr>
              <w:t>18,3</w:t>
            </w:r>
          </w:p>
        </w:tc>
        <w:tc>
          <w:tcPr>
            <w:tcW w:w="1080" w:type="dxa"/>
          </w:tcPr>
          <w:p w:rsidR="005603EC" w:rsidRDefault="00AB61AC">
            <w:pPr>
              <w:pStyle w:val="Compact"/>
              <w:spacing w:line="240" w:lineRule="auto"/>
            </w:pPr>
            <w:r>
              <w:rPr>
                <w:sz w:val="22"/>
              </w:rPr>
              <w:t>17,0</w:t>
            </w:r>
          </w:p>
        </w:tc>
        <w:tc>
          <w:tcPr>
            <w:tcW w:w="1080" w:type="dxa"/>
          </w:tcPr>
          <w:p w:rsidR="005603EC" w:rsidRDefault="00AB61AC">
            <w:pPr>
              <w:pStyle w:val="Compact"/>
              <w:spacing w:line="240" w:lineRule="auto"/>
            </w:pPr>
            <w:r>
              <w:rPr>
                <w:sz w:val="22"/>
              </w:rPr>
              <w:t>18,5</w:t>
            </w:r>
          </w:p>
        </w:tc>
        <w:tc>
          <w:tcPr>
            <w:tcW w:w="1000" w:type="dxa"/>
          </w:tcPr>
          <w:p w:rsidR="005603EC" w:rsidRDefault="00AB61AC">
            <w:pPr>
              <w:pStyle w:val="Compact"/>
              <w:spacing w:line="240" w:lineRule="auto"/>
            </w:pPr>
            <w:r>
              <w:rPr>
                <w:sz w:val="22"/>
              </w:rPr>
              <w:t xml:space="preserve">14,1</w:t>
            </w:r>
          </w:p>
        </w:tc>
        <w:tc>
          <w:tcPr>
            <w:tcW w:w="1500" w:type="dxa"/>
          </w:tcPr>
          <w:p w:rsidR="005603EC" w:rsidRDefault="00AB61AC">
            <w:pPr>
              <w:pStyle w:val="Compact"/>
              <w:spacing w:line="240" w:lineRule="auto"/>
            </w:pPr>
            <w:r>
              <w:rPr>
                <w:sz w:val="22"/>
              </w:rPr>
              <w:t>≥ 10,5 (Bazel III, bufer bilan)</w:t>
            </w:r>
          </w:p>
        </w:tc>
        <w:tc>
          <w:tcPr>
            <w:tcW w:w="1895" w:type="dxa"/>
          </w:tcPr>
          <w:p w:rsidR="005603EC" w:rsidRDefault="00AB61AC">
            <w:pPr>
              <w:pStyle w:val="Compact"/>
              <w:spacing w:line="240" w:lineRule="auto"/>
            </w:pPr>
            <w:r>
              <w:rPr>
                <w:sz w:val="22"/>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pPr>
            <w:r>
              <w:rPr>
                <w:sz w:val="22"/>
              </w:rPr>
              <w:lastRenderedPageBreak/>
              <w:t>Asosiy kapital monandligi, %</w:t>
            </w:r>
          </w:p>
        </w:tc>
        <w:tc>
          <w:tcPr>
            <w:tcW w:w="900" w:type="dxa"/>
          </w:tcPr>
          <w:p w:rsidR="005603EC" w:rsidRDefault="00AB61AC">
            <w:pPr>
              <w:pStyle w:val="Compact"/>
              <w:spacing w:line="240" w:lineRule="auto"/>
            </w:pPr>
            <w:r>
              <w:rPr>
                <w:sz w:val="22"/>
              </w:rPr>
              <w:t>14,7</w:t>
            </w:r>
          </w:p>
        </w:tc>
        <w:tc>
          <w:tcPr>
            <w:tcW w:w="1080" w:type="dxa"/>
          </w:tcPr>
          <w:p w:rsidR="005603EC" w:rsidRDefault="00AB61AC">
            <w:pPr>
              <w:pStyle w:val="Compact"/>
              <w:spacing w:line="240" w:lineRule="auto"/>
            </w:pPr>
            <w:r>
              <w:rPr>
                <w:sz w:val="22"/>
              </w:rPr>
              <w:t>10,2</w:t>
            </w:r>
          </w:p>
        </w:tc>
        <w:tc>
          <w:tcPr>
            <w:tcW w:w="1080" w:type="dxa"/>
          </w:tcPr>
          <w:p w:rsidR="005603EC" w:rsidRDefault="00AB61AC">
            <w:pPr>
              <w:pStyle w:val="Compact"/>
              <w:spacing w:line="240" w:lineRule="auto"/>
            </w:pPr>
            <w:r>
              <w:rPr>
                <w:sz w:val="22"/>
              </w:rPr>
              <w:t>16,4</w:t>
            </w:r>
          </w:p>
        </w:tc>
        <w:tc>
          <w:tcPr>
            <w:tcW w:w="1000" w:type="dxa"/>
          </w:tcPr>
          <w:p w:rsidR="005603EC" w:rsidRDefault="00AB61AC">
            <w:pPr>
              <w:pStyle w:val="Compact"/>
              <w:spacing w:line="240" w:lineRule="auto"/>
            </w:pPr>
            <w:r>
              <w:rPr>
                <w:sz w:val="22"/>
              </w:rPr>
              <w:t xml:space="preserve">10,1</w:t>
            </w:r>
          </w:p>
        </w:tc>
        <w:tc>
          <w:tcPr>
            <w:tcW w:w="1500" w:type="dxa"/>
          </w:tcPr>
          <w:p w:rsidR="005603EC" w:rsidRDefault="00AB61AC">
            <w:pPr>
              <w:pStyle w:val="Compact"/>
              <w:spacing w:line="240" w:lineRule="auto"/>
            </w:pPr>
            <w:r>
              <w:rPr>
                <w:sz w:val="22"/>
              </w:rPr>
              <w:t>≥ 7 (Bazel III, bufer bilan)</w:t>
            </w:r>
          </w:p>
        </w:tc>
        <w:tc>
          <w:tcPr>
            <w:tcW w:w="1895" w:type="dxa"/>
          </w:tcPr>
          <w:p w:rsidR="005603EC" w:rsidRDefault="00AB61AC">
            <w:pPr>
              <w:pStyle w:val="Compact"/>
              <w:spacing w:line="240" w:lineRule="auto"/>
            </w:pPr>
            <w:r>
              <w:rPr>
                <w:sz w:val="22"/>
              </w:rPr>
              <w:t xml:space="preserve">Yetarli, SQB va Aloqabank da zaxira kichik</w:t>
            </w:r>
          </w:p>
        </w:tc>
      </w:tr>
      <w:tr w:rsidR="005603EC" w:rsidTr="005603EC">
        <w:trPr>
          <w:cantSplit/>
        </w:trPr>
        <w:tc>
          <w:tcPr>
            <w:tcW w:w="1900" w:type="dxa"/>
          </w:tcPr>
          <w:p w:rsidR="005603EC" w:rsidRDefault="00AB61AC">
            <w:pPr>
              <w:pStyle w:val="Compact"/>
              <w:spacing w:line="240" w:lineRule="auto"/>
            </w:pPr>
            <w:r>
              <w:rPr>
                <w:sz w:val="22"/>
              </w:rPr>
              <w:t>Muammoli kreditlar ulushi, %</w:t>
            </w:r>
          </w:p>
        </w:tc>
        <w:tc>
          <w:tcPr>
            <w:tcW w:w="900" w:type="dxa"/>
          </w:tcPr>
          <w:p w:rsidR="005603EC" w:rsidRDefault="00AB61AC">
            <w:pPr>
              <w:pStyle w:val="Compact"/>
              <w:spacing w:line="240" w:lineRule="auto"/>
            </w:pPr>
            <w:r>
              <w:rPr>
                <w:sz w:val="22"/>
              </w:rPr>
              <w:t>3,0</w:t>
            </w:r>
          </w:p>
        </w:tc>
        <w:tc>
          <w:tcPr>
            <w:tcW w:w="1080" w:type="dxa"/>
          </w:tcPr>
          <w:p w:rsidR="005603EC" w:rsidRDefault="00AB61AC">
            <w:pPr>
              <w:pStyle w:val="Compact"/>
              <w:spacing w:line="240" w:lineRule="auto"/>
            </w:pPr>
            <w:r>
              <w:rPr>
                <w:sz w:val="22"/>
              </w:rPr>
              <w:t>2,5</w:t>
            </w:r>
          </w:p>
        </w:tc>
        <w:tc>
          <w:tcPr>
            <w:tcW w:w="1080" w:type="dxa"/>
          </w:tcPr>
          <w:p w:rsidR="005603EC" w:rsidRDefault="00AB61AC">
            <w:pPr>
              <w:pStyle w:val="Compact"/>
              <w:spacing w:line="240" w:lineRule="auto"/>
            </w:pPr>
            <w:r>
              <w:rPr>
                <w:sz w:val="22"/>
              </w:rPr>
              <w:t>4,4</w:t>
            </w:r>
          </w:p>
        </w:tc>
        <w:tc>
          <w:tcPr>
            <w:tcW w:w="1000" w:type="dxa"/>
          </w:tcPr>
          <w:p w:rsidR="005603EC" w:rsidRDefault="00AB61AC">
            <w:pPr>
              <w:pStyle w:val="Compact"/>
              <w:spacing w:line="240" w:lineRule="auto"/>
            </w:pPr>
            <w:r>
              <w:rPr>
                <w:sz w:val="22"/>
              </w:rPr>
              <w:t xml:space="preserve">2,5</w:t>
            </w:r>
          </w:p>
        </w:tc>
        <w:tc>
          <w:tcPr>
            <w:tcW w:w="1500" w:type="dxa"/>
          </w:tcPr>
          <w:p w:rsidR="005603EC" w:rsidRDefault="00AB61AC">
            <w:pPr>
              <w:pStyle w:val="Compact"/>
              <w:spacing w:line="240" w:lineRule="auto"/>
            </w:pPr>
            <w:r>
              <w:rPr>
                <w:sz w:val="22"/>
              </w:rPr>
              <w:t>&lt; 5 (erta ogohlantirish)</w:t>
            </w:r>
          </w:p>
        </w:tc>
        <w:tc>
          <w:tcPr>
            <w:tcW w:w="1895" w:type="dxa"/>
          </w:tcPr>
          <w:p w:rsidR="005603EC" w:rsidRDefault="00AB61AC">
            <w:pPr>
              <w:pStyle w:val="Compact"/>
              <w:spacing w:line="240" w:lineRule="auto"/>
            </w:pPr>
            <w:r>
              <w:rPr>
                <w:sz w:val="22"/>
              </w:rPr>
              <w:t>Rasmiy jihatdan qoniqarli</w:t>
            </w:r>
          </w:p>
        </w:tc>
      </w:tr>
      <w:tr w:rsidR="005603EC" w:rsidTr="005603EC">
        <w:trPr>
          <w:cantSplit/>
        </w:trPr>
        <w:tc>
          <w:tcPr>
            <w:tcW w:w="1900" w:type="dxa"/>
          </w:tcPr>
          <w:p w:rsidR="005603EC" w:rsidRDefault="00AB61AC">
            <w:pPr>
              <w:pStyle w:val="Compact"/>
              <w:spacing w:line="240" w:lineRule="auto"/>
            </w:pPr>
            <w:r>
              <w:rPr>
                <w:sz w:val="22"/>
              </w:rPr>
              <w:t>MHXS 9 bo‘yicha 3-bosqich, %</w:t>
            </w:r>
          </w:p>
        </w:tc>
        <w:tc>
          <w:tcPr>
            <w:tcW w:w="900" w:type="dxa"/>
          </w:tcPr>
          <w:p w:rsidR="005603EC" w:rsidRDefault="00AB61AC">
            <w:pPr>
              <w:pStyle w:val="Compact"/>
              <w:spacing w:line="240" w:lineRule="auto"/>
            </w:pPr>
            <w:r>
              <w:rPr>
                <w:sz w:val="22"/>
              </w:rPr>
              <w:t>7,8 (2023)</w:t>
            </w:r>
          </w:p>
        </w:tc>
        <w:tc>
          <w:tcPr>
            <w:tcW w:w="1080" w:type="dxa"/>
          </w:tcPr>
          <w:p w:rsidR="005603EC" w:rsidRDefault="00AB61AC">
            <w:pPr>
              <w:pStyle w:val="Compact"/>
              <w:spacing w:line="240" w:lineRule="auto"/>
            </w:pPr>
            <w:r>
              <w:rPr>
                <w:sz w:val="22"/>
              </w:rPr>
              <w:t>7,5</w:t>
            </w:r>
          </w:p>
        </w:tc>
        <w:tc>
          <w:tcPr>
            <w:tcW w:w="1080" w:type="dxa"/>
          </w:tcPr>
          <w:p w:rsidR="005603EC" w:rsidRDefault="00AB61AC">
            <w:pPr>
              <w:pStyle w:val="Compact"/>
              <w:spacing w:line="240" w:lineRule="auto"/>
            </w:pPr>
            <w:r>
              <w:rPr>
                <w:sz w:val="22"/>
              </w:rPr>
              <w:t>12,3</w:t>
            </w:r>
          </w:p>
        </w:tc>
        <w:tc>
          <w:tcPr>
            <w:tcW w:w="1000" w:type="dxa"/>
          </w:tcPr>
          <w:p w:rsidR="005603EC" w:rsidRDefault="00AB61AC">
            <w:pPr>
              <w:pStyle w:val="Compact"/>
              <w:spacing w:line="240" w:lineRule="auto"/>
            </w:pPr>
            <w:r>
              <w:rPr>
                <w:sz w:val="22"/>
              </w:rPr>
              <w:t xml:space="preserve">7,2</w:t>
            </w:r>
          </w:p>
        </w:tc>
        <w:tc>
          <w:tcPr>
            <w:tcW w:w="1500" w:type="dxa"/>
          </w:tcPr>
          <w:p w:rsidR="005603EC" w:rsidRDefault="00AB61AC">
            <w:pPr>
              <w:pStyle w:val="Compact"/>
              <w:spacing w:line="240" w:lineRule="auto"/>
            </w:pPr>
            <w:r>
              <w:rPr>
                <w:sz w:val="22"/>
              </w:rPr>
              <w:t>&lt; 5</w:t>
            </w:r>
          </w:p>
        </w:tc>
        <w:tc>
          <w:tcPr>
            <w:tcW w:w="1895" w:type="dxa"/>
          </w:tcPr>
          <w:p w:rsidR="005603EC" w:rsidRDefault="00AB61AC">
            <w:pPr>
              <w:pStyle w:val="Compact"/>
              <w:spacing w:line="240" w:lineRule="auto"/>
            </w:pPr>
            <w:r>
              <w:rPr>
                <w:sz w:val="22"/>
              </w:rPr>
              <w:t>Zaif</w:t>
            </w:r>
          </w:p>
        </w:tc>
      </w:tr>
      <w:tr w:rsidR="005603EC" w:rsidTr="005603EC">
        <w:trPr>
          <w:cantSplit/>
        </w:trPr>
        <w:tc>
          <w:tcPr>
            <w:tcW w:w="1900" w:type="dxa"/>
          </w:tcPr>
          <w:p w:rsidR="005603EC" w:rsidRDefault="00AB61AC">
            <w:pPr>
              <w:pStyle w:val="Compact"/>
              <w:spacing w:line="240" w:lineRule="auto"/>
            </w:pPr>
            <w:r>
              <w:rPr>
                <w:sz w:val="22"/>
              </w:rPr>
              <w:t>Substandart va muammoli kreditlar, %</w:t>
            </w:r>
          </w:p>
        </w:tc>
        <w:tc>
          <w:tcPr>
            <w:tcW w:w="900" w:type="dxa"/>
          </w:tcPr>
          <w:p w:rsidR="005603EC" w:rsidRDefault="00AB61AC">
            <w:pPr>
              <w:pStyle w:val="Compact"/>
              <w:spacing w:line="240" w:lineRule="auto"/>
            </w:pPr>
            <w:r>
              <w:rPr>
                <w:sz w:val="22"/>
              </w:rPr>
              <w:t>15</w:t>
            </w:r>
          </w:p>
        </w:tc>
        <w:tc>
          <w:tcPr>
            <w:tcW w:w="1080" w:type="dxa"/>
          </w:tcPr>
          <w:p w:rsidR="005603EC" w:rsidRDefault="00AB61AC">
            <w:pPr>
              <w:pStyle w:val="Compact"/>
              <w:spacing w:line="240" w:lineRule="auto"/>
            </w:pPr>
            <w:r>
              <w:rPr>
                <w:sz w:val="22"/>
              </w:rPr>
              <w:t>20,9</w:t>
            </w:r>
          </w:p>
        </w:tc>
        <w:tc>
          <w:tcPr>
            <w:tcW w:w="1080" w:type="dxa"/>
          </w:tcPr>
          <w:p w:rsidR="005603EC" w:rsidRDefault="00AB61AC">
            <w:pPr>
              <w:pStyle w:val="Compact"/>
              <w:spacing w:line="240" w:lineRule="auto"/>
            </w:pPr>
            <w:r>
              <w:rPr>
                <w:sz w:val="22"/>
              </w:rPr>
              <w:t>13,4</w:t>
            </w:r>
          </w:p>
        </w:tc>
        <w:tc>
          <w:tcPr>
            <w:tcW w:w="1000" w:type="dxa"/>
          </w:tcPr>
          <w:p w:rsidR="005603EC" w:rsidRDefault="00AB61AC">
            <w:pPr>
              <w:pStyle w:val="Compact"/>
              <w:spacing w:line="240" w:lineRule="auto"/>
            </w:pPr>
            <w:r>
              <w:rPr>
                <w:sz w:val="22"/>
              </w:rPr>
              <w:t xml:space="preserve">9,0</w:t>
            </w:r>
          </w:p>
        </w:tc>
        <w:tc>
          <w:tcPr>
            <w:tcW w:w="1500" w:type="dxa"/>
          </w:tcPr>
          <w:p w:rsidR="005603EC" w:rsidRDefault="00AB61AC">
            <w:pPr>
              <w:pStyle w:val="Compact"/>
              <w:spacing w:line="240" w:lineRule="auto"/>
            </w:pPr>
            <w:r>
              <w:rPr>
                <w:sz w:val="22"/>
              </w:rPr>
              <w:t>&lt; 10</w:t>
            </w:r>
          </w:p>
        </w:tc>
        <w:tc>
          <w:tcPr>
            <w:tcW w:w="1895" w:type="dxa"/>
          </w:tcPr>
          <w:p w:rsidR="005603EC" w:rsidRDefault="00AB61AC">
            <w:pPr>
              <w:pStyle w:val="Compact"/>
              <w:spacing w:line="240" w:lineRule="auto"/>
            </w:pPr>
            <w:r>
              <w:rPr>
                <w:sz w:val="22"/>
              </w:rPr>
              <w:t xml:space="preserve">SQB va MK da zaif</w:t>
            </w:r>
          </w:p>
        </w:tc>
      </w:tr>
      <w:tr w:rsidR="005603EC" w:rsidTr="005603EC">
        <w:trPr>
          <w:cantSplit/>
        </w:trPr>
        <w:tc>
          <w:tcPr>
            <w:tcW w:w="1900" w:type="dxa"/>
          </w:tcPr>
          <w:p w:rsidR="005603EC" w:rsidRDefault="00AB61AC">
            <w:pPr>
              <w:pStyle w:val="Compact"/>
              <w:spacing w:line="240" w:lineRule="auto"/>
            </w:pPr>
            <w:r>
              <w:rPr>
                <w:sz w:val="22"/>
              </w:rPr>
              <w:t>ROA, %</w:t>
            </w:r>
          </w:p>
        </w:tc>
        <w:tc>
          <w:tcPr>
            <w:tcW w:w="900" w:type="dxa"/>
          </w:tcPr>
          <w:p w:rsidR="005603EC" w:rsidRDefault="00AB61AC">
            <w:pPr>
              <w:pStyle w:val="Compact"/>
              <w:spacing w:line="240" w:lineRule="auto"/>
            </w:pPr>
            <w:r>
              <w:rPr>
                <w:sz w:val="22"/>
              </w:rPr>
              <w:t>2,2</w:t>
            </w:r>
          </w:p>
        </w:tc>
        <w:tc>
          <w:tcPr>
            <w:tcW w:w="1080" w:type="dxa"/>
          </w:tcPr>
          <w:p w:rsidR="005603EC" w:rsidRDefault="00AB61AC">
            <w:pPr>
              <w:pStyle w:val="Compact"/>
              <w:spacing w:line="240" w:lineRule="auto"/>
            </w:pPr>
            <w:r>
              <w:rPr>
                <w:sz w:val="22"/>
              </w:rPr>
              <w:t>2,0</w:t>
            </w:r>
          </w:p>
        </w:tc>
        <w:tc>
          <w:tcPr>
            <w:tcW w:w="1080" w:type="dxa"/>
          </w:tcPr>
          <w:p w:rsidR="005603EC" w:rsidRDefault="00AB61AC">
            <w:pPr>
              <w:pStyle w:val="Compact"/>
              <w:spacing w:line="240" w:lineRule="auto"/>
            </w:pPr>
            <w:r>
              <w:rPr>
                <w:sz w:val="22"/>
              </w:rPr>
              <w:t>0,6</w:t>
            </w:r>
          </w:p>
        </w:tc>
        <w:tc>
          <w:tcPr>
            <w:tcW w:w="1000" w:type="dxa"/>
          </w:tcPr>
          <w:p w:rsidR="005603EC" w:rsidRDefault="00AB61AC">
            <w:pPr>
              <w:pStyle w:val="Compact"/>
              <w:spacing w:line="240" w:lineRule="auto"/>
            </w:pPr>
            <w:r>
              <w:rPr>
                <w:sz w:val="22"/>
              </w:rPr>
              <w:t xml:space="preserve">0,9</w:t>
            </w:r>
          </w:p>
        </w:tc>
        <w:tc>
          <w:tcPr>
            <w:tcW w:w="1500" w:type="dxa"/>
          </w:tcPr>
          <w:p w:rsidR="005603EC" w:rsidRDefault="00AB61AC">
            <w:pPr>
              <w:pStyle w:val="Compact"/>
              <w:spacing w:line="240" w:lineRule="auto"/>
            </w:pPr>
            <w:r>
              <w:rPr>
                <w:sz w:val="22"/>
              </w:rPr>
              <w:t>&gt; 1 (CAMELS 1-reyting)</w:t>
            </w:r>
          </w:p>
        </w:tc>
        <w:tc>
          <w:tcPr>
            <w:tcW w:w="1895" w:type="dxa"/>
          </w:tcPr>
          <w:p w:rsidR="005603EC" w:rsidRDefault="00AB61AC">
            <w:pPr>
              <w:pStyle w:val="Compact"/>
              <w:spacing w:line="240" w:lineRule="auto"/>
            </w:pPr>
            <w:r>
              <w:rPr>
                <w:sz w:val="22"/>
              </w:rPr>
              <w:t xml:space="preserve">Tizim va SQB yuqori, MK va Aloqabank past</w:t>
            </w:r>
          </w:p>
        </w:tc>
      </w:tr>
      <w:tr w:rsidR="005603EC" w:rsidTr="005603EC">
        <w:trPr>
          <w:cantSplit/>
        </w:trPr>
        <w:tc>
          <w:tcPr>
            <w:tcW w:w="1900" w:type="dxa"/>
          </w:tcPr>
          <w:p w:rsidR="005603EC" w:rsidRDefault="00AB61AC">
            <w:pPr>
              <w:pStyle w:val="Compact"/>
              <w:spacing w:line="240" w:lineRule="auto"/>
            </w:pPr>
            <w:r>
              <w:rPr>
                <w:sz w:val="22"/>
              </w:rPr>
              <w:t>LCR, %</w:t>
            </w:r>
          </w:p>
        </w:tc>
        <w:tc>
          <w:tcPr>
            <w:tcW w:w="900" w:type="dxa"/>
          </w:tcPr>
          <w:p w:rsidR="005603EC" w:rsidRDefault="00AB61AC">
            <w:pPr>
              <w:pStyle w:val="Compact"/>
              <w:spacing w:line="240" w:lineRule="auto"/>
            </w:pPr>
            <w:r>
              <w:rPr>
                <w:sz w:val="22"/>
              </w:rPr>
              <w:t>207,5</w:t>
            </w:r>
          </w:p>
        </w:tc>
        <w:tc>
          <w:tcPr>
            <w:tcW w:w="1080" w:type="dxa"/>
          </w:tcPr>
          <w:p w:rsidR="005603EC" w:rsidRDefault="00AB61AC">
            <w:pPr>
              <w:pStyle w:val="Compact"/>
              <w:spacing w:line="240" w:lineRule="auto"/>
            </w:pPr>
            <w:r>
              <w:rPr>
                <w:sz w:val="22"/>
              </w:rPr>
              <w:t>222,9</w:t>
            </w:r>
          </w:p>
        </w:tc>
        <w:tc>
          <w:tcPr>
            <w:tcW w:w="1080" w:type="dxa"/>
          </w:tcPr>
          <w:p w:rsidR="005603EC" w:rsidRDefault="00AB61AC">
            <w:pPr>
              <w:pStyle w:val="Compact"/>
              <w:spacing w:line="240" w:lineRule="auto"/>
            </w:pPr>
            <w:r>
              <w:rPr>
                <w:sz w:val="22"/>
              </w:rPr>
              <w:t>231,9</w:t>
            </w:r>
          </w:p>
        </w:tc>
        <w:tc>
          <w:tcPr>
            <w:tcW w:w="1000" w:type="dxa"/>
          </w:tcPr>
          <w:p w:rsidR="005603EC" w:rsidRDefault="00AB61AC">
            <w:pPr>
              <w:pStyle w:val="Compact"/>
              <w:spacing w:line="240" w:lineRule="auto"/>
            </w:pPr>
            <w:r>
              <w:rPr>
                <w:sz w:val="22"/>
              </w:rPr>
              <w:t xml:space="preserve">142,0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Yuqori</w:t>
            </w:r>
          </w:p>
        </w:tc>
      </w:tr>
      <w:tr w:rsidR="005603EC" w:rsidTr="005603EC">
        <w:trPr>
          <w:cantSplit/>
        </w:trPr>
        <w:tc>
          <w:tcPr>
            <w:tcW w:w="1900" w:type="dxa"/>
          </w:tcPr>
          <w:p w:rsidR="005603EC" w:rsidRDefault="00AB61AC">
            <w:pPr>
              <w:pStyle w:val="Compact"/>
              <w:spacing w:line="240" w:lineRule="auto"/>
            </w:pPr>
            <w:r>
              <w:rPr>
                <w:sz w:val="22"/>
              </w:rPr>
              <w:t>NSFR, %</w:t>
            </w:r>
          </w:p>
        </w:tc>
        <w:tc>
          <w:tcPr>
            <w:tcW w:w="900" w:type="dxa"/>
          </w:tcPr>
          <w:p w:rsidR="005603EC" w:rsidRDefault="00AB61AC">
            <w:pPr>
              <w:pStyle w:val="Compact"/>
              <w:spacing w:line="240" w:lineRule="auto"/>
            </w:pPr>
            <w:r>
              <w:rPr>
                <w:sz w:val="22"/>
              </w:rPr>
              <w:t>119,9</w:t>
            </w:r>
          </w:p>
        </w:tc>
        <w:tc>
          <w:tcPr>
            <w:tcW w:w="1080" w:type="dxa"/>
          </w:tcPr>
          <w:p w:rsidR="005603EC" w:rsidRDefault="00AB61AC">
            <w:pPr>
              <w:pStyle w:val="Compact"/>
              <w:spacing w:line="240" w:lineRule="auto"/>
            </w:pPr>
            <w:r>
              <w:rPr>
                <w:sz w:val="22"/>
              </w:rPr>
              <w:t>122,2</w:t>
            </w:r>
          </w:p>
        </w:tc>
        <w:tc>
          <w:tcPr>
            <w:tcW w:w="1080" w:type="dxa"/>
          </w:tcPr>
          <w:p w:rsidR="005603EC" w:rsidRDefault="00AB61AC">
            <w:pPr>
              <w:pStyle w:val="Compact"/>
              <w:spacing w:line="240" w:lineRule="auto"/>
            </w:pPr>
            <w:r>
              <w:rPr>
                <w:sz w:val="22"/>
              </w:rPr>
              <w:t>113,0</w:t>
            </w:r>
          </w:p>
        </w:tc>
        <w:tc>
          <w:tcPr>
            <w:tcW w:w="1000" w:type="dxa"/>
          </w:tcPr>
          <w:p w:rsidR="005603EC" w:rsidRDefault="00AB61AC">
            <w:pPr>
              <w:pStyle w:val="Compact"/>
              <w:spacing w:line="240" w:lineRule="auto"/>
            </w:pPr>
            <w:r>
              <w:rPr>
                <w:sz w:val="22"/>
              </w:rPr>
              <w:t xml:space="preserve">103,0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 xml:space="preserve">Yetarli, Aloqabank da zaxira kichik</w:t>
            </w:r>
          </w:p>
        </w:tc>
      </w:tr>
      <w:tr w:rsidR="005603EC" w:rsidTr="005603EC">
        <w:trPr>
          <w:cantSplit/>
        </w:trPr>
        <w:tc>
          <w:tcPr>
            <w:tcW w:w="1900" w:type="dxa"/>
          </w:tcPr>
          <w:p w:rsidR="005603EC" w:rsidRDefault="00AB61AC">
            <w:pPr>
              <w:pStyle w:val="Compact"/>
              <w:spacing w:line="240" w:lineRule="auto"/>
            </w:pPr>
            <w:r>
              <w:rPr>
                <w:sz w:val="22"/>
              </w:rPr>
              <w:t>Kreditlar / depozitlar, %</w:t>
            </w:r>
          </w:p>
        </w:tc>
        <w:tc>
          <w:tcPr>
            <w:tcW w:w="900" w:type="dxa"/>
          </w:tcPr>
          <w:p w:rsidR="005603EC" w:rsidRDefault="00AB61AC">
            <w:pPr>
              <w:pStyle w:val="Compact"/>
              <w:spacing w:line="240" w:lineRule="auto"/>
            </w:pPr>
            <w:r>
              <w:rPr>
                <w:sz w:val="22"/>
              </w:rPr>
              <w:t>158</w:t>
            </w:r>
          </w:p>
        </w:tc>
        <w:tc>
          <w:tcPr>
            <w:tcW w:w="1080" w:type="dxa"/>
          </w:tcPr>
          <w:p w:rsidR="005603EC" w:rsidRDefault="00AB61AC">
            <w:pPr>
              <w:pStyle w:val="Compact"/>
              <w:spacing w:line="240" w:lineRule="auto"/>
            </w:pPr>
            <w:r>
              <w:rPr>
                <w:sz w:val="22"/>
              </w:rPr>
              <w:t>206,5</w:t>
            </w:r>
          </w:p>
        </w:tc>
        <w:tc>
          <w:tcPr>
            <w:tcW w:w="1080" w:type="dxa"/>
          </w:tcPr>
          <w:p w:rsidR="005603EC" w:rsidRDefault="00AB61AC">
            <w:pPr>
              <w:pStyle w:val="Compact"/>
              <w:spacing w:line="240" w:lineRule="auto"/>
            </w:pPr>
            <w:r>
              <w:rPr>
                <w:sz w:val="22"/>
              </w:rPr>
              <w:t>208,5</w:t>
            </w:r>
          </w:p>
        </w:tc>
        <w:tc>
          <w:tcPr>
            <w:tcW w:w="1000" w:type="dxa"/>
          </w:tcPr>
          <w:p w:rsidR="005603EC" w:rsidRDefault="00AB61AC">
            <w:pPr>
              <w:pStyle w:val="Compact"/>
              <w:spacing w:line="240" w:lineRule="auto"/>
            </w:pPr>
            <w:r>
              <w:rPr>
                <w:sz w:val="22"/>
              </w:rPr>
              <w:t xml:space="preserve">121,1</w:t>
            </w:r>
          </w:p>
        </w:tc>
        <w:tc>
          <w:tcPr>
            <w:tcW w:w="1500" w:type="dxa"/>
          </w:tcPr>
          <w:p w:rsidR="005603EC" w:rsidRDefault="00AB61AC">
            <w:pPr>
              <w:pStyle w:val="Compact"/>
              <w:spacing w:line="240" w:lineRule="auto"/>
            </w:pPr>
            <w:r>
              <w:rPr>
                <w:sz w:val="22"/>
              </w:rPr>
              <w:t>≤ 100</w:t>
            </w:r>
          </w:p>
        </w:tc>
        <w:tc>
          <w:tcPr>
            <w:tcW w:w="1895" w:type="dxa"/>
          </w:tcPr>
          <w:p w:rsidR="005603EC" w:rsidRDefault="00AB61AC">
            <w:pPr>
              <w:pStyle w:val="Compact"/>
              <w:spacing w:line="240" w:lineRule="auto"/>
            </w:pPr>
            <w:r>
              <w:rPr>
                <w:sz w:val="22"/>
              </w:rPr>
              <w:t xml:space="preserve">SQB va MK da 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w:t>
      </w:r>
      <w:r>
        <w:rPr>
          <w:color w:val="FF0000"/>
        </w:rPr>
        <w:t xml:space="preserve">,</w:t>
      </w:r>
      <w:r>
        <w:t xml:space="preserve">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 xml:space="preserve">Bank guruhi (sho‘ba korxonalari bo‘lsa – konsolidatsiyalangan), aks holda alohida bank</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 xml:space="preserve">Uch bosqich: kredit riski sezilarli oshmagan 1-bosqich,</w:t>
            </w:r>
            <w:r>
              <w:rPr>
                <w:sz w:val="22"/>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 xml:space="preserve">Restrukturizatsiya qilingan kreditlar</w:t>
            </w:r>
          </w:p>
        </w:tc>
        <w:tc>
          <w:tcPr>
            <w:tcW w:w="2494" w:type="dxa"/>
          </w:tcPr>
          <w:p w:rsidR="005603EC" w:rsidRDefault="00AB61AC">
            <w:pPr>
              <w:pStyle w:val="Compact"/>
              <w:spacing w:line="240" w:lineRule="auto"/>
            </w:pPr>
            <w:r>
              <w:rPr>
                <w:sz w:val="22"/>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pPr>
            <w:r>
              <w:rPr>
                <w:sz w:val="22"/>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pPr>
            <w:r>
              <w:rPr>
                <w:sz w:val="22"/>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 xml:space="preserve">Hisoblanmaydi; izohlarda milliy me’yorlar bo‘yicha hisoblangan qiymat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pPr>
            <w:r>
              <w:rPr>
                <w:sz w:val="22"/>
              </w:rPr>
              <w:t xml:space="preserve">Yillik, auditorlik xulosasi bilan, olti oy kechikib e’lon qilinadi;</w:t>
            </w:r>
            <w:r>
              <w:rPr>
                <w:sz w:val="22"/>
              </w:rPr>
              <w:t xml:space="preserve">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t xml:space="preserve"> – MHXS 9 bo‘yicha bosqichlarga taqsimlangan, ya’ni amortizatsiyalangan qiymatda baholanadigan kreditlar (brutto), </w:t>
      </w:r>
      <w:r>
        <w:rPr>
          <w:i/>
          <w:iCs/>
        </w:rPr>
        <w:t>L</w:t>
      </w:r>
      <w:r>
        <w:rPr>
          <w:vertAlign w:val="subscript"/>
        </w:rPr>
        <w:t>milliy</w:t>
      </w:r>
      <w:r>
        <w:rPr/>
        <w:t xml:space="preserve"> – milliy hisobot bo‘yicha jami kreditlar (brutto). Foyda yoki zarar orqali adolatli qiymatda baholanadigan kreditlar bosqichlarga ajratilmagani sababli maxraj tarkibiga kiritilmaydi: masalan, “Mikrokreditbank”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t>1,4–5,1 foiz oralig‘ida bo‘ladi</w:t>
      </w:r>
      <w:r>
        <w:t xml:space="preserve"> va tahlil xulosalariga sezilarli ta’sir qilmaydi.</w:t>
      </w:r>
    </w:p>
    <w:p w:rsidR="005603EC" w:rsidRDefault="00AB61AC">
      <w:pPr>
        <w:pStyle w:val="af"/>
        <w:spacing w:after="0" w:line="360" w:lineRule="auto"/>
        <w:ind w:firstLine="709"/>
        <w:jc w:val="both"/>
      </w:pPr>
      <w:r>
        <w:rPr>
          <w:color w:val="FF0000"/>
        </w:rPr>
        <w:t xml:space="preserve">Yashirin kredit riski koeffitsiyenti asosida milliy hisobot bo‘yicha muammoli kreditlar ulushi xalqaro standartlar darajasiga quyidagicha keltiriladi:</w:t>
      </w:r>
    </w:p>
    <w:p w:rsidR="005603EC" w:rsidRDefault="00AB61AC">
      <w:pPr>
        <w:pStyle w:val="af"/>
        <w:spacing w:after="0" w:line="360" w:lineRule="auto"/>
        <w:ind w:firstLine="709"/>
        <w:jc w:val="both"/>
      </w:pPr>
      <w:r>
        <w:rPr>
          <w:color w:val="FF0000"/>
        </w:rPr>
        <w:t xml:space="preserve">NPLtuz = (NPL / Lmilliy) × Kykr,  (2.3)</w:t>
      </w:r>
    </w:p>
    <w:p w:rsidR="005603EC" w:rsidRDefault="00AB61AC">
      <w:pPr>
        <w:pStyle w:val="af"/>
        <w:spacing w:after="0" w:line="360" w:lineRule="auto"/>
        <w:ind w:firstLine="709"/>
        <w:jc w:val="both"/>
      </w:pPr>
      <w:r>
        <w:rPr>
          <w:color w:val="FF0000"/>
        </w:rPr>
        <w:t xml:space="preserve">bu yerda NPLtuz – MHXS 9 darajasiga keltirilgan muammoli kreditlar ulushi. MHXS hisoboti mavjud bo‘lgan yillarda tuzatilgan ko‘rsatkich 3-bosqich kreditlari ulushiga teng bo‘ladi, shu sababli tuzatish asosan MHXS hisoboti hali e’lon qilinmagan davrlar, ya’ni joriy yilning choraklari va prognoz davri uchun ahamiyatli: bunda bankning oxirgi ma’lum yillik koeffitsiyenti qo‘llanadi. Tuzatilgan ko‘rsatkich integral indeksning aktivlar sifati blokida milliy muammoli kreditlar ulushi o‘rniga ishlatiladi.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r w:rsidR="005603EC" w:rsidTr="005603EC">
        <w:trPr>
          <w:cantSplit/>
        </w:trPr>
        <w:tc>
          <w:tcPr>
            <w:tcW w:w="3402" w:type="dxa"/>
          </w:tcPr>
          <w:p w:rsidR="005603EC" w:rsidRDefault="00AB61AC">
            <w:pPr>
              <w:pStyle w:val="Compact"/>
              <w:spacing w:line="240" w:lineRule="auto"/>
            </w:pPr>
            <w:r>
              <w:rPr>
                <w:color w:val="FF0000"/>
                <w:sz w:val="22"/>
              </w:rPr>
              <w:t xml:space="preserve">Yashirin kredit riski koeffitsiyenti</w:t>
            </w:r>
          </w:p>
        </w:tc>
        <w:tc>
          <w:tcPr>
            <w:tcW w:w="1179" w:type="dxa"/>
          </w:tcPr>
          <w:p w:rsidR="005603EC" w:rsidRDefault="00AB61AC">
            <w:pPr>
              <w:pStyle w:val="Compact"/>
              <w:spacing w:line="240" w:lineRule="auto"/>
            </w:pPr>
            <w:r>
              <w:rPr>
                <w:color w:val="FF0000"/>
                <w:sz w:val="22"/>
              </w:rPr>
              <w:t xml:space="preserve">1,65</w:t>
            </w:r>
          </w:p>
        </w:tc>
        <w:tc>
          <w:tcPr>
            <w:tcW w:w="1179" w:type="dxa"/>
          </w:tcPr>
          <w:p w:rsidR="005603EC" w:rsidRDefault="00AB61AC">
            <w:pPr>
              <w:pStyle w:val="Compact"/>
              <w:spacing w:line="240" w:lineRule="auto"/>
            </w:pPr>
            <w:r>
              <w:rPr>
                <w:color w:val="FF0000"/>
                <w:sz w:val="22"/>
              </w:rPr>
              <w:t xml:space="preserve">2,61</w:t>
            </w:r>
          </w:p>
        </w:tc>
        <w:tc>
          <w:tcPr>
            <w:tcW w:w="1179" w:type="dxa"/>
          </w:tcPr>
          <w:p w:rsidR="005603EC" w:rsidRDefault="00AB61AC">
            <w:pPr>
              <w:pStyle w:val="Compact"/>
              <w:spacing w:line="240" w:lineRule="auto"/>
            </w:pPr>
            <w:r>
              <w:rPr>
                <w:color w:val="FF0000"/>
                <w:sz w:val="22"/>
              </w:rPr>
              <w:t xml:space="preserve">2,14</w:t>
            </w:r>
          </w:p>
        </w:tc>
        <w:tc>
          <w:tcPr>
            <w:tcW w:w="1179" w:type="dxa"/>
          </w:tcPr>
          <w:p w:rsidR="005603EC" w:rsidRDefault="00AB61AC">
            <w:pPr>
              <w:pStyle w:val="Compact"/>
              <w:spacing w:line="240" w:lineRule="auto"/>
            </w:pPr>
            <w:r>
              <w:rPr>
                <w:color w:val="FF0000"/>
                <w:sz w:val="22"/>
              </w:rPr>
              <w:t xml:space="preserve">2,08</w:t>
            </w:r>
          </w:p>
        </w:tc>
        <w:tc>
          <w:tcPr>
            <w:tcW w:w="1179" w:type="dxa"/>
          </w:tcPr>
          <w:p w:rsidR="005603EC" w:rsidRDefault="00AB61AC">
            <w:pPr>
              <w:pStyle w:val="Compact"/>
              <w:spacing w:line="240" w:lineRule="auto"/>
            </w:pPr>
            <w:r>
              <w:rPr>
                <w:color w:val="FF0000"/>
                <w:sz w:val="22"/>
              </w:rPr>
              <w:t xml:space="preserve">2,96</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rPr>
        <w:t xml:space="preserve">tarkibi, 2021–2025-yillar, %</w:t>
      </w:r>
      <w:r>
        <w:rPr>
          <w:rStyle w:val="aff8"/>
        </w:rPr>
        <w:footnoteReference w:id="348"/>
      </w:r>
    </w:p>
    <w:p w:rsidR="005603EC" w:rsidRDefault="00AB61AC">
      <w:pPr>
        <w:pStyle w:val="af"/>
        <w:spacing w:before="120" w:after="240" w:line="240" w:lineRule="auto"/>
        <w:jc w:val="center"/>
      </w:pPr>
      <w:r>
        <w:rPr>
          <w:i/>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r>
      <w:r>
        <w:t xml:space="preserve">Rasmdan ko‘rinib turibdiki, yashirin kredit riski koeffitsiyenti </w:t>
      </w:r>
      <w:r>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w:t>
      </w:r>
      <w:r>
        <w:rPr/>
        <w:t xml:space="preserve">Uchala bank uchun</w:t>
      </w:r>
      <w:r>
        <w:t xml:space="preserve">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t xml:space="preserve">ushbu </w:t>
      </w:r>
      <w:r>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t xml:space="preserve"> </w:t>
      </w:r>
      <w:r>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59"/>
      </w:r>
      <w:r>
        <w:rPr/>
        <w:t>, 2709-son nizomning 2025-yil 23-maygacha amal qilgan tahririda (54-band) ham regulyativ kapital belgilangan edi, bankning 2025-yil 30-dekabr holatidagi prudensial hisobot shaklida esa xususiy kapital ko‘rsatilgan</w:t>
      </w:r>
      <w:r>
        <w:rPr>
          <w:rStyle w:val="aff8"/>
        </w:rPr>
        <w:footnoteReference w:id="360"/>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1"/>
      </w:r>
      <w:r>
        <w:rPr/>
        <w:t>, “yo‘l xaritasi”ga ko‘ra esa ular Bazel III ga to‘liq moslashtirilib, 2026-yil 1-yanvardan monitoring qilinadi</w:t>
      </w:r>
      <w:r>
        <w:rPr>
          <w:rStyle w:val="aff8"/>
        </w:rPr>
        <w:footnoteReference w:id="362"/>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Likvidlikni qoplash koeffitsiyenti, %</w:t>
            </w:r>
          </w:p>
        </w:tc>
        <w:tc>
          <w:tcPr>
            <w:tcW w:w="1587" w:type="dxa"/>
          </w:tcPr>
          <w:p w:rsidR="005603EC" w:rsidRDefault="00AB61AC">
            <w:pPr>
              <w:pStyle w:val="Compact"/>
              <w:spacing w:line="240" w:lineRule="auto"/>
            </w:pPr>
            <w:r>
              <w:rPr>
                <w:sz w:val="22"/>
              </w:rPr>
              <w:t>222,9</w:t>
            </w:r>
          </w:p>
        </w:tc>
        <w:tc>
          <w:tcPr>
            <w:tcW w:w="1587" w:type="dxa"/>
          </w:tcPr>
          <w:p w:rsidR="005603EC" w:rsidRDefault="00AB61AC">
            <w:pPr>
              <w:pStyle w:val="Compact"/>
              <w:spacing w:line="240" w:lineRule="auto"/>
            </w:pPr>
            <w:r>
              <w:rPr>
                <w:sz w:val="22"/>
              </w:rPr>
              <w:t>154,1</w:t>
            </w:r>
          </w:p>
        </w:tc>
        <w:tc>
          <w:tcPr>
            <w:tcW w:w="1814" w:type="dxa"/>
          </w:tcPr>
          <w:p w:rsidR="005603EC" w:rsidRDefault="00AB61AC">
            <w:pPr>
              <w:pStyle w:val="Compact"/>
              <w:spacing w:line="240" w:lineRule="auto"/>
            </w:pPr>
            <w:r>
              <w:rPr>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r>
      <w:r>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w:t>
      </w:r>
      <w:r>
        <w:rPr>
          <w:color w:val="FF0000"/>
        </w:rPr>
        <w:t xml:space="preserve">.</w:t>
      </w:r>
      <w:r>
        <w:t xml:space="preserve">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5"/>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342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7"/>
      </w:r>
      <w:r>
        <w:rPr/>
        <w:t xml:space="preserve"> va auditdan o‘tgan MHXS bo‘yicha konsolidatsiyalangan moliyaviy hisobotlari</w:t>
      </w:r>
      <w:r>
        <w:rPr>
          <w:rStyle w:val="aff8"/>
        </w:rPr>
        <w:footnoteReference w:id="368"/>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“Aloqabank” ATB ko‘rsatkichlarining milliy va MHXS hisobotlari bo‘yicha qiyosi, 2021–2025-yillar</w:t>
      </w:r>
      <w:r>
        <w:rPr>
          <w:rStyle w:val="aff8"/>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12 638,5</w:t>
            </w:r>
          </w:p>
        </w:tc>
        <w:tc>
          <w:tcPr>
            <w:tcW w:w="1179" w:type="dxa"/>
          </w:tcPr>
          <w:p w:rsidR="005603EC" w:rsidRDefault="00AB61AC">
            <w:pPr>
              <w:pStyle w:val="Compact"/>
              <w:spacing w:line="240" w:lineRule="auto"/>
            </w:pPr>
            <w:r>
              <w:rPr>
                <w:sz w:val="22"/>
              </w:rPr>
              <w:t>16 083,6</w:t>
            </w:r>
          </w:p>
        </w:tc>
        <w:tc>
          <w:tcPr>
            <w:tcW w:w="1179" w:type="dxa"/>
          </w:tcPr>
          <w:p w:rsidR="005603EC" w:rsidRDefault="00AB61AC">
            <w:pPr>
              <w:pStyle w:val="Compact"/>
              <w:spacing w:line="240" w:lineRule="auto"/>
            </w:pPr>
            <w:r>
              <w:rPr>
                <w:sz w:val="22"/>
              </w:rPr>
              <w:t>16 044,7</w:t>
            </w:r>
          </w:p>
        </w:tc>
        <w:tc>
          <w:tcPr>
            <w:tcW w:w="1179" w:type="dxa"/>
          </w:tcPr>
          <w:p w:rsidR="005603EC" w:rsidRDefault="00AB61AC">
            <w:pPr>
              <w:pStyle w:val="Compact"/>
              <w:spacing w:line="240" w:lineRule="auto"/>
            </w:pPr>
            <w:r>
              <w:rPr>
                <w:sz w:val="22"/>
              </w:rPr>
              <w:t>23 251,3</w:t>
            </w:r>
          </w:p>
        </w:tc>
        <w:tc>
          <w:tcPr>
            <w:tcW w:w="1179" w:type="dxa"/>
          </w:tcPr>
          <w:p w:rsidR="005603EC" w:rsidRDefault="00AB61AC">
            <w:pPr>
              <w:pStyle w:val="Compact"/>
              <w:spacing w:line="240" w:lineRule="auto"/>
            </w:pPr>
            <w:r>
              <w:rPr>
                <w:sz w:val="22"/>
              </w:rPr>
              <w:t>31 527,5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12 566,0</w:t>
            </w:r>
          </w:p>
        </w:tc>
        <w:tc>
          <w:tcPr>
            <w:tcW w:w="1179" w:type="dxa"/>
          </w:tcPr>
          <w:p w:rsidR="005603EC" w:rsidRDefault="00AB61AC">
            <w:pPr>
              <w:pStyle w:val="Compact"/>
              <w:spacing w:line="240" w:lineRule="auto"/>
            </w:pPr>
            <w:r>
              <w:rPr>
                <w:sz w:val="22"/>
              </w:rPr>
              <w:t>15 866,3</w:t>
            </w:r>
          </w:p>
        </w:tc>
        <w:tc>
          <w:tcPr>
            <w:tcW w:w="1179" w:type="dxa"/>
          </w:tcPr>
          <w:p w:rsidR="005603EC" w:rsidRDefault="00AB61AC">
            <w:pPr>
              <w:pStyle w:val="Compact"/>
              <w:spacing w:line="240" w:lineRule="auto"/>
            </w:pPr>
            <w:r>
              <w:rPr>
                <w:sz w:val="22"/>
              </w:rPr>
              <w:t>15 778,2</w:t>
            </w:r>
          </w:p>
        </w:tc>
        <w:tc>
          <w:tcPr>
            <w:tcW w:w="1179" w:type="dxa"/>
          </w:tcPr>
          <w:p w:rsidR="005603EC" w:rsidRDefault="00AB61AC">
            <w:pPr>
              <w:pStyle w:val="Compact"/>
              <w:spacing w:line="240" w:lineRule="auto"/>
            </w:pPr>
            <w:r>
              <w:rPr>
                <w:sz w:val="22"/>
              </w:rPr>
              <w:t>22 669,2</w:t>
            </w:r>
          </w:p>
        </w:tc>
        <w:tc>
          <w:tcPr>
            <w:tcW w:w="1179" w:type="dxa"/>
          </w:tcPr>
          <w:p w:rsidR="005603EC" w:rsidRDefault="00AB61AC">
            <w:pPr>
              <w:pStyle w:val="Compact"/>
              <w:spacing w:line="240" w:lineRule="auto"/>
            </w:pPr>
            <w:r>
              <w:rPr>
                <w:sz w:val="22"/>
              </w:rPr>
              <w:t>31 344,2</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1 673,5</w:t>
            </w:r>
          </w:p>
        </w:tc>
        <w:tc>
          <w:tcPr>
            <w:tcW w:w="1179" w:type="dxa"/>
          </w:tcPr>
          <w:p w:rsidR="005603EC" w:rsidRDefault="00AB61AC">
            <w:pPr>
              <w:pStyle w:val="Compact"/>
              <w:spacing w:line="240" w:lineRule="auto"/>
            </w:pPr>
            <w:r>
              <w:rPr>
                <w:sz w:val="22"/>
              </w:rPr>
              <w:t>1 795,3</w:t>
            </w:r>
          </w:p>
        </w:tc>
        <w:tc>
          <w:tcPr>
            <w:tcW w:w="1179" w:type="dxa"/>
          </w:tcPr>
          <w:p w:rsidR="005603EC" w:rsidRDefault="00AB61AC">
            <w:pPr>
              <w:pStyle w:val="Compact"/>
              <w:spacing w:line="240" w:lineRule="auto"/>
            </w:pPr>
            <w:r>
              <w:rPr>
                <w:sz w:val="22"/>
              </w:rPr>
              <w:t>2 643,2</w:t>
            </w:r>
          </w:p>
        </w:tc>
        <w:tc>
          <w:tcPr>
            <w:tcW w:w="1179" w:type="dxa"/>
          </w:tcPr>
          <w:p w:rsidR="005603EC" w:rsidRDefault="00AB61AC">
            <w:pPr>
              <w:pStyle w:val="Compact"/>
              <w:spacing w:line="240" w:lineRule="auto"/>
            </w:pPr>
            <w:r>
              <w:rPr>
                <w:sz w:val="22"/>
              </w:rPr>
              <w:t>3 082,2</w:t>
            </w:r>
          </w:p>
        </w:tc>
        <w:tc>
          <w:tcPr>
            <w:tcW w:w="1179" w:type="dxa"/>
          </w:tcPr>
          <w:p w:rsidR="005603EC" w:rsidRDefault="00AB61AC">
            <w:pPr>
              <w:pStyle w:val="Compact"/>
              <w:spacing w:line="240" w:lineRule="auto"/>
            </w:pPr>
            <w:r>
              <w:rPr>
                <w:sz w:val="22"/>
              </w:rPr>
              <w:t>3 846,9</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1 604,3</w:t>
            </w:r>
          </w:p>
        </w:tc>
        <w:tc>
          <w:tcPr>
            <w:tcW w:w="1179" w:type="dxa"/>
          </w:tcPr>
          <w:p w:rsidR="005603EC" w:rsidRDefault="00AB61AC">
            <w:pPr>
              <w:pStyle w:val="Compact"/>
              <w:spacing w:line="240" w:lineRule="auto"/>
            </w:pPr>
            <w:r>
              <w:rPr>
                <w:sz w:val="22"/>
              </w:rPr>
              <w:t>1 799,0</w:t>
            </w:r>
          </w:p>
        </w:tc>
        <w:tc>
          <w:tcPr>
            <w:tcW w:w="1179" w:type="dxa"/>
          </w:tcPr>
          <w:p w:rsidR="005603EC" w:rsidRDefault="00AB61AC">
            <w:pPr>
              <w:pStyle w:val="Compact"/>
              <w:spacing w:line="240" w:lineRule="auto"/>
            </w:pPr>
            <w:r>
              <w:rPr>
                <w:sz w:val="22"/>
              </w:rPr>
              <w:t>2 397,7</w:t>
            </w:r>
          </w:p>
        </w:tc>
        <w:tc>
          <w:tcPr>
            <w:tcW w:w="1179" w:type="dxa"/>
          </w:tcPr>
          <w:p w:rsidR="005603EC" w:rsidRDefault="00AB61AC">
            <w:pPr>
              <w:pStyle w:val="Compact"/>
              <w:spacing w:line="240" w:lineRule="auto"/>
            </w:pPr>
            <w:r>
              <w:rPr>
                <w:sz w:val="22"/>
              </w:rPr>
              <w:t>3 099,7</w:t>
            </w:r>
          </w:p>
        </w:tc>
        <w:tc>
          <w:tcPr>
            <w:tcW w:w="1179" w:type="dxa"/>
          </w:tcPr>
          <w:p w:rsidR="005603EC" w:rsidRDefault="00AB61AC">
            <w:pPr>
              <w:pStyle w:val="Compact"/>
              <w:spacing w:line="240" w:lineRule="auto"/>
            </w:pPr>
            <w:r>
              <w:rPr>
                <w:sz w:val="22"/>
              </w:rPr>
              <w:t>3 491,0</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+0,6</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107,6</w:t>
            </w:r>
          </w:p>
        </w:tc>
        <w:tc>
          <w:tcPr>
            <w:tcW w:w="1179" w:type="dxa"/>
          </w:tcPr>
          <w:p w:rsidR="005603EC" w:rsidRDefault="00AB61AC">
            <w:pPr>
              <w:pStyle w:val="Compact"/>
              <w:spacing w:line="240" w:lineRule="auto"/>
            </w:pPr>
            <w:r>
              <w:rPr>
                <w:sz w:val="22"/>
              </w:rPr>
              <w:t>228,4</w:t>
            </w:r>
          </w:p>
        </w:tc>
        <w:tc>
          <w:tcPr>
            <w:tcW w:w="1179" w:type="dxa"/>
          </w:tcPr>
          <w:p w:rsidR="005603EC" w:rsidRDefault="00AB61AC">
            <w:pPr>
              <w:pStyle w:val="Compact"/>
              <w:spacing w:line="240" w:lineRule="auto"/>
            </w:pPr>
            <w:r>
              <w:rPr>
                <w:sz w:val="22"/>
              </w:rPr>
              <w:t>607,7</w:t>
            </w:r>
          </w:p>
        </w:tc>
        <w:tc>
          <w:tcPr>
            <w:tcW w:w="1179" w:type="dxa"/>
          </w:tcPr>
          <w:p w:rsidR="005603EC" w:rsidRDefault="00AB61AC">
            <w:pPr>
              <w:pStyle w:val="Compact"/>
              <w:spacing w:line="240" w:lineRule="auto"/>
            </w:pPr>
            <w:r>
              <w:rPr>
                <w:sz w:val="22"/>
              </w:rPr>
              <w:t>190,0</w:t>
            </w:r>
          </w:p>
        </w:tc>
        <w:tc>
          <w:tcPr>
            <w:tcW w:w="1179" w:type="dxa"/>
          </w:tcPr>
          <w:p w:rsidR="005603EC" w:rsidRDefault="00AB61AC">
            <w:pPr>
              <w:pStyle w:val="Compact"/>
              <w:spacing w:line="240" w:lineRule="auto"/>
            </w:pPr>
            <w:r>
              <w:rPr>
                <w:sz w:val="22"/>
              </w:rPr>
              <w:t>251,5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139,8</w:t>
            </w:r>
          </w:p>
        </w:tc>
        <w:tc>
          <w:tcPr>
            <w:tcW w:w="1179" w:type="dxa"/>
          </w:tcPr>
          <w:p w:rsidR="005603EC" w:rsidRDefault="00AB61AC">
            <w:pPr>
              <w:pStyle w:val="Compact"/>
              <w:spacing w:line="240" w:lineRule="auto"/>
            </w:pPr>
            <w:r>
              <w:rPr>
                <w:sz w:val="22"/>
              </w:rPr>
              <w:t>197,2</w:t>
            </w:r>
          </w:p>
        </w:tc>
        <w:tc>
          <w:tcPr>
            <w:tcW w:w="1179" w:type="dxa"/>
          </w:tcPr>
          <w:p w:rsidR="005603EC" w:rsidRDefault="00AB61AC">
            <w:pPr>
              <w:pStyle w:val="Compact"/>
              <w:spacing w:line="240" w:lineRule="auto"/>
            </w:pPr>
            <w:r>
              <w:rPr>
                <w:sz w:val="22"/>
              </w:rPr>
              <w:t>358,5</w:t>
            </w:r>
          </w:p>
        </w:tc>
        <w:tc>
          <w:tcPr>
            <w:tcW w:w="1179" w:type="dxa"/>
          </w:tcPr>
          <w:p w:rsidR="005603EC" w:rsidRDefault="00AB61AC">
            <w:pPr>
              <w:pStyle w:val="Compact"/>
              <w:spacing w:line="240" w:lineRule="auto"/>
            </w:pPr>
            <w:r>
              <w:rPr>
                <w:sz w:val="22"/>
              </w:rPr>
              <w:t>252,9</w:t>
            </w:r>
          </w:p>
        </w:tc>
        <w:tc>
          <w:tcPr>
            <w:tcW w:w="1179" w:type="dxa"/>
          </w:tcPr>
          <w:p w:rsidR="005603EC" w:rsidRDefault="00AB61AC">
            <w:pPr>
              <w:pStyle w:val="Compact"/>
              <w:spacing w:line="240" w:lineRule="auto"/>
            </w:pPr>
            <w:r>
              <w:rPr>
                <w:sz w:val="22"/>
              </w:rPr>
              <w:t>−193,9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27,4</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7,3</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11,6</w:t>
            </w:r>
          </w:p>
        </w:tc>
        <w:tc>
          <w:tcPr>
            <w:tcW w:w="1179" w:type="dxa"/>
          </w:tcPr>
          <w:p w:rsidR="005603EC" w:rsidRDefault="00AB61AC">
            <w:pPr>
              <w:pStyle w:val="Compact"/>
              <w:spacing w:line="240" w:lineRule="auto"/>
            </w:pPr>
            <w:r>
              <w:rPr>
                <w:sz w:val="22"/>
              </w:rPr>
              <w:t>17,1</w:t>
            </w:r>
          </w:p>
        </w:tc>
        <w:tc>
          <w:tcPr>
            <w:tcW w:w="1179" w:type="dxa"/>
          </w:tcPr>
          <w:p w:rsidR="005603EC" w:rsidRDefault="00AB61AC">
            <w:pPr>
              <w:pStyle w:val="Compact"/>
              <w:spacing w:line="240" w:lineRule="auto"/>
            </w:pPr>
            <w:r>
              <w:rPr>
                <w:sz w:val="22"/>
              </w:rPr>
              <w:t>9,2</w:t>
            </w:r>
          </w:p>
        </w:tc>
        <w:tc>
          <w:tcPr>
            <w:tcW w:w="1179" w:type="dxa"/>
          </w:tcPr>
          <w:p w:rsidR="005603EC" w:rsidRDefault="00AB61AC">
            <w:pPr>
              <w:pStyle w:val="Compact"/>
              <w:spacing w:line="240" w:lineRule="auto"/>
            </w:pPr>
            <w:r>
              <w:rPr>
                <w:sz w:val="22"/>
              </w:rPr>
              <w:t>−5,9</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4,1 / 10,0</w:t>
            </w:r>
          </w:p>
        </w:tc>
        <w:tc>
          <w:tcPr>
            <w:tcW w:w="1179" w:type="dxa"/>
          </w:tcPr>
          <w:p w:rsidR="005603EC" w:rsidRDefault="00AB61AC">
            <w:pPr>
              <w:pStyle w:val="Compact"/>
              <w:spacing w:line="240" w:lineRule="auto"/>
            </w:pPr>
            <w:r>
              <w:rPr>
                <w:sz w:val="22"/>
              </w:rPr>
              <w:t>2,0 / 9,9</w:t>
            </w:r>
          </w:p>
        </w:tc>
        <w:tc>
          <w:tcPr>
            <w:tcW w:w="1179" w:type="dxa"/>
          </w:tcPr>
          <w:p w:rsidR="005603EC" w:rsidRDefault="00AB61AC">
            <w:pPr>
              <w:pStyle w:val="Compact"/>
              <w:spacing w:line="240" w:lineRule="auto"/>
            </w:pPr>
            <w:r>
              <w:rPr>
                <w:sz w:val="22"/>
              </w:rPr>
              <w:t>1,5 / 6,1</w:t>
            </w:r>
          </w:p>
        </w:tc>
        <w:tc>
          <w:tcPr>
            <w:tcW w:w="1179" w:type="dxa"/>
          </w:tcPr>
          <w:p w:rsidR="005603EC" w:rsidRDefault="00AB61AC">
            <w:pPr>
              <w:pStyle w:val="Compact"/>
              <w:spacing w:line="240" w:lineRule="auto"/>
            </w:pPr>
            <w:r>
              <w:rPr>
                <w:sz w:val="22"/>
              </w:rPr>
              <w:t>1,9 / 7,5</w:t>
            </w:r>
          </w:p>
        </w:tc>
        <w:tc>
          <w:tcPr>
            <w:tcW w:w="1179" w:type="dxa"/>
          </w:tcPr>
          <w:p w:rsidR="005603EC" w:rsidRDefault="00AB61AC">
            <w:pPr>
              <w:pStyle w:val="Compact"/>
              <w:spacing w:line="240" w:lineRule="auto"/>
            </w:pPr>
            <w:r>
              <w:rPr>
                <w:sz w:val="22"/>
              </w:rPr>
              <w:t>2,5 / 7,2</w:t>
            </w:r>
          </w:p>
        </w:tc>
      </w:tr>
      <w:tr w:rsidR="005603EC" w:rsidTr="005603EC">
        <w:trPr>
          <w:cantSplit/>
        </w:trPr>
        <w:tc>
          <w:tcPr>
            <w:tcW w:w="3402" w:type="dxa"/>
          </w:tcPr>
          <w:p w:rsidR="005603EC" w:rsidRDefault="00AB61AC">
            <w:pPr>
              <w:pStyle w:val="Compact"/>
              <w:spacing w:line="240" w:lineRule="auto"/>
            </w:pPr>
            <w:r>
              <w:rPr>
                <w:sz w:val="22"/>
              </w:rPr>
              <w:t>Substandart kreditlar (milliy) / 2-bosqich (MHXS), %</w:t>
            </w:r>
          </w:p>
        </w:tc>
        <w:tc>
          <w:tcPr>
            <w:tcW w:w="1179" w:type="dxa"/>
          </w:tcPr>
          <w:p w:rsidR="005603EC" w:rsidRDefault="00AB61AC">
            <w:pPr>
              <w:pStyle w:val="Compact"/>
              <w:spacing w:line="240" w:lineRule="auto"/>
            </w:pPr>
            <w:r>
              <w:rPr>
                <w:sz w:val="22"/>
              </w:rPr>
              <w:t>8,0 / 4,6</w:t>
            </w:r>
          </w:p>
        </w:tc>
        <w:tc>
          <w:tcPr>
            <w:tcW w:w="1179" w:type="dxa"/>
          </w:tcPr>
          <w:p w:rsidR="005603EC" w:rsidRDefault="00AB61AC">
            <w:pPr>
              <w:pStyle w:val="Compact"/>
              <w:spacing w:line="240" w:lineRule="auto"/>
            </w:pPr>
            <w:r>
              <w:rPr>
                <w:sz w:val="22"/>
              </w:rPr>
              <w:t>1,1 / 9,5</w:t>
            </w:r>
          </w:p>
        </w:tc>
        <w:tc>
          <w:tcPr>
            <w:tcW w:w="1179" w:type="dxa"/>
          </w:tcPr>
          <w:p w:rsidR="005603EC" w:rsidRDefault="00AB61AC">
            <w:pPr>
              <w:pStyle w:val="Compact"/>
              <w:spacing w:line="240" w:lineRule="auto"/>
            </w:pPr>
            <w:r>
              <w:rPr>
                <w:sz w:val="22"/>
              </w:rPr>
              <w:t>11,8 / 17,7</w:t>
            </w:r>
          </w:p>
        </w:tc>
        <w:tc>
          <w:tcPr>
            <w:tcW w:w="1179" w:type="dxa"/>
          </w:tcPr>
          <w:p w:rsidR="005603EC" w:rsidRDefault="00AB61AC">
            <w:pPr>
              <w:pStyle w:val="Compact"/>
              <w:spacing w:line="240" w:lineRule="auto"/>
            </w:pPr>
            <w:r>
              <w:rPr>
                <w:sz w:val="22"/>
              </w:rPr>
              <w:t>10,2 / 12,6</w:t>
            </w:r>
          </w:p>
        </w:tc>
        <w:tc>
          <w:tcPr>
            <w:tcW w:w="1179" w:type="dxa"/>
          </w:tcPr>
          <w:p w:rsidR="005603EC" w:rsidRDefault="00AB61AC">
            <w:pPr>
              <w:pStyle w:val="Compact"/>
              <w:spacing w:line="240" w:lineRule="auto"/>
            </w:pPr>
            <w:r>
              <w:rPr>
                <w:sz w:val="22"/>
              </w:rPr>
              <w:t>6,4 / 6,6</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11,41</w:t>
            </w:r>
          </w:p>
        </w:tc>
        <w:tc>
          <w:tcPr>
            <w:tcW w:w="1179" w:type="dxa"/>
          </w:tcPr>
          <w:p w:rsidR="005603EC" w:rsidRDefault="00AB61AC">
            <w:pPr>
              <w:pStyle w:val="Compact"/>
              <w:spacing w:line="240" w:lineRule="auto"/>
            </w:pPr>
            <w:r>
              <w:rPr>
                <w:sz w:val="22"/>
              </w:rPr>
              <w:t>9,38</w:t>
            </w:r>
          </w:p>
        </w:tc>
        <w:tc>
          <w:tcPr>
            <w:tcW w:w="1179" w:type="dxa"/>
          </w:tcPr>
          <w:p w:rsidR="005603EC" w:rsidRDefault="00AB61AC">
            <w:pPr>
              <w:pStyle w:val="Compact"/>
              <w:spacing w:line="240" w:lineRule="auto"/>
            </w:pPr>
            <w:r>
              <w:rPr>
                <w:sz w:val="22"/>
              </w:rPr>
              <w:t>11,49</w:t>
            </w:r>
          </w:p>
        </w:tc>
        <w:tc>
          <w:tcPr>
            <w:tcW w:w="1179" w:type="dxa"/>
          </w:tcPr>
          <w:p w:rsidR="005603EC" w:rsidRDefault="00AB61AC">
            <w:pPr>
              <w:pStyle w:val="Compact"/>
              <w:spacing w:line="240" w:lineRule="auto"/>
            </w:pPr>
            <w:r>
              <w:rPr>
                <w:sz w:val="22"/>
              </w:rPr>
              <w:t>11,82</w:t>
            </w:r>
          </w:p>
        </w:tc>
        <w:tc>
          <w:tcPr>
            <w:tcW w:w="1179" w:type="dxa"/>
          </w:tcPr>
          <w:p w:rsidR="005603EC" w:rsidRDefault="00AB61AC">
            <w:pPr>
              <w:pStyle w:val="Compact"/>
              <w:spacing w:line="240" w:lineRule="auto"/>
            </w:pPr>
            <w:r>
              <w:rPr>
                <w:sz w:val="22"/>
              </w:rPr>
              <w:t>10,09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12,30</w:t>
            </w:r>
          </w:p>
        </w:tc>
        <w:tc>
          <w:tcPr>
            <w:tcW w:w="1179" w:type="dxa"/>
          </w:tcPr>
          <w:p w:rsidR="005603EC" w:rsidRDefault="00AB61AC">
            <w:pPr>
              <w:pStyle w:val="Compact"/>
              <w:spacing w:line="240" w:lineRule="auto"/>
            </w:pPr>
            <w:r>
              <w:rPr>
                <w:sz w:val="22"/>
              </w:rPr>
              <w:t>9,63</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11,65</w:t>
            </w:r>
          </w:p>
        </w:tc>
        <w:tc>
          <w:tcPr>
            <w:tcW w:w="1179" w:type="dxa"/>
          </w:tcPr>
          <w:p w:rsidR="005603EC" w:rsidRDefault="00AB61AC">
            <w:pPr>
              <w:pStyle w:val="Compact"/>
              <w:spacing w:line="240" w:lineRule="auto"/>
            </w:pPr>
            <w:r>
              <w:rPr>
                <w:sz w:val="22"/>
              </w:rPr>
              <w:t>9,76</w:t>
            </w:r>
          </w:p>
        </w:tc>
      </w:tr>
      <w:tr w:rsidR="005603EC" w:rsidTr="005603EC">
        <w:trPr>
          <w:cantSplit/>
        </w:trPr>
        <w:tc>
          <w:tcPr>
            <w:tcW w:w="3402" w:type="dxa"/>
          </w:tcPr>
          <w:p w:rsidR="005603EC" w:rsidRDefault="00AB61AC">
            <w:pPr>
              <w:pStyle w:val="Compact"/>
              <w:spacing w:line="240" w:lineRule="auto"/>
            </w:pPr>
            <w:r>
              <w:rPr>
                <w:sz w:val="22"/>
              </w:rPr>
              <w:lastRenderedPageBreak/>
              <w:t>Regulyativ kapital monandligi, %: milliy</w:t>
            </w:r>
          </w:p>
        </w:tc>
        <w:tc>
          <w:tcPr>
            <w:tcW w:w="1179" w:type="dxa"/>
          </w:tcPr>
          <w:p w:rsidR="005603EC" w:rsidRDefault="00AB61AC">
            <w:pPr>
              <w:pStyle w:val="Compact"/>
              <w:spacing w:line="240" w:lineRule="auto"/>
            </w:pPr>
            <w:r>
              <w:rPr>
                <w:sz w:val="22"/>
              </w:rPr>
              <w:t>13,21</w:t>
            </w:r>
          </w:p>
        </w:tc>
        <w:tc>
          <w:tcPr>
            <w:tcW w:w="1179" w:type="dxa"/>
          </w:tcPr>
          <w:p w:rsidR="005603EC" w:rsidRDefault="00AB61AC">
            <w:pPr>
              <w:pStyle w:val="Compact"/>
              <w:spacing w:line="240" w:lineRule="auto"/>
            </w:pPr>
            <w:r>
              <w:rPr>
                <w:sz w:val="22"/>
              </w:rPr>
              <w:t>12,49</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13,94</w:t>
            </w:r>
          </w:p>
        </w:tc>
        <w:tc>
          <w:tcPr>
            <w:tcW w:w="1179" w:type="dxa"/>
          </w:tcPr>
          <w:p w:rsidR="005603EC" w:rsidRDefault="00AB61AC">
            <w:pPr>
              <w:pStyle w:val="Compact"/>
              <w:spacing w:line="240" w:lineRule="auto"/>
            </w:pPr>
            <w:r>
              <w:rPr>
                <w:sz w:val="22"/>
              </w:rPr>
              <w:t>14,14</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14,37</w:t>
            </w:r>
          </w:p>
        </w:tc>
        <w:tc>
          <w:tcPr>
            <w:tcW w:w="1179" w:type="dxa"/>
          </w:tcPr>
          <w:p w:rsidR="005603EC" w:rsidRDefault="00AB61AC">
            <w:pPr>
              <w:pStyle w:val="Compact"/>
              <w:spacing w:line="240" w:lineRule="auto"/>
            </w:pPr>
            <w:r>
              <w:rPr>
                <w:sz w:val="22"/>
              </w:rPr>
              <w:t>12,54</w:t>
            </w:r>
          </w:p>
        </w:tc>
        <w:tc>
          <w:tcPr>
            <w:tcW w:w="1179" w:type="dxa"/>
          </w:tcPr>
          <w:p w:rsidR="005603EC" w:rsidRDefault="00AB61AC">
            <w:pPr>
              <w:pStyle w:val="Compact"/>
              <w:spacing w:line="240" w:lineRule="auto"/>
            </w:pPr>
            <w:r>
              <w:rPr>
                <w:sz w:val="22"/>
              </w:rPr>
              <w:t>15,07</w:t>
            </w:r>
          </w:p>
        </w:tc>
        <w:tc>
          <w:tcPr>
            <w:tcW w:w="1179" w:type="dxa"/>
          </w:tcPr>
          <w:p w:rsidR="005603EC" w:rsidRDefault="00AB61AC">
            <w:pPr>
              <w:pStyle w:val="Compact"/>
              <w:spacing w:line="240" w:lineRule="auto"/>
            </w:pPr>
            <w:r>
              <w:rPr>
                <w:sz w:val="22"/>
              </w:rPr>
              <w:t>14,02</w:t>
            </w:r>
          </w:p>
        </w:tc>
        <w:tc>
          <w:tcPr>
            <w:tcW w:w="1179" w:type="dxa"/>
          </w:tcPr>
          <w:p w:rsidR="005603EC" w:rsidRDefault="00AB61AC">
            <w:pPr>
              <w:pStyle w:val="Compact"/>
              <w:spacing w:line="240" w:lineRule="auto"/>
            </w:pPr>
            <w:r>
              <w:rPr>
                <w:sz w:val="22"/>
              </w:rPr>
              <w:t>13,11</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2,46</w:t>
            </w:r>
          </w:p>
        </w:tc>
        <w:tc>
          <w:tcPr>
            <w:tcW w:w="1179" w:type="dxa"/>
          </w:tcPr>
          <w:p w:rsidR="005603EC" w:rsidRDefault="00AB61AC">
            <w:pPr>
              <w:pStyle w:val="Compact"/>
              <w:spacing w:line="240" w:lineRule="auto"/>
            </w:pPr>
            <w:r>
              <w:rPr>
                <w:sz w:val="22"/>
              </w:rPr>
              <w:t>4,90</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2,83</w:t>
            </w:r>
          </w:p>
        </w:tc>
      </w:tr>
    </w:tbl>
    <w:p w:rsidR="005603EC" w:rsidRDefault="00AB61AC">
      <w:pPr>
        <w:pStyle w:val="af"/>
        <w:spacing w:after="0" w:line="360" w:lineRule="auto"/>
        <w:ind w:firstLine="709"/>
        <w:jc w:val="both"/>
      </w:pPr>
      <w:r>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r>
      <w:r>
        <w:rPr/>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0"/>
      </w:r>
      <w:r>
        <w:rPr/>
        <w:t xml:space="preserve">. Demak, uchinchi bank misolida ham milliy hisobot asosidagi baholash aktivlar sifati va daromadlilikni oshirib, likvidlik buferining sifatini esa haqiqiydan yuqori ko‘rsatadi, bu esa </w:t>
      </w:r>
      <w:r>
        <w:rPr>
          <w:color w:val="FF0000"/>
        </w:rPr>
        <w:t xml:space="preserve">yuqorida ikki bank misoli</w:t>
      </w:r>
      <w:r>
        <w:rPr/>
        <w:t xml:space="preserve">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t xml:space="preserve">uchala bankda ham 1,65–4,90</w:t>
      </w:r>
      <w:r>
        <w:t xml:space="preserve"> oralig‘ida bo‘lib, milliy muammoli kreditlar ko‘rsatkichi kredit riskini muntazam kamsitib ko‘rsatishini tasdiqlaydi. Tafovut aktivlar sifati blokida eng katta, kapital va daromadlilik bloklarida sezilarli, likvidlik blokida esa nisbatan kichik. Bu</w:t>
      </w:r>
      <w:r>
        <w:rPr>
          <w:color w:val="FF0000"/>
        </w:rPr>
        <w:t xml:space="preserve">,</w:t>
      </w:r>
      <w:r>
        <w:t xml:space="preserve">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rPr>
          <w:color w:val="FF0000"/>
        </w:rPr>
        <w:t xml:space="preserve">Shu bilan birga, a</w:t>
      </w:r>
      <w:r>
        <w:t xml:space="preserve">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 xml:space="preserve">Umuman olganda, rasmiy ko‘rsatkichlar bo‘yicha qoniqarli manzara ortida xalqaro standartlar bo‘yicha aniqlanadigan sezilarli risklar mavjud. Bu </w:t>
      </w:r>
      <w:r>
        <w:rPr>
          <w:color w:val="FF0000"/>
        </w:rPr>
        <w:t xml:space="preserve">holat </w:t>
      </w:r>
      <w:r>
        <w:t xml:space="preserve">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 xml:space="preserve">Metodikaga qo‘yiladigan talablarni aniqlash uchun ikkinchi bobda </w:t>
      </w:r>
      <w:r>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 xml:space="preserve">2.3-§: </w:t>
            </w:r>
            <w:r>
              <w:rPr>
                <w:sz w:val="22"/>
              </w:rPr>
              <w:t xml:space="preserve">tahlil qilingan banklarda </w:t>
            </w:r>
            <w:r>
              <w:rPr>
                <w:sz w:val="22"/>
              </w:rPr>
              <w:t xml:space="preserve">yashirin kredit riski koeffitsiyenti </w:t>
            </w:r>
            <w:r>
              <w:rPr>
                <w:sz w:val="22"/>
              </w:rPr>
              <w:t xml:space="preserve">1,65–4,90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 xml:space="preserve">2.3-§: </w:t>
            </w:r>
            <w:r>
              <w:rPr>
                <w:sz w:val="22"/>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 xml:space="preserve">2.3-§: </w:t>
            </w:r>
            <w:r>
              <w:rPr>
                <w:sz w:val="22"/>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 xml:space="preserve">2.1-§: </w:t>
            </w:r>
            <w:r>
              <w:rPr>
                <w:sz w:val="22"/>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 xml:space="preserve">2.2-§: </w:t>
            </w:r>
            <w:r>
              <w:rPr>
                <w:sz w:val="22"/>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tcPr>
          <w:p w:rsidR="005603EC" w:rsidRDefault="00AB61AC">
            <w:pPr>
              <w:pStyle w:val="Compact"/>
              <w:spacing w:line="240" w:lineRule="auto"/>
              <w:jc w:val="center"/>
            </w:pPr>
            <w:r>
              <w:rPr>
                <w:b/>
                <w:sz w:val="22"/>
              </w:rPr>
              <w:t xml:space="preserve">№</w:t>
            </w:r>
          </w:p>
        </w:tc>
        <w:tc>
          <w:tcPr>
            <w:tcW w:w="4092" w:type="dxa"/>
            <w:shd w:val="clear" w:color="auto" w:fill="DEEBF7"/>
          </w:tcPr>
          <w:p w:rsidR="005603EC" w:rsidRDefault="00AB61AC">
            <w:pPr>
              <w:pStyle w:val="Compact"/>
              <w:spacing w:line="240" w:lineRule="auto"/>
              <w:jc w:val="center"/>
            </w:pPr>
            <w:r>
              <w:rPr>
                <w:b/>
                <w:sz w:val="22"/>
              </w:rPr>
              <w:t>Blok va ko‘rsatkich</w:t>
            </w:r>
          </w:p>
        </w:tc>
        <w:tc>
          <w:tcPr>
            <w:tcW w:w="1450" w:type="dxa"/>
            <w:shd w:val="clear" w:color="auto" w:fill="DEEBF7"/>
          </w:tcPr>
          <w:p w:rsidR="005603EC" w:rsidRDefault="00AB61AC">
            <w:pPr>
              <w:pStyle w:val="Compact"/>
              <w:spacing w:line="240" w:lineRule="auto"/>
              <w:jc w:val="center"/>
            </w:pPr>
            <w:r>
              <w:rPr>
                <w:b/>
                <w:sz w:val="22"/>
              </w:rPr>
              <w:t>Standart</w:t>
            </w:r>
          </w:p>
        </w:tc>
        <w:tc>
          <w:tcPr>
            <w:tcW w:w="800" w:type="dxa"/>
            <w:shd w:val="clear" w:color="auto" w:fill="DEEBF7"/>
          </w:tcPr>
          <w:p w:rsidR="005603EC" w:rsidRDefault="00AB61AC">
            <w:pPr>
              <w:pStyle w:val="Compact"/>
              <w:spacing w:line="240" w:lineRule="auto"/>
              <w:jc w:val="center"/>
            </w:pPr>
            <w:r>
              <w:rPr>
                <w:b/>
                <w:sz w:val="22"/>
              </w:rPr>
              <w:t>1 ball</w:t>
            </w:r>
          </w:p>
        </w:tc>
        <w:tc>
          <w:tcPr>
            <w:tcW w:w="800" w:type="dxa"/>
            <w:shd w:val="clear" w:color="auto" w:fill="DEEBF7"/>
          </w:tcPr>
          <w:p w:rsidR="005603EC" w:rsidRDefault="00AB61AC">
            <w:pPr>
              <w:pStyle w:val="Compact"/>
              <w:spacing w:line="240" w:lineRule="auto"/>
              <w:jc w:val="center"/>
            </w:pPr>
            <w:r>
              <w:rPr>
                <w:b/>
                <w:sz w:val="22"/>
              </w:rPr>
              <w:t>2 ball</w:t>
            </w:r>
          </w:p>
        </w:tc>
        <w:tc>
          <w:tcPr>
            <w:tcW w:w="800" w:type="dxa"/>
            <w:shd w:val="clear" w:color="auto" w:fill="DEEBF7"/>
          </w:tcPr>
          <w:p w:rsidR="005603EC" w:rsidRDefault="00AB61AC">
            <w:pPr>
              <w:pStyle w:val="Compact"/>
              <w:spacing w:line="240" w:lineRule="auto"/>
              <w:jc w:val="center"/>
            </w:pPr>
            <w:r>
              <w:rPr>
                <w:b/>
                <w:sz w:val="22"/>
              </w:rPr>
              <w:t>3 ball</w:t>
            </w:r>
          </w:p>
        </w:tc>
        <w:tc>
          <w:tcPr>
            <w:tcW w:w="800"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1.</w:t>
            </w:r>
          </w:p>
        </w:tc>
        <w:tc>
          <w:tcPr>
            <w:tcW w:w="4092" w:type="dxa"/>
            <w:shd w:val="clear" w:color="auto" w:fill="F2F2F2"/>
          </w:tcPr>
          <w:p w:rsidR="005603EC" w:rsidRDefault="00AB61AC">
            <w:pPr>
              <w:pStyle w:val="Compact"/>
              <w:spacing w:line="240" w:lineRule="auto"/>
            </w:pPr>
            <w:r>
              <w:rPr>
                <w:i/>
                <w:iCs/>
                <w:sz w:val="22"/>
              </w:rPr>
              <w:t>Kapital yetarliligi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1.1</w:t>
            </w:r>
          </w:p>
        </w:tc>
        <w:tc>
          <w:tcPr>
            <w:tcW w:w="4092" w:type="dxa"/>
          </w:tcPr>
          <w:p w:rsidR="005603EC" w:rsidRDefault="00AB61AC">
            <w:pPr>
              <w:pStyle w:val="Compact"/>
              <w:spacing w:line="240" w:lineRule="auto"/>
            </w:pPr>
            <w:r>
              <w:rPr>
                <w:sz w:val="22"/>
              </w:rPr>
              <w:t>K1. Birinchi darajali asosiy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4,5</w:t>
            </w:r>
          </w:p>
        </w:tc>
        <w:tc>
          <w:tcPr>
            <w:tcW w:w="800" w:type="dxa"/>
          </w:tcPr>
          <w:p w:rsidR="005603EC" w:rsidRDefault="00AB61AC">
            <w:pPr>
              <w:pStyle w:val="Compact"/>
              <w:spacing w:line="240" w:lineRule="auto"/>
              <w:jc w:val="center"/>
            </w:pPr>
            <w:r>
              <w:rPr>
                <w:sz w:val="22"/>
              </w:rPr>
              <w:t>7,0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 10,5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1.2</w:t>
            </w:r>
          </w:p>
        </w:tc>
        <w:tc>
          <w:tcPr>
            <w:tcW w:w="4092" w:type="dxa"/>
          </w:tcPr>
          <w:p w:rsidR="005603EC" w:rsidRDefault="00AB61AC">
            <w:pPr>
              <w:pStyle w:val="Compact"/>
              <w:spacing w:line="240" w:lineRule="auto"/>
            </w:pPr>
            <w:r>
              <w:rPr>
                <w:sz w:val="22"/>
              </w:rPr>
              <w:t>K2. Regulyativ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8,0</w:t>
            </w:r>
          </w:p>
        </w:tc>
        <w:tc>
          <w:tcPr>
            <w:tcW w:w="800" w:type="dxa"/>
          </w:tcPr>
          <w:p w:rsidR="005603EC" w:rsidRDefault="00AB61AC">
            <w:pPr>
              <w:pStyle w:val="Compact"/>
              <w:spacing w:line="240" w:lineRule="auto"/>
              <w:jc w:val="center"/>
            </w:pPr>
            <w:r>
              <w:rPr>
                <w:sz w:val="22"/>
              </w:rPr>
              <w:t>10,5</w:t>
            </w:r>
          </w:p>
        </w:tc>
        <w:tc>
          <w:tcPr>
            <w:tcW w:w="800" w:type="dxa"/>
          </w:tcPr>
          <w:p w:rsidR="005603EC" w:rsidRDefault="00AB61AC">
            <w:pPr>
              <w:pStyle w:val="Compact"/>
              <w:spacing w:line="240" w:lineRule="auto"/>
              <w:jc w:val="center"/>
            </w:pPr>
            <w:r>
              <w:rPr>
                <w:sz w:val="22"/>
              </w:rPr>
              <w:t>13,0</w:t>
            </w:r>
          </w:p>
        </w:tc>
        <w:tc>
          <w:tcPr>
            <w:tcW w:w="800" w:type="dxa"/>
          </w:tcPr>
          <w:p w:rsidR="005603EC" w:rsidRDefault="00AB61AC">
            <w:pPr>
              <w:pStyle w:val="Compact"/>
              <w:spacing w:line="240" w:lineRule="auto"/>
              <w:jc w:val="center"/>
            </w:pPr>
            <w:r>
              <w:rPr>
                <w:sz w:val="22"/>
              </w:rPr>
              <w:t>≥ 15,5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1.3</w:t>
            </w:r>
          </w:p>
        </w:tc>
        <w:tc>
          <w:tcPr>
            <w:tcW w:w="4092" w:type="dxa"/>
          </w:tcPr>
          <w:p w:rsidR="005603EC" w:rsidRDefault="00AB61AC">
            <w:pPr>
              <w:pStyle w:val="Compact"/>
              <w:spacing w:line="240" w:lineRule="auto"/>
            </w:pPr>
            <w:r>
              <w:rPr>
                <w:sz w:val="22"/>
              </w:rPr>
              <w:t>K3. Kapital / aktivlar, %</w:t>
            </w:r>
          </w:p>
        </w:tc>
        <w:tc>
          <w:tcPr>
            <w:tcW w:w="1450" w:type="dxa"/>
          </w:tcPr>
          <w:p w:rsidR="005603EC" w:rsidRDefault="00AB61AC">
            <w:pPr>
              <w:pStyle w:val="Compact"/>
              <w:spacing w:line="240" w:lineRule="auto"/>
              <w:jc w:val="center"/>
            </w:pPr>
            <w:r>
              <w:rPr>
                <w:sz w:val="22"/>
              </w:rPr>
              <w:t>XVJ, Bazel III</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2.</w:t>
            </w:r>
          </w:p>
        </w:tc>
        <w:tc>
          <w:tcPr>
            <w:tcW w:w="4092" w:type="dxa"/>
            <w:shd w:val="clear" w:color="auto" w:fill="F2F2F2"/>
          </w:tcPr>
          <w:p w:rsidR="005603EC" w:rsidRDefault="00AB61AC">
            <w:pPr>
              <w:pStyle w:val="Compact"/>
              <w:spacing w:line="240" w:lineRule="auto"/>
            </w:pPr>
            <w:r>
              <w:rPr>
                <w:i/>
                <w:iCs/>
                <w:sz w:val="22"/>
              </w:rPr>
              <w:t>Aktivlar sifati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2.1</w:t>
            </w:r>
          </w:p>
        </w:tc>
        <w:tc>
          <w:tcPr>
            <w:tcW w:w="4092" w:type="dxa"/>
          </w:tcPr>
          <w:p w:rsidR="005603EC" w:rsidRDefault="00AB61AC">
            <w:pPr>
              <w:pStyle w:val="Compact"/>
              <w:spacing w:line="240" w:lineRule="auto"/>
            </w:pPr>
            <w:r>
              <w:rPr>
                <w:sz w:val="22"/>
              </w:rPr>
              <w:t>A1. 3-bosqich kreditlari ulushi, %</w:t>
            </w:r>
          </w:p>
        </w:tc>
        <w:tc>
          <w:tcPr>
            <w:tcW w:w="1450" w:type="dxa"/>
          </w:tcPr>
          <w:p w:rsidR="005603EC" w:rsidRDefault="00AB61AC">
            <w:pPr>
              <w:pStyle w:val="Compact"/>
              <w:spacing w:line="240" w:lineRule="auto"/>
              <w:jc w:val="center"/>
            </w:pPr>
            <w:r>
              <w:rPr>
                <w:sz w:val="22"/>
              </w:rPr>
              <w:t>MHXS 9, XVJ</w:t>
            </w:r>
          </w:p>
        </w:tc>
        <w:tc>
          <w:tcPr>
            <w:tcW w:w="800" w:type="dxa"/>
          </w:tcPr>
          <w:p w:rsidR="005603EC" w:rsidRDefault="00AB61AC">
            <w:pPr>
              <w:pStyle w:val="Compact"/>
              <w:spacing w:line="240" w:lineRule="auto"/>
              <w:jc w:val="center"/>
            </w:pPr>
            <w:r>
              <w:rPr>
                <w:sz w:val="22"/>
              </w:rPr>
              <w:t>≥ 15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 3</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2.2</w:t>
            </w:r>
          </w:p>
        </w:tc>
        <w:tc>
          <w:tcPr>
            <w:tcW w:w="4092" w:type="dxa"/>
          </w:tcPr>
          <w:p w:rsidR="005603EC" w:rsidRDefault="00AB61AC">
            <w:pPr>
              <w:pStyle w:val="Compact"/>
              <w:spacing w:line="240" w:lineRule="auto"/>
            </w:pPr>
            <w:r>
              <w:rPr>
                <w:sz w:val="22"/>
              </w:rPr>
              <w:t>A2. 2-bosqich kreditlari ulushi, %</w:t>
            </w:r>
          </w:p>
        </w:tc>
        <w:tc>
          <w:tcPr>
            <w:tcW w:w="1450" w:type="dxa"/>
          </w:tcPr>
          <w:p w:rsidR="005603EC" w:rsidRDefault="00AB61AC">
            <w:pPr>
              <w:pStyle w:val="Compact"/>
              <w:spacing w:line="240" w:lineRule="auto"/>
              <w:jc w:val="center"/>
            </w:pPr>
            <w:r>
              <w:rPr>
                <w:sz w:val="22"/>
              </w:rPr>
              <w:t>MHXS 9</w:t>
            </w:r>
          </w:p>
        </w:tc>
        <w:tc>
          <w:tcPr>
            <w:tcW w:w="800" w:type="dxa"/>
          </w:tcPr>
          <w:p w:rsidR="005603EC" w:rsidRDefault="00AB61AC">
            <w:pPr>
              <w:pStyle w:val="Compact"/>
              <w:spacing w:line="240" w:lineRule="auto"/>
              <w:jc w:val="center"/>
            </w:pPr>
            <w:r>
              <w:rPr>
                <w:sz w:val="22"/>
              </w:rPr>
              <w:t>≥ 35</w:t>
            </w:r>
          </w:p>
        </w:tc>
        <w:tc>
          <w:tcPr>
            <w:tcW w:w="800" w:type="dxa"/>
          </w:tcPr>
          <w:p w:rsidR="005603EC" w:rsidRDefault="00AB61AC">
            <w:pPr>
              <w:pStyle w:val="Compact"/>
              <w:spacing w:line="240" w:lineRule="auto"/>
              <w:jc w:val="center"/>
            </w:pPr>
            <w:r>
              <w:rPr>
                <w:sz w:val="22"/>
              </w:rPr>
              <w:t>25</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10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2.3</w:t>
            </w:r>
          </w:p>
        </w:tc>
        <w:tc>
          <w:tcPr>
            <w:tcW w:w="4092" w:type="dxa"/>
          </w:tcPr>
          <w:p w:rsidR="005603EC" w:rsidRDefault="00AB61AC">
            <w:pPr>
              <w:pStyle w:val="Compact"/>
              <w:spacing w:line="240" w:lineRule="auto"/>
            </w:pPr>
            <w:r>
              <w:rPr>
                <w:sz w:val="22"/>
              </w:rPr>
              <w:t>A3. Zaxira bilan qoplanmagan muammoli kreditlar / kapital,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20</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3.</w:t>
            </w:r>
          </w:p>
        </w:tc>
        <w:tc>
          <w:tcPr>
            <w:tcW w:w="4092" w:type="dxa"/>
            <w:shd w:val="clear" w:color="auto" w:fill="F2F2F2"/>
          </w:tcPr>
          <w:p w:rsidR="005603EC" w:rsidRDefault="00AB61AC">
            <w:pPr>
              <w:pStyle w:val="Compact"/>
              <w:spacing w:line="240" w:lineRule="auto"/>
            </w:pPr>
            <w:r>
              <w:rPr>
                <w:i/>
                <w:iCs/>
                <w:sz w:val="22"/>
              </w:rPr>
              <w:t>Likvidlik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3.1</w:t>
            </w:r>
          </w:p>
        </w:tc>
        <w:tc>
          <w:tcPr>
            <w:tcW w:w="4092" w:type="dxa"/>
          </w:tcPr>
          <w:p w:rsidR="005603EC" w:rsidRDefault="00AB61AC">
            <w:pPr>
              <w:pStyle w:val="Compact"/>
              <w:spacing w:line="240" w:lineRule="auto"/>
            </w:pPr>
            <w:r>
              <w:rPr>
                <w:sz w:val="22"/>
              </w:rPr>
              <w:t>L1. Yuqori likvid aktivlar / jami aktivlar,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3.2</w:t>
            </w:r>
          </w:p>
        </w:tc>
        <w:tc>
          <w:tcPr>
            <w:tcW w:w="4092" w:type="dxa"/>
          </w:tcPr>
          <w:p w:rsidR="005603EC" w:rsidRDefault="00AB61AC">
            <w:pPr>
              <w:pStyle w:val="Compact"/>
              <w:spacing w:line="240" w:lineRule="auto"/>
            </w:pPr>
            <w:r>
              <w:rPr>
                <w:sz w:val="22"/>
              </w:rPr>
              <w:t>L2. Kreditlar / mijozlar depozitlari,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200</w:t>
            </w:r>
          </w:p>
        </w:tc>
        <w:tc>
          <w:tcPr>
            <w:tcW w:w="800" w:type="dxa"/>
          </w:tcPr>
          <w:p w:rsidR="005603EC" w:rsidRDefault="00AB61AC">
            <w:pPr>
              <w:pStyle w:val="Compact"/>
              <w:spacing w:line="240" w:lineRule="auto"/>
              <w:jc w:val="center"/>
            </w:pPr>
            <w:r>
              <w:rPr>
                <w:sz w:val="22"/>
              </w:rPr>
              <w:t>150</w:t>
            </w:r>
          </w:p>
        </w:tc>
        <w:tc>
          <w:tcPr>
            <w:tcW w:w="800" w:type="dxa"/>
          </w:tcPr>
          <w:p w:rsidR="005603EC" w:rsidRDefault="00AB61AC">
            <w:pPr>
              <w:pStyle w:val="Compact"/>
              <w:spacing w:line="240" w:lineRule="auto"/>
              <w:jc w:val="center"/>
            </w:pPr>
            <w:r>
              <w:rPr>
                <w:sz w:val="22"/>
              </w:rPr>
              <w:t>100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4.</w:t>
            </w:r>
          </w:p>
        </w:tc>
        <w:tc>
          <w:tcPr>
            <w:tcW w:w="4092" w:type="dxa"/>
            <w:shd w:val="clear" w:color="auto" w:fill="F2F2F2"/>
          </w:tcPr>
          <w:p w:rsidR="005603EC" w:rsidRDefault="00AB61AC">
            <w:pPr>
              <w:pStyle w:val="Compact"/>
              <w:spacing w:line="240" w:lineRule="auto"/>
            </w:pPr>
            <w:r>
              <w:rPr>
                <w:i/>
                <w:iCs/>
                <w:sz w:val="22"/>
              </w:rPr>
              <w:t>Daromadlilik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4.1</w:t>
            </w:r>
          </w:p>
        </w:tc>
        <w:tc>
          <w:tcPr>
            <w:tcW w:w="4092" w:type="dxa"/>
          </w:tcPr>
          <w:p w:rsidR="005603EC" w:rsidRDefault="00AB61AC">
            <w:pPr>
              <w:pStyle w:val="Compact"/>
              <w:spacing w:line="240" w:lineRule="auto"/>
            </w:pPr>
            <w:r>
              <w:rPr>
                <w:sz w:val="22"/>
              </w:rPr>
              <w:t>D1. Aktivlar rentabelligi (ROA),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0,7</w:t>
            </w:r>
          </w:p>
        </w:tc>
        <w:tc>
          <w:tcPr>
            <w:tcW w:w="800" w:type="dxa"/>
          </w:tcPr>
          <w:p w:rsidR="005603EC" w:rsidRDefault="00AB61AC">
            <w:pPr>
              <w:pStyle w:val="Compact"/>
              <w:spacing w:line="240" w:lineRule="auto"/>
              <w:jc w:val="center"/>
            </w:pPr>
            <w:r>
              <w:rPr>
                <w:sz w:val="22"/>
              </w:rPr>
              <w:t>1,4</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4.2</w:t>
            </w:r>
          </w:p>
        </w:tc>
        <w:tc>
          <w:tcPr>
            <w:tcW w:w="4092" w:type="dxa"/>
          </w:tcPr>
          <w:p w:rsidR="005603EC" w:rsidRDefault="00AB61AC">
            <w:pPr>
              <w:pStyle w:val="Compact"/>
              <w:spacing w:line="240" w:lineRule="auto"/>
            </w:pPr>
            <w:r>
              <w:rPr>
                <w:sz w:val="22"/>
              </w:rPr>
              <w:t>D2. Kapital rentabelligi (ROE),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15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4.3</w:t>
            </w:r>
          </w:p>
        </w:tc>
        <w:tc>
          <w:tcPr>
            <w:tcW w:w="4092" w:type="dxa"/>
          </w:tcPr>
          <w:p w:rsidR="005603EC" w:rsidRDefault="00AB61AC">
            <w:pPr>
              <w:pStyle w:val="Compact"/>
              <w:spacing w:line="240" w:lineRule="auto"/>
            </w:pPr>
            <w:r>
              <w:rPr>
                <w:sz w:val="22"/>
              </w:rPr>
              <w:t>D3. Xarajatlar / daromadlar,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100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45</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5.</w:t>
            </w:r>
          </w:p>
        </w:tc>
        <w:tc>
          <w:tcPr>
            <w:tcW w:w="4092" w:type="dxa"/>
            <w:shd w:val="clear" w:color="auto" w:fill="F2F2F2"/>
          </w:tcPr>
          <w:p w:rsidR="005603EC" w:rsidRDefault="00AB61AC">
            <w:pPr>
              <w:pStyle w:val="Compact"/>
              <w:spacing w:line="240" w:lineRule="auto"/>
            </w:pPr>
            <w:r>
              <w:rPr>
                <w:i/>
                <w:iCs/>
                <w:sz w:val="22"/>
              </w:rPr>
              <w:lastRenderedPageBreak/>
              <w:t>Valyuta riskiga sezgirlik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5.1</w:t>
            </w:r>
          </w:p>
        </w:tc>
        <w:tc>
          <w:tcPr>
            <w:tcW w:w="4092" w:type="dxa"/>
          </w:tcPr>
          <w:p w:rsidR="005603EC" w:rsidRDefault="00AB61AC">
            <w:pPr>
              <w:pStyle w:val="Compact"/>
              <w:spacing w:line="240" w:lineRule="auto"/>
            </w:pPr>
            <w:r>
              <w:rPr>
                <w:sz w:val="22"/>
              </w:rPr>
              <w:t>V1. Xorijiy valyutadagi kreditlar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65</w:t>
            </w:r>
          </w:p>
        </w:tc>
        <w:tc>
          <w:tcPr>
            <w:tcW w:w="800" w:type="dxa"/>
          </w:tcPr>
          <w:p w:rsidR="005603EC" w:rsidRDefault="00AB61AC">
            <w:pPr>
              <w:pStyle w:val="Compact"/>
              <w:spacing w:line="240" w:lineRule="auto"/>
              <w:jc w:val="center"/>
            </w:pPr>
            <w:r>
              <w:rPr>
                <w:sz w:val="22"/>
              </w:rPr>
              <w:t>50</w:t>
            </w:r>
          </w:p>
        </w:tc>
        <w:tc>
          <w:tcPr>
            <w:tcW w:w="800" w:type="dxa"/>
          </w:tcPr>
          <w:p w:rsidR="005603EC" w:rsidRDefault="00AB61AC">
            <w:pPr>
              <w:pStyle w:val="Compact"/>
              <w:spacing w:line="240" w:lineRule="auto"/>
              <w:jc w:val="center"/>
            </w:pPr>
            <w:r>
              <w:rPr>
                <w:sz w:val="22"/>
              </w:rPr>
              <w:t>35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5.2</w:t>
            </w:r>
          </w:p>
        </w:tc>
        <w:tc>
          <w:tcPr>
            <w:tcW w:w="4092" w:type="dxa"/>
          </w:tcPr>
          <w:p w:rsidR="005603EC" w:rsidRDefault="00AB61AC">
            <w:pPr>
              <w:pStyle w:val="Compact"/>
              <w:spacing w:line="240" w:lineRule="auto"/>
            </w:pPr>
            <w:r>
              <w:rPr>
                <w:sz w:val="22"/>
              </w:rPr>
              <w:t>V2. Xorijiy valyutadagi majburiyatlar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70</w:t>
            </w:r>
          </w:p>
        </w:tc>
        <w:tc>
          <w:tcPr>
            <w:tcW w:w="800" w:type="dxa"/>
          </w:tcPr>
          <w:p w:rsidR="005603EC" w:rsidRDefault="00AB61AC">
            <w:pPr>
              <w:pStyle w:val="Compact"/>
              <w:spacing w:line="240" w:lineRule="auto"/>
              <w:jc w:val="center"/>
            </w:pPr>
            <w:r>
              <w:rPr>
                <w:sz w:val="22"/>
              </w:rPr>
              <w:t>55</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89"/>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3"/>
      </w:r>
      <w:r>
        <w:rPr>
          <w:rStyle w:val="aff8"/>
        </w:rPr>
        <w:footnoteReference w:id="394"/>
      </w:r>
      <w:r>
        <w:t xml:space="preserve">. Kreditlarning depozitlarga nisbati uchun esa likvidlik nizomida </w:t>
      </w:r>
      <w:r>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punktlik qadamni ifodalaydi: 200 foizdan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rPr>
        <w:footnoteReference w:id="400"/>
      </w:r>
      <w:r>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t xml:space="preserve">, uzluksiz shkalada esa mos ravishda 3,96 va 3,04 ball oladi</w:t>
      </w:r>
      <w:r>
        <w:t xml:space="preserve">, holbuki ularning barqarorligi sezilarli farq qiladi. </w:t>
      </w:r>
      <w:r>
        <w:rPr>
          <w:color w:val="FF0000"/>
        </w:rPr>
        <w:t xml:space="preserve">Bunday shkalad</w:t>
      </w:r>
      <w:r>
        <w:t xml:space="preserve">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1"/>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2"/>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w:t>
      </w:r>
      <w:r>
        <w:rPr>
          <w:color w:val="FF0000"/>
        </w:rPr>
        <w:t xml:space="preserve">gan holda,</w:t>
      </w:r>
      <w:r>
        <w:t xml:space="preserve"> boshqa yo‘l yo‘qligini ta’kidlaydi</w:t>
      </w:r>
      <w:r>
        <w:rPr>
          <w:rStyle w:val="aff8"/>
        </w:rPr>
        <w:footnoteReference w:id="403"/>
      </w:r>
      <w:r>
        <w:t>. Rossiyadagi reyting metodikalarini tahlil qilgan mualliflar ham vaznlar ko‘pincha asoslanmagan ekspert yo‘li bilan belgilanishini qayd etgan</w:t>
      </w:r>
      <w:r>
        <w:rPr>
          <w:rStyle w:val="aff8"/>
        </w:rPr>
        <w:footnoteReference w:id="404"/>
      </w:r>
      <w:r>
        <w:t xml:space="preserve">. Shu sababli taklif etilayotgan vaznlar uch manba</w:t>
      </w:r>
      <w:r>
        <w:rPr/>
        <w:t xml:space="preserve"> – Bazel III va Xalqaro valyuta jamg‘armasi ko‘rsatkichlar tizimidagi bloklar ustuvorligi, ikkinchi bob natijalari hamda O‘zbekistonda CAMEL tizimi uchun T.M. Karaliyev va I.F. Sayfiddinov keltirgan vaznlar nisbati –</w:t>
      </w:r>
      <w:r>
        <w:t xml:space="preserve">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r>
              <w:rPr>
                <w:sz w:val="22"/>
              </w:rPr>
              <w:t xml:space="preserve">; davlat banklarida davlat ko‘magi ta’sirida va ikki hisobotda keskin farq qiladi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6"/>
      </w:r>
      <w:r>
        <w:t xml:space="preserve"> yaqin, biroq </w:t>
      </w:r>
      <w:r>
        <w:rPr/>
        <w:t xml:space="preserve">asosan </w:t>
      </w:r>
      <w:r>
        <w:rPr/>
        <w:t xml:space="preserve">uch jihatda</w:t>
      </w:r>
      <w:r>
        <w:t xml:space="preserve">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w:t>
      </w:r>
      <w:r>
        <w:rPr/>
        <w:t xml:space="preserve"> Uchinchidan, daromadlilik blokining vazni 0,25 dan 0,15 ga kamaytirildi, bo‘shagan vazn esa kapital (0,23 dan 0,25 ga) va likvidlik (0,15 dan 0,20 ga) bloklariga taqsimlandi. Buning uch sababi bor: birinchidan, davlat banklarida foyda davlat ko‘magi va imtiyozli resurslar hisobiga shakllanib, bankning o‘z barqarorligini to‘liq aks ettirmaydi (3.3-§); ikkinchidan, daromadlilik ko‘rsatkichlari ikki hisobot o‘rtasida eng ko‘p farq qiladigan ko‘rsatkichlardan biri</w:t>
      </w:r>
      <w:r>
        <w:rPr>
          <w:color w:val="FF0000"/>
        </w:rPr>
        <w:t xml:space="preserve"> hisoblanadi</w:t>
      </w:r>
      <w:r>
        <w:rPr/>
        <w:t xml:space="preserve">: “Aloqabank” ATB da besh yillik sof foyda milliy hisobotda MHXS dagidan 1,8 barobar ko‘p, “Mikrokreditbank” ATB da esa zarar ikki hisobotda turli yillarda tan olingan (2.3-§); uchinchidan, foyda taqsimlanmagan foyda orqali kapital blokida ham qisman aks etadi. Likvidlik vaznining oshirilishi esa tadqiqot obyektlarida kreditlarning depozitlarga nisbati 200 foizdan yuqori bo‘lib, kreditlar asosan tashqi qarzlar hisobiga moliyalashtirilishi bilan izohlanadi.</w:t>
      </w:r>
      <w:r>
        <w:t xml:space="preserve">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7"/>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sz w:val="22"/>
              </w:rPr>
              <w:t>3,25 ≤ MBII ≤ 4,00</w:t>
            </w:r>
          </w:p>
        </w:tc>
        <w:tc>
          <w:tcPr>
            <w:tcW w:w="2948" w:type="dxa"/>
          </w:tcPr>
          <w:p w:rsidR="005603EC" w:rsidRDefault="00AB61AC">
            <w:pPr>
              <w:pStyle w:val="Compact"/>
              <w:spacing w:line="240" w:lineRule="auto"/>
            </w:pPr>
            <w:r>
              <w:rPr>
                <w:sz w:val="22"/>
              </w:rPr>
              <w:t xml:space="preserve">Ko‘rsatkichlarning aksariyati 3–4 ball darajasida, alohida zaif ko‘rsatkichlar boshqa bloklar hisobiga qoplanadi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sz w:val="22"/>
              </w:rPr>
              <w:t>2,50 ≤ MBII &lt; 3,25</w:t>
            </w:r>
          </w:p>
        </w:tc>
        <w:tc>
          <w:tcPr>
            <w:tcW w:w="2948" w:type="dxa"/>
          </w:tcPr>
          <w:p w:rsidR="005603EC" w:rsidRDefault="00AB61AC">
            <w:pPr>
              <w:pStyle w:val="Compact"/>
              <w:spacing w:line="240" w:lineRule="auto"/>
            </w:pPr>
            <w:r>
              <w:rPr>
                <w:sz w:val="22"/>
              </w:rPr>
              <w:t xml:space="preserve">Ayrim bloklarda zaiflik, ko‘rsatkichlar asosan me’yoriy talablar darajasida (2–3 ball)</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sz w:val="22"/>
              </w:rPr>
              <w:t>1,75 ≤ MBII &lt; 2,50</w:t>
            </w:r>
          </w:p>
        </w:tc>
        <w:tc>
          <w:tcPr>
            <w:tcW w:w="2948" w:type="dxa"/>
          </w:tcPr>
          <w:p w:rsidR="005603EC" w:rsidRDefault="00AB61AC">
            <w:pPr>
              <w:pStyle w:val="Compact"/>
              <w:spacing w:line="240" w:lineRule="auto"/>
            </w:pPr>
            <w:r>
              <w:rPr>
                <w:sz w:val="22"/>
              </w:rPr>
              <w:t xml:space="preserve">Bir nechta blokda ko‘rsatkichlar me’yorga yaqin yoki undan past (1–2 ball)</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sz w:val="22"/>
              </w:rPr>
              <w:t>1,00 ≤ MBII &lt; 1,75</w:t>
            </w:r>
          </w:p>
        </w:tc>
        <w:tc>
          <w:tcPr>
            <w:tcW w:w="2948" w:type="dxa"/>
          </w:tcPr>
          <w:p w:rsidR="005603EC" w:rsidRDefault="00AB61AC">
            <w:pPr>
              <w:pStyle w:val="Compact"/>
              <w:spacing w:line="240" w:lineRule="auto"/>
            </w:pPr>
            <w:r>
              <w:rPr>
                <w:sz w:val="22"/>
              </w:rPr>
              <w:t xml:space="preserve">Ko‘rsatkichlarning ko‘pchiligi minimal xalqaro talablardan past (1 ball atrofida)</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9"/>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 xml:space="preserve">Taklif etilayotgan metodikaning amaliy qo‘llanilishini tekshirish uchun u ikkinchi bobda tahlil qilingan </w:t>
      </w:r>
      <w:r>
        <w:rPr/>
        <w:t xml:space="preserve">uch bankning</w:t>
      </w:r>
      <w:r>
        <w:t xml:space="preserve"> 2025-yil yakunidagi ma’lumotlariga qo‘llandi. </w:t>
      </w:r>
      <w:r>
        <w:rPr/>
        <w:t xml:space="preserve">Hisob-kitob ikki variantda bajarildi: milliy hisobot va Markaziy bank metodikasi asosida (3.1.5-jadval) hamda MHXS va Bazel III metodikasi asosida (3.1.6-jadval).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 xml:space="preserve">Uch bank bo‘yicha integral indeks ko‘rsatkichlari va ballari: milliy hisobot, 2025-yil yakuni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10,21 (3,88)</w:t>
            </w:r>
          </w:p>
        </w:tc>
        <w:tc>
          <w:tcPr>
            <w:tcW w:w="1758" w:type="dxa"/>
          </w:tcPr>
          <w:p w:rsidR="005603EC" w:rsidRDefault="00AB61AC">
            <w:pPr>
              <w:pStyle w:val="Compact"/>
              <w:spacing w:line="240" w:lineRule="auto"/>
              <w:jc w:val="center"/>
            </w:pPr>
            <w:r>
              <w:rPr>
                <w:sz w:val="22"/>
              </w:rPr>
              <w:t xml:space="preserve">16,39 (4,00)</w:t>
            </w:r>
          </w:p>
        </w:tc>
        <w:tc>
          <w:tcPr>
            <w:tcW w:w="1758" w:type="dxa"/>
          </w:tcPr>
          <w:p w:rsidR="005603EC" w:rsidRDefault="00AB61AC">
            <w:pPr>
              <w:pStyle w:val="Compact"/>
              <w:spacing w:line="240" w:lineRule="auto"/>
              <w:jc w:val="center"/>
            </w:pPr>
            <w:r>
              <w:rPr>
                <w:sz w:val="22"/>
              </w:rPr>
              <w:t xml:space="preserve">10,09 (3,83)</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17,02 (4,00)</w:t>
            </w:r>
          </w:p>
        </w:tc>
        <w:tc>
          <w:tcPr>
            <w:tcW w:w="1758" w:type="dxa"/>
          </w:tcPr>
          <w:p w:rsidR="005603EC" w:rsidRDefault="00AB61AC">
            <w:pPr>
              <w:pStyle w:val="Compact"/>
              <w:spacing w:line="240" w:lineRule="auto"/>
              <w:jc w:val="center"/>
            </w:pPr>
            <w:r>
              <w:rPr>
                <w:sz w:val="22"/>
              </w:rPr>
              <w:t xml:space="preserve">18,46 (4,00)</w:t>
            </w:r>
          </w:p>
        </w:tc>
        <w:tc>
          <w:tcPr>
            <w:tcW w:w="1758" w:type="dxa"/>
          </w:tcPr>
          <w:p w:rsidR="005603EC" w:rsidRDefault="00AB61AC">
            <w:pPr>
              <w:pStyle w:val="Compact"/>
              <w:spacing w:line="240" w:lineRule="auto"/>
              <w:jc w:val="center"/>
            </w:pPr>
            <w:r>
              <w:rPr>
                <w:sz w:val="22"/>
              </w:rPr>
              <w:t xml:space="preserve">14,14 (3,45)</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11,6 (4,00)</w:t>
            </w:r>
          </w:p>
        </w:tc>
        <w:tc>
          <w:tcPr>
            <w:tcW w:w="1758" w:type="dxa"/>
          </w:tcPr>
          <w:p w:rsidR="005603EC" w:rsidRDefault="00AB61AC">
            <w:pPr>
              <w:pStyle w:val="Compact"/>
              <w:spacing w:line="240" w:lineRule="auto"/>
              <w:jc w:val="center"/>
            </w:pPr>
            <w:r>
              <w:rPr>
                <w:sz w:val="22"/>
              </w:rPr>
              <w:t xml:space="preserve">18,7 (4,00)</w:t>
            </w:r>
          </w:p>
        </w:tc>
        <w:tc>
          <w:tcPr>
            <w:tcW w:w="1758" w:type="dxa"/>
          </w:tcPr>
          <w:p w:rsidR="005603EC" w:rsidRDefault="00AB61AC">
            <w:pPr>
              <w:pStyle w:val="Compact"/>
              <w:spacing w:line="240" w:lineRule="auto"/>
              <w:jc w:val="center"/>
            </w:pPr>
            <w:r>
              <w:rPr>
                <w:sz w:val="22"/>
              </w:rPr>
              <w:t xml:space="preserve">12,2 (4,00)</w:t>
            </w:r>
          </w:p>
        </w:tc>
      </w:tr>
      <w:tr w:rsidR="005603EC" w:rsidTr="005603EC">
        <w:trPr>
          <w:cantSplit/>
        </w:trPr>
        <w:tc>
          <w:tcPr>
            <w:tcW w:w="4082" w:type="dxa"/>
          </w:tcPr>
          <w:p w:rsidR="005603EC" w:rsidRDefault="00AB61AC">
            <w:pPr>
              <w:pStyle w:val="Compact"/>
              <w:spacing w:line="240" w:lineRule="auto"/>
            </w:pPr>
            <w:r>
              <w:rPr>
                <w:sz w:val="22"/>
              </w:rPr>
              <w:t xml:space="preserve">A1. Muammoli kreditlar ulushi, %</w:t>
            </w:r>
          </w:p>
        </w:tc>
        <w:tc>
          <w:tcPr>
            <w:tcW w:w="1758" w:type="dxa"/>
          </w:tcPr>
          <w:p w:rsidR="005603EC" w:rsidRDefault="00AB61AC">
            <w:pPr>
              <w:pStyle w:val="Compact"/>
              <w:spacing w:line="240" w:lineRule="auto"/>
              <w:jc w:val="center"/>
            </w:pPr>
            <w:r>
              <w:rPr>
                <w:sz w:val="22"/>
              </w:rPr>
              <w:t xml:space="preserve">2,5 (4,00)</w:t>
            </w:r>
          </w:p>
        </w:tc>
        <w:tc>
          <w:tcPr>
            <w:tcW w:w="1758" w:type="dxa"/>
          </w:tcPr>
          <w:p w:rsidR="005603EC" w:rsidRDefault="00AB61AC">
            <w:pPr>
              <w:pStyle w:val="Compact"/>
              <w:spacing w:line="240" w:lineRule="auto"/>
              <w:jc w:val="center"/>
            </w:pPr>
            <w:r>
              <w:rPr>
                <w:sz w:val="22"/>
              </w:rPr>
              <w:t xml:space="preserve">4,4 (3,30)</w:t>
            </w:r>
          </w:p>
        </w:tc>
        <w:tc>
          <w:tcPr>
            <w:tcW w:w="1758" w:type="dxa"/>
          </w:tcPr>
          <w:p w:rsidR="005603EC" w:rsidRDefault="00AB61AC">
            <w:pPr>
              <w:pStyle w:val="Compact"/>
              <w:spacing w:line="240" w:lineRule="auto"/>
              <w:jc w:val="center"/>
            </w:pPr>
            <w:r>
              <w:rPr>
                <w:sz w:val="22"/>
              </w:rPr>
              <w:t xml:space="preserve">2,5 (4,00)</w:t>
            </w:r>
          </w:p>
        </w:tc>
      </w:tr>
      <w:tr w:rsidR="005603EC" w:rsidTr="005603EC">
        <w:trPr>
          <w:cantSplit/>
        </w:trPr>
        <w:tc>
          <w:tcPr>
            <w:tcW w:w="4082" w:type="dxa"/>
          </w:tcPr>
          <w:p w:rsidR="005603EC" w:rsidRDefault="00AB61AC">
            <w:pPr>
              <w:pStyle w:val="Compact"/>
              <w:spacing w:line="240" w:lineRule="auto"/>
            </w:pPr>
            <w:r>
              <w:rPr>
                <w:sz w:val="22"/>
              </w:rPr>
              <w:t xml:space="preserve">A2. Substandart kreditlar ulushi, %</w:t>
            </w:r>
          </w:p>
        </w:tc>
        <w:tc>
          <w:tcPr>
            <w:tcW w:w="1758" w:type="dxa"/>
          </w:tcPr>
          <w:p w:rsidR="005603EC" w:rsidRDefault="00AB61AC">
            <w:pPr>
              <w:pStyle w:val="Compact"/>
              <w:spacing w:line="240" w:lineRule="auto"/>
              <w:jc w:val="center"/>
            </w:pPr>
            <w:r>
              <w:rPr>
                <w:sz w:val="22"/>
              </w:rPr>
              <w:t xml:space="preserve">18,4 (2,66)</w:t>
            </w:r>
          </w:p>
        </w:tc>
        <w:tc>
          <w:tcPr>
            <w:tcW w:w="1758" w:type="dxa"/>
          </w:tcPr>
          <w:p w:rsidR="005603EC" w:rsidRDefault="00AB61AC">
            <w:pPr>
              <w:pStyle w:val="Compact"/>
              <w:spacing w:line="240" w:lineRule="auto"/>
              <w:jc w:val="center"/>
            </w:pPr>
            <w:r>
              <w:rPr>
                <w:sz w:val="22"/>
              </w:rPr>
              <w:t xml:space="preserve">9,0 (4,00)</w:t>
            </w:r>
          </w:p>
        </w:tc>
        <w:tc>
          <w:tcPr>
            <w:tcW w:w="1758" w:type="dxa"/>
          </w:tcPr>
          <w:p w:rsidR="005603EC" w:rsidRDefault="00AB61AC">
            <w:pPr>
              <w:pStyle w:val="Compact"/>
              <w:spacing w:line="240" w:lineRule="auto"/>
              <w:jc w:val="center"/>
            </w:pPr>
            <w:r>
              <w:rPr>
                <w:sz w:val="22"/>
              </w:rPr>
              <w:t xml:space="preserve">6,4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−8,1 (4,00)</w:t>
            </w:r>
          </w:p>
        </w:tc>
        <w:tc>
          <w:tcPr>
            <w:tcW w:w="1758" w:type="dxa"/>
          </w:tcPr>
          <w:p w:rsidR="005603EC" w:rsidRDefault="00AB61AC">
            <w:pPr>
              <w:pStyle w:val="Compact"/>
              <w:spacing w:line="240" w:lineRule="auto"/>
              <w:jc w:val="center"/>
            </w:pPr>
            <w:r>
              <w:rPr>
                <w:sz w:val="22"/>
              </w:rPr>
              <w:t xml:space="preserve">10,3 (2,97)</w:t>
            </w:r>
          </w:p>
        </w:tc>
        <w:tc>
          <w:tcPr>
            <w:tcW w:w="1758" w:type="dxa"/>
          </w:tcPr>
          <w:p w:rsidR="005603EC" w:rsidRDefault="00AB61AC">
            <w:pPr>
              <w:pStyle w:val="Compact"/>
              <w:spacing w:line="240" w:lineRule="auto"/>
              <w:jc w:val="center"/>
            </w:pPr>
            <w:r>
              <w:rPr>
                <w:sz w:val="22"/>
              </w:rPr>
              <w:t xml:space="preserve">5,9 (3,41)</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206,5 (1,00)</w:t>
            </w:r>
          </w:p>
        </w:tc>
        <w:tc>
          <w:tcPr>
            <w:tcW w:w="1758" w:type="dxa"/>
          </w:tcPr>
          <w:p w:rsidR="005603EC" w:rsidRDefault="00AB61AC">
            <w:pPr>
              <w:pStyle w:val="Compact"/>
              <w:spacing w:line="240" w:lineRule="auto"/>
              <w:jc w:val="center"/>
            </w:pPr>
            <w:r>
              <w:rPr>
                <w:sz w:val="22"/>
              </w:rPr>
              <w:t xml:space="preserve">208,5 (1,00)</w:t>
            </w:r>
          </w:p>
        </w:tc>
        <w:tc>
          <w:tcPr>
            <w:tcW w:w="1758" w:type="dxa"/>
          </w:tcPr>
          <w:p w:rsidR="005603EC" w:rsidRDefault="00AB61AC">
            <w:pPr>
              <w:pStyle w:val="Compact"/>
              <w:spacing w:line="240" w:lineRule="auto"/>
              <w:jc w:val="center"/>
            </w:pPr>
            <w:r>
              <w:rPr>
                <w:sz w:val="22"/>
              </w:rPr>
              <w:t xml:space="preserve">121,1 (2,58)</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2,0 (3,96)</w:t>
            </w:r>
          </w:p>
        </w:tc>
        <w:tc>
          <w:tcPr>
            <w:tcW w:w="1758" w:type="dxa"/>
          </w:tcPr>
          <w:p w:rsidR="005603EC" w:rsidRDefault="00AB61AC">
            <w:pPr>
              <w:pStyle w:val="Compact"/>
              <w:spacing w:line="240" w:lineRule="auto"/>
              <w:jc w:val="center"/>
            </w:pPr>
            <w:r>
              <w:rPr>
                <w:sz w:val="22"/>
              </w:rPr>
              <w:t xml:space="preserve">0,6 (1,85)</w:t>
            </w:r>
          </w:p>
        </w:tc>
        <w:tc>
          <w:tcPr>
            <w:tcW w:w="1758" w:type="dxa"/>
          </w:tcPr>
          <w:p w:rsidR="005603EC" w:rsidRDefault="00AB61AC">
            <w:pPr>
              <w:pStyle w:val="Compact"/>
              <w:spacing w:line="240" w:lineRule="auto"/>
              <w:jc w:val="center"/>
            </w:pPr>
            <w:r>
              <w:rPr>
                <w:sz w:val="22"/>
              </w:rPr>
              <w:t xml:space="preserve">0,9 (2,31)</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17,2 (4,00)</w:t>
            </w:r>
          </w:p>
        </w:tc>
        <w:tc>
          <w:tcPr>
            <w:tcW w:w="1758" w:type="dxa"/>
          </w:tcPr>
          <w:p w:rsidR="005603EC" w:rsidRDefault="00AB61AC">
            <w:pPr>
              <w:pStyle w:val="Compact"/>
              <w:spacing w:line="240" w:lineRule="auto"/>
              <w:jc w:val="center"/>
            </w:pPr>
            <w:r>
              <w:rPr>
                <w:sz w:val="22"/>
              </w:rPr>
              <w:t xml:space="preserve">3,5 (1,69)</w:t>
            </w:r>
          </w:p>
        </w:tc>
        <w:tc>
          <w:tcPr>
            <w:tcW w:w="1758" w:type="dxa"/>
          </w:tcPr>
          <w:p w:rsidR="005603EC" w:rsidRDefault="00AB61AC">
            <w:pPr>
              <w:pStyle w:val="Compact"/>
              <w:spacing w:line="240" w:lineRule="auto"/>
              <w:jc w:val="center"/>
            </w:pPr>
            <w:r>
              <w:rPr>
                <w:sz w:val="22"/>
              </w:rPr>
              <w:t xml:space="preserve">7,3 (2,45)</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36,5 (4,00)</w:t>
            </w:r>
          </w:p>
        </w:tc>
        <w:tc>
          <w:tcPr>
            <w:tcW w:w="1758" w:type="dxa"/>
          </w:tcPr>
          <w:p w:rsidR="005603EC" w:rsidRDefault="00AB61AC">
            <w:pPr>
              <w:pStyle w:val="Compact"/>
              <w:spacing w:line="240" w:lineRule="auto"/>
              <w:jc w:val="center"/>
            </w:pPr>
            <w:r>
              <w:rPr>
                <w:sz w:val="22"/>
              </w:rPr>
              <w:t xml:space="preserve">65,5 (2,72)</w:t>
            </w:r>
          </w:p>
        </w:tc>
        <w:tc>
          <w:tcPr>
            <w:tcW w:w="1758" w:type="dxa"/>
          </w:tcPr>
          <w:p w:rsidR="005603EC" w:rsidRDefault="00AB61AC">
            <w:pPr>
              <w:pStyle w:val="Compact"/>
              <w:spacing w:line="240" w:lineRule="auto"/>
              <w:jc w:val="center"/>
            </w:pPr>
            <w:r>
              <w:rPr>
                <w:sz w:val="22"/>
              </w:rPr>
              <w:t xml:space="preserve">82,2 (1,89)</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60,1 (1,33)</w:t>
            </w:r>
          </w:p>
        </w:tc>
        <w:tc>
          <w:tcPr>
            <w:tcW w:w="1758" w:type="dxa"/>
          </w:tcPr>
          <w:p w:rsidR="005603EC" w:rsidRDefault="00AB61AC">
            <w:pPr>
              <w:pStyle w:val="Compact"/>
              <w:spacing w:line="240" w:lineRule="auto"/>
              <w:jc w:val="center"/>
            </w:pPr>
            <w:r>
              <w:rPr>
                <w:sz w:val="22"/>
              </w:rPr>
              <w:t xml:space="preserve">18,4 (4,00)</w:t>
            </w:r>
          </w:p>
        </w:tc>
        <w:tc>
          <w:tcPr>
            <w:tcW w:w="1758" w:type="dxa"/>
          </w:tcPr>
          <w:p w:rsidR="005603EC" w:rsidRDefault="00AB61AC">
            <w:pPr>
              <w:pStyle w:val="Compact"/>
              <w:spacing w:line="240" w:lineRule="auto"/>
              <w:jc w:val="center"/>
            </w:pPr>
            <w:r>
              <w:rPr>
                <w:sz w:val="22"/>
              </w:rPr>
              <w:t xml:space="preserve">37,0 (2,87)</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60,9 (1,61)</w:t>
            </w:r>
          </w:p>
        </w:tc>
        <w:tc>
          <w:tcPr>
            <w:tcW w:w="1758" w:type="dxa"/>
          </w:tcPr>
          <w:p w:rsidR="005603EC" w:rsidRDefault="00AB61AC">
            <w:pPr>
              <w:pStyle w:val="Compact"/>
              <w:spacing w:line="240" w:lineRule="auto"/>
              <w:jc w:val="center"/>
            </w:pPr>
            <w:r>
              <w:rPr>
                <w:sz w:val="22"/>
              </w:rPr>
              <w:t xml:space="preserve">31,4 (3,57)</w:t>
            </w:r>
          </w:p>
        </w:tc>
        <w:tc>
          <w:tcPr>
            <w:tcW w:w="1758" w:type="dxa"/>
          </w:tcPr>
          <w:p w:rsidR="005603EC" w:rsidRDefault="00AB61AC">
            <w:pPr>
              <w:pStyle w:val="Compact"/>
              <w:spacing w:line="240" w:lineRule="auto"/>
              <w:jc w:val="center"/>
            </w:pPr>
            <w:r>
              <w:rPr>
                <w:sz w:val="22"/>
              </w:rPr>
              <w:t xml:space="preserve">31,6 (3,56)</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3,96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3,76</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3,55</w:t>
            </w:r>
          </w:p>
        </w:tc>
        <w:tc>
          <w:tcPr>
            <w:tcW w:w="1758" w:type="dxa"/>
          </w:tcPr>
          <w:p w:rsidR="005603EC" w:rsidRDefault="00AB61AC">
            <w:pPr>
              <w:pStyle w:val="Compact"/>
              <w:spacing w:line="240" w:lineRule="auto"/>
              <w:jc w:val="center"/>
            </w:pPr>
            <w:r>
              <w:rPr>
                <w:b/>
                <w:bCs/>
                <w:sz w:val="22"/>
              </w:rPr>
              <w:t xml:space="preserve">3,42</w:t>
            </w:r>
          </w:p>
        </w:tc>
        <w:tc>
          <w:tcPr>
            <w:tcW w:w="1758" w:type="dxa"/>
          </w:tcPr>
          <w:p w:rsidR="005603EC" w:rsidRDefault="00AB61AC">
            <w:pPr>
              <w:pStyle w:val="Compact"/>
              <w:spacing w:line="240" w:lineRule="auto"/>
              <w:jc w:val="center"/>
            </w:pPr>
            <w:r>
              <w:rPr>
                <w:b/>
                <w:bCs/>
                <w:sz w:val="22"/>
              </w:rPr>
              <w:t xml:space="preserve">3,80</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2,56</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3,99</w:t>
            </w:r>
          </w:p>
        </w:tc>
        <w:tc>
          <w:tcPr>
            <w:tcW w:w="1758" w:type="dxa"/>
          </w:tcPr>
          <w:p w:rsidR="005603EC" w:rsidRDefault="00AB61AC">
            <w:pPr>
              <w:pStyle w:val="Compact"/>
              <w:spacing w:line="240" w:lineRule="auto"/>
              <w:jc w:val="center"/>
            </w:pPr>
            <w:r>
              <w:rPr>
                <w:b/>
                <w:bCs/>
                <w:sz w:val="22"/>
              </w:rPr>
              <w:t xml:space="preserve">2,09</w:t>
            </w:r>
          </w:p>
        </w:tc>
        <w:tc>
          <w:tcPr>
            <w:tcW w:w="1758" w:type="dxa"/>
          </w:tcPr>
          <w:p w:rsidR="005603EC" w:rsidRDefault="00AB61AC">
            <w:pPr>
              <w:pStyle w:val="Compact"/>
              <w:spacing w:line="240" w:lineRule="auto"/>
              <w:jc w:val="center"/>
            </w:pPr>
            <w:r>
              <w:rPr>
                <w:b/>
                <w:bCs/>
                <w:sz w:val="22"/>
              </w:rPr>
              <w:t xml:space="preserve">2,22</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1,47</w:t>
            </w:r>
          </w:p>
        </w:tc>
        <w:tc>
          <w:tcPr>
            <w:tcW w:w="1758" w:type="dxa"/>
          </w:tcPr>
          <w:p w:rsidR="005603EC" w:rsidRDefault="00AB61AC">
            <w:pPr>
              <w:pStyle w:val="Compact"/>
              <w:spacing w:line="240" w:lineRule="auto"/>
              <w:jc w:val="center"/>
            </w:pPr>
            <w:r>
              <w:rPr>
                <w:b/>
                <w:bCs/>
                <w:sz w:val="22"/>
              </w:rPr>
              <w:t xml:space="preserve">3,79</w:t>
            </w:r>
          </w:p>
        </w:tc>
        <w:tc>
          <w:tcPr>
            <w:tcW w:w="1758" w:type="dxa"/>
          </w:tcPr>
          <w:p w:rsidR="005603EC" w:rsidRDefault="00AB61AC">
            <w:pPr>
              <w:pStyle w:val="Compact"/>
              <w:spacing w:line="240" w:lineRule="auto"/>
              <w:jc w:val="center"/>
            </w:pPr>
            <w:r>
              <w:rPr>
                <w:b/>
                <w:bCs/>
                <w:sz w:val="22"/>
              </w:rPr>
              <w:t xml:space="preserve">3,21</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3,27</w:t>
            </w:r>
          </w:p>
        </w:tc>
        <w:tc>
          <w:tcPr>
            <w:tcW w:w="1758" w:type="dxa"/>
          </w:tcPr>
          <w:p w:rsidR="005603EC" w:rsidRDefault="00AB61AC">
            <w:pPr>
              <w:pStyle w:val="Compact"/>
              <w:spacing w:line="240" w:lineRule="auto"/>
              <w:jc w:val="center"/>
            </w:pPr>
            <w:r>
              <w:rPr>
                <w:b/>
                <w:bCs/>
                <w:sz w:val="22"/>
              </w:rPr>
              <w:t xml:space="preserve">3,13</w:t>
            </w:r>
          </w:p>
        </w:tc>
        <w:tc>
          <w:tcPr>
            <w:tcW w:w="1758" w:type="dxa"/>
          </w:tcPr>
          <w:p w:rsidR="005603EC" w:rsidRDefault="00AB61AC">
            <w:pPr>
              <w:pStyle w:val="Compact"/>
              <w:spacing w:line="240" w:lineRule="auto"/>
              <w:jc w:val="center"/>
            </w:pPr>
            <w:r>
              <w:rPr>
                <w:b/>
                <w:bCs/>
                <w:sz w:val="22"/>
              </w:rPr>
              <w:t xml:space="preserve">3,248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“Aloqabank” ATB ning indeksi I sinf chegarasidan (3,25) 0,002 ball past bo‘lgani sababli uch xona aniqlikda keltirildi.</w:t>
      </w:r>
      <w:r>
        <w:rPr>
          <w:i/>
          <w:iCs/>
        </w:rPr>
        <w:lastRenderedPageBreak/>
      </w:r>
    </w:p>
    <w:p w:rsidR="005603EC" w:rsidRDefault="00AB61AC">
      <w:pPr>
        <w:pStyle w:val="af"/>
        <w:spacing w:after="0" w:line="360" w:lineRule="auto"/>
        <w:ind w:firstLine="709"/>
        <w:jc w:val="both"/>
      </w:pPr>
      <w:r>
        <w:rPr>
          <w:color w:val="FF0000"/>
        </w:rPr>
        <w:t xml:space="preserve">3.1.5-jadval ma’lumotlaridan ko‘rinib turibdiki, m</w:t>
      </w:r>
      <w:r>
        <w:rPr/>
        <w:t xml:space="preserve">illiy hisobot ma’lumotlari bo‘yicha uchala bank yuqori baholanadi: “O‘zsanoatqurilishbank” ATB ning indeksi 3,27 ballni tashkil etib, I sinfga kiradi, “Aloqabank” ATB niki 3,248 ball bilan I sinf chegarasidan atigi 0,002 ball past, “Mikrokreditbank” ATB niki esa 3,13 ball bilan II sinfning yuqori qismida joylashadi. Uchala bankda ham kapital yetarliligi (3,76–4,00 ball) va aktivlar sifati (3,42–3,80 ball) bloklari yuqori baholangan, chunki rasmiy muammoli kreditlar ulushi 2,5–4,4 foizni tashkil etadi. Zaif bo‘g‘inlar esa banklarning faoliyat modeliga qarab farqlanadi: “O‘zsanoatqurilishbank” ATB da valyuta riskiga sezgirlik (1,47 ball, kreditlarning 60,1 foizi xorijiy valyutada) va likvidlik (2,33 ball), “Mikrokreditbank” ATB da likvidlik (2,05 ball) va daromadlilik (2,09 ball, kapital rentabelligi 3,5 foiz), “Aloqabank” ATB da esa daromadlilik (2,22 ball, xarajatlar daromadlarning 82,2 foizini tashkil etadi) va likvidlik (2,56 ball) bloklari. Demak, milliy hisobot asosida uchala bank barqaror yoki qoniqarli darajada ko‘rinadi, ularning zaifliklari esa asosan likvidlik, daromadlilik va valyuta riski bilan bog‘liq bo‘lib, aktivlar sifati muammo sifatida namoyon bo‘lmaydi. Integral indeks bunday turli profillarni yagona shkalada solishtirish imkonini beradi, bloklar ballari esa har bir bank uchun aniq nazorat yo‘nalishini ko‘rsatadi.</w:t>
      </w:r>
    </w:p>
    <w:p w:rsidR="005603EC" w:rsidRDefault="00AB61AC">
      <w:pPr>
        <w:pStyle w:val="af"/>
        <w:keepNext/>
        <w:spacing w:before="120" w:after="0" w:line="360" w:lineRule="auto"/>
        <w:jc w:val="right"/>
      </w:pPr>
      <w:r>
        <w:rPr>
          <w:i/>
        </w:rPr>
        <w:t xml:space="preserve">3.1.6-jadval</w:t>
      </w:r>
    </w:p>
    <w:p w:rsidR="005603EC" w:rsidRDefault="00AB61AC">
      <w:pPr>
        <w:pStyle w:val="af"/>
        <w:keepNext/>
        <w:spacing w:line="240" w:lineRule="auto"/>
        <w:jc w:val="center"/>
      </w:pPr>
      <w:r>
        <w:rPr>
          <w:b/>
          <w:bCs/>
        </w:rPr>
        <w:t xml:space="preserve">Uch bank bo‘yicha integral indeks ko‘rsatkichlari va ballari: MHXS hisobotlari, 2025-yil yakuni</w:t>
      </w:r>
      <w:r>
        <w:rPr>
          <w:rStyle w:val="aff8"/>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8,87 (3,35)</w:t>
            </w:r>
          </w:p>
        </w:tc>
        <w:tc>
          <w:tcPr>
            <w:tcW w:w="1758" w:type="dxa"/>
          </w:tcPr>
          <w:p w:rsidR="005603EC" w:rsidRDefault="00AB61AC">
            <w:pPr>
              <w:pStyle w:val="Compact"/>
              <w:spacing w:line="240" w:lineRule="auto"/>
              <w:jc w:val="center"/>
            </w:pPr>
            <w:r>
              <w:rPr>
                <w:sz w:val="22"/>
              </w:rPr>
              <w:t xml:space="preserve">18,24 (4,00)</w:t>
            </w:r>
          </w:p>
        </w:tc>
        <w:tc>
          <w:tcPr>
            <w:tcW w:w="1758" w:type="dxa"/>
          </w:tcPr>
          <w:p w:rsidR="005603EC" w:rsidRDefault="00AB61AC">
            <w:pPr>
              <w:pStyle w:val="Compact"/>
              <w:spacing w:line="240" w:lineRule="auto"/>
              <w:jc w:val="center"/>
            </w:pPr>
            <w:r>
              <w:rPr>
                <w:sz w:val="22"/>
              </w:rPr>
              <w:t xml:space="preserve">9,76 (3,70)</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15,32 (3,93)</w:t>
            </w:r>
          </w:p>
        </w:tc>
        <w:tc>
          <w:tcPr>
            <w:tcW w:w="1758" w:type="dxa"/>
          </w:tcPr>
          <w:p w:rsidR="005603EC" w:rsidRDefault="00AB61AC">
            <w:pPr>
              <w:pStyle w:val="Compact"/>
              <w:spacing w:line="240" w:lineRule="auto"/>
              <w:jc w:val="center"/>
            </w:pPr>
            <w:r>
              <w:rPr>
                <w:sz w:val="22"/>
              </w:rPr>
              <w:t xml:space="preserve">19,96 (4,00)</w:t>
            </w:r>
          </w:p>
        </w:tc>
        <w:tc>
          <w:tcPr>
            <w:tcW w:w="1758" w:type="dxa"/>
          </w:tcPr>
          <w:p w:rsidR="005603EC" w:rsidRDefault="00AB61AC">
            <w:pPr>
              <w:pStyle w:val="Compact"/>
              <w:spacing w:line="240" w:lineRule="auto"/>
              <w:jc w:val="center"/>
            </w:pPr>
            <w:r>
              <w:rPr>
                <w:sz w:val="22"/>
              </w:rPr>
              <w:t xml:space="preserve">13,11 (3,04)</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10,6 (4,00)</w:t>
            </w:r>
          </w:p>
        </w:tc>
        <w:tc>
          <w:tcPr>
            <w:tcW w:w="1758" w:type="dxa"/>
          </w:tcPr>
          <w:p w:rsidR="005603EC" w:rsidRDefault="00AB61AC">
            <w:pPr>
              <w:pStyle w:val="Compact"/>
              <w:spacing w:line="240" w:lineRule="auto"/>
              <w:jc w:val="center"/>
            </w:pPr>
            <w:r>
              <w:rPr>
                <w:sz w:val="22"/>
              </w:rPr>
              <w:t xml:space="preserve">20,2 (4,00)</w:t>
            </w:r>
          </w:p>
        </w:tc>
        <w:tc>
          <w:tcPr>
            <w:tcW w:w="1758" w:type="dxa"/>
          </w:tcPr>
          <w:p w:rsidR="005603EC" w:rsidRDefault="00AB61AC">
            <w:pPr>
              <w:pStyle w:val="Compact"/>
              <w:spacing w:line="240" w:lineRule="auto"/>
              <w:jc w:val="center"/>
            </w:pPr>
            <w:r>
              <w:rPr>
                <w:sz w:val="22"/>
              </w:rPr>
              <w:t xml:space="preserve">11,1 (4,00)</w:t>
            </w:r>
          </w:p>
        </w:tc>
      </w:tr>
      <w:tr w:rsidR="005603EC" w:rsidTr="005603EC">
        <w:trPr>
          <w:cantSplit/>
        </w:trPr>
        <w:tc>
          <w:tcPr>
            <w:tcW w:w="4082" w:type="dxa"/>
          </w:tcPr>
          <w:p w:rsidR="005603EC" w:rsidRDefault="00AB61AC">
            <w:pPr>
              <w:pStyle w:val="Compact"/>
              <w:spacing w:line="240" w:lineRule="auto"/>
            </w:pPr>
            <w:r>
              <w:rPr>
                <w:sz w:val="22"/>
              </w:rPr>
              <w:t xml:space="preserve">A1. 3-bosqich kreditlar ulushi, %</w:t>
            </w:r>
          </w:p>
        </w:tc>
        <w:tc>
          <w:tcPr>
            <w:tcW w:w="1758" w:type="dxa"/>
          </w:tcPr>
          <w:p w:rsidR="005603EC" w:rsidRDefault="00AB61AC">
            <w:pPr>
              <w:pStyle w:val="Compact"/>
              <w:spacing w:line="240" w:lineRule="auto"/>
              <w:jc w:val="center"/>
            </w:pPr>
            <w:r>
              <w:rPr>
                <w:sz w:val="22"/>
              </w:rPr>
              <w:t xml:space="preserve">7,5 (2,50)</w:t>
            </w:r>
          </w:p>
        </w:tc>
        <w:tc>
          <w:tcPr>
            <w:tcW w:w="1758" w:type="dxa"/>
          </w:tcPr>
          <w:p w:rsidR="005603EC" w:rsidRDefault="00AB61AC">
            <w:pPr>
              <w:pStyle w:val="Compact"/>
              <w:spacing w:line="240" w:lineRule="auto"/>
              <w:jc w:val="center"/>
            </w:pPr>
            <w:r>
              <w:rPr>
                <w:sz w:val="22"/>
              </w:rPr>
              <w:t xml:space="preserve">12,3 (1,53)</w:t>
            </w:r>
          </w:p>
        </w:tc>
        <w:tc>
          <w:tcPr>
            <w:tcW w:w="1758" w:type="dxa"/>
          </w:tcPr>
          <w:p w:rsidR="005603EC" w:rsidRDefault="00AB61AC">
            <w:pPr>
              <w:pStyle w:val="Compact"/>
              <w:spacing w:line="240" w:lineRule="auto"/>
              <w:jc w:val="center"/>
            </w:pPr>
            <w:r>
              <w:rPr>
                <w:sz w:val="22"/>
              </w:rPr>
              <w:t xml:space="preserve">7,2 (2,56)</w:t>
            </w:r>
          </w:p>
        </w:tc>
      </w:tr>
      <w:tr w:rsidR="005603EC" w:rsidTr="005603EC">
        <w:trPr>
          <w:cantSplit/>
        </w:trPr>
        <w:tc>
          <w:tcPr>
            <w:tcW w:w="4082" w:type="dxa"/>
          </w:tcPr>
          <w:p w:rsidR="005603EC" w:rsidRDefault="00AB61AC">
            <w:pPr>
              <w:pStyle w:val="Compact"/>
              <w:spacing w:line="240" w:lineRule="auto"/>
            </w:pPr>
            <w:r>
              <w:rPr>
                <w:sz w:val="22"/>
              </w:rPr>
              <w:t xml:space="preserve">A2. 2-bosqich kreditlar ulushi, %</w:t>
            </w:r>
          </w:p>
        </w:tc>
        <w:tc>
          <w:tcPr>
            <w:tcW w:w="1758" w:type="dxa"/>
          </w:tcPr>
          <w:p w:rsidR="005603EC" w:rsidRDefault="00AB61AC">
            <w:pPr>
              <w:pStyle w:val="Compact"/>
              <w:spacing w:line="240" w:lineRule="auto"/>
              <w:jc w:val="center"/>
            </w:pPr>
            <w:r>
              <w:rPr>
                <w:sz w:val="22"/>
              </w:rPr>
              <w:t xml:space="preserve">35,7 (1,00)</w:t>
            </w:r>
          </w:p>
        </w:tc>
        <w:tc>
          <w:tcPr>
            <w:tcW w:w="1758" w:type="dxa"/>
          </w:tcPr>
          <w:p w:rsidR="005603EC" w:rsidRDefault="00AB61AC">
            <w:pPr>
              <w:pStyle w:val="Compact"/>
              <w:spacing w:line="240" w:lineRule="auto"/>
              <w:jc w:val="center"/>
            </w:pPr>
            <w:r>
              <w:rPr>
                <w:sz w:val="22"/>
              </w:rPr>
              <w:t xml:space="preserve">25,3 (1,97)</w:t>
            </w:r>
          </w:p>
        </w:tc>
        <w:tc>
          <w:tcPr>
            <w:tcW w:w="1758" w:type="dxa"/>
          </w:tcPr>
          <w:p w:rsidR="005603EC" w:rsidRDefault="00AB61AC">
            <w:pPr>
              <w:pStyle w:val="Compact"/>
              <w:spacing w:line="240" w:lineRule="auto"/>
              <w:jc w:val="center"/>
            </w:pPr>
            <w:r>
              <w:rPr>
                <w:sz w:val="22"/>
              </w:rPr>
              <w:t xml:space="preserve">6,6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6,5 (3,35)</w:t>
            </w:r>
          </w:p>
        </w:tc>
        <w:tc>
          <w:tcPr>
            <w:tcW w:w="1758" w:type="dxa"/>
          </w:tcPr>
          <w:p w:rsidR="005603EC" w:rsidRDefault="00AB61AC">
            <w:pPr>
              <w:pStyle w:val="Compact"/>
              <w:spacing w:line="240" w:lineRule="auto"/>
              <w:jc w:val="center"/>
            </w:pPr>
            <w:r>
              <w:rPr>
                <w:sz w:val="22"/>
              </w:rPr>
              <w:t xml:space="preserve">29,1 (1,09)</w:t>
            </w:r>
          </w:p>
        </w:tc>
        <w:tc>
          <w:tcPr>
            <w:tcW w:w="1758" w:type="dxa"/>
          </w:tcPr>
          <w:p w:rsidR="005603EC" w:rsidRDefault="00AB61AC">
            <w:pPr>
              <w:pStyle w:val="Compact"/>
              <w:spacing w:line="240" w:lineRule="auto"/>
              <w:jc w:val="center"/>
            </w:pPr>
            <w:r>
              <w:rPr>
                <w:sz w:val="22"/>
              </w:rPr>
              <w:t xml:space="preserve">17,8 (2,22)</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221,0 (1,00)</w:t>
            </w:r>
          </w:p>
        </w:tc>
        <w:tc>
          <w:tcPr>
            <w:tcW w:w="1758" w:type="dxa"/>
          </w:tcPr>
          <w:p w:rsidR="005603EC" w:rsidRDefault="00AB61AC">
            <w:pPr>
              <w:pStyle w:val="Compact"/>
              <w:spacing w:line="240" w:lineRule="auto"/>
              <w:jc w:val="center"/>
            </w:pPr>
            <w:r>
              <w:rPr>
                <w:sz w:val="22"/>
              </w:rPr>
              <w:t xml:space="preserve">324,5 (1,00)</w:t>
            </w:r>
          </w:p>
        </w:tc>
        <w:tc>
          <w:tcPr>
            <w:tcW w:w="1758" w:type="dxa"/>
          </w:tcPr>
          <w:p w:rsidR="005603EC" w:rsidRDefault="00AB61AC">
            <w:pPr>
              <w:pStyle w:val="Compact"/>
              <w:spacing w:line="240" w:lineRule="auto"/>
              <w:jc w:val="center"/>
            </w:pPr>
            <w:r>
              <w:rPr>
                <w:sz w:val="22"/>
              </w:rPr>
              <w:t xml:space="preserve">140,1 (2,20)</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1,7 (3,49)</w:t>
            </w:r>
          </w:p>
        </w:tc>
        <w:tc>
          <w:tcPr>
            <w:tcW w:w="1758" w:type="dxa"/>
          </w:tcPr>
          <w:p w:rsidR="005603EC" w:rsidRDefault="00AB61AC">
            <w:pPr>
              <w:pStyle w:val="Compact"/>
              <w:spacing w:line="240" w:lineRule="auto"/>
              <w:jc w:val="center"/>
            </w:pPr>
            <w:r>
              <w:rPr>
                <w:sz w:val="22"/>
              </w:rPr>
              <w:t xml:space="preserve">0,2 (1,22)</w:t>
            </w:r>
          </w:p>
        </w:tc>
        <w:tc>
          <w:tcPr>
            <w:tcW w:w="1758" w:type="dxa"/>
          </w:tcPr>
          <w:p w:rsidR="005603EC" w:rsidRDefault="00AB61AC">
            <w:pPr>
              <w:pStyle w:val="Compact"/>
              <w:spacing w:line="240" w:lineRule="auto"/>
              <w:jc w:val="center"/>
            </w:pPr>
            <w:r>
              <w:rPr>
                <w:sz w:val="22"/>
              </w:rPr>
              <w:t xml:space="preserve">−0,7 (1,00)</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15,7 (4,00)</w:t>
            </w:r>
          </w:p>
        </w:tc>
        <w:tc>
          <w:tcPr>
            <w:tcW w:w="1758" w:type="dxa"/>
          </w:tcPr>
          <w:p w:rsidR="005603EC" w:rsidRDefault="00AB61AC">
            <w:pPr>
              <w:pStyle w:val="Compact"/>
              <w:spacing w:line="240" w:lineRule="auto"/>
              <w:jc w:val="center"/>
            </w:pPr>
            <w:r>
              <w:rPr>
                <w:sz w:val="22"/>
              </w:rPr>
              <w:t xml:space="preserve">0,8 (1,16)</w:t>
            </w:r>
          </w:p>
        </w:tc>
        <w:tc>
          <w:tcPr>
            <w:tcW w:w="1758" w:type="dxa"/>
          </w:tcPr>
          <w:p w:rsidR="005603EC" w:rsidRDefault="00AB61AC">
            <w:pPr>
              <w:pStyle w:val="Compact"/>
              <w:spacing w:line="240" w:lineRule="auto"/>
              <w:jc w:val="center"/>
            </w:pPr>
            <w:r>
              <w:rPr>
                <w:sz w:val="22"/>
              </w:rPr>
              <w:t xml:space="preserve">−5,9 (1,00)</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41,5 (4,00)</w:t>
            </w:r>
          </w:p>
        </w:tc>
        <w:tc>
          <w:tcPr>
            <w:tcW w:w="1758" w:type="dxa"/>
          </w:tcPr>
          <w:p w:rsidR="005603EC" w:rsidRDefault="00AB61AC">
            <w:pPr>
              <w:pStyle w:val="Compact"/>
              <w:spacing w:line="240" w:lineRule="auto"/>
              <w:jc w:val="center"/>
            </w:pPr>
            <w:r>
              <w:rPr>
                <w:sz w:val="22"/>
              </w:rPr>
              <w:t xml:space="preserve">87,6 (1,62)</w:t>
            </w:r>
          </w:p>
        </w:tc>
        <w:tc>
          <w:tcPr>
            <w:tcW w:w="1758" w:type="dxa"/>
          </w:tcPr>
          <w:p w:rsidR="005603EC" w:rsidRDefault="00AB61AC">
            <w:pPr>
              <w:pStyle w:val="Compact"/>
              <w:spacing w:line="240" w:lineRule="auto"/>
              <w:jc w:val="center"/>
            </w:pPr>
            <w:r>
              <w:rPr>
                <w:sz w:val="22"/>
              </w:rPr>
              <w:t xml:space="preserve">89,0 (1,55)</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61,2 (1,25)</w:t>
            </w:r>
          </w:p>
        </w:tc>
        <w:tc>
          <w:tcPr>
            <w:tcW w:w="1758" w:type="dxa"/>
          </w:tcPr>
          <w:p w:rsidR="005603EC" w:rsidRDefault="00AB61AC">
            <w:pPr>
              <w:pStyle w:val="Compact"/>
              <w:spacing w:line="240" w:lineRule="auto"/>
              <w:jc w:val="center"/>
            </w:pPr>
            <w:r>
              <w:rPr>
                <w:sz w:val="22"/>
              </w:rPr>
              <w:t xml:space="preserve">–</w:t>
            </w:r>
          </w:p>
        </w:tc>
        <w:tc>
          <w:tcPr>
            <w:tcW w:w="1758" w:type="dxa"/>
          </w:tcPr>
          <w:p w:rsidR="005603EC" w:rsidRDefault="00AB61AC">
            <w:pPr>
              <w:pStyle w:val="Compact"/>
              <w:spacing w:line="240" w:lineRule="auto"/>
              <w:jc w:val="center"/>
            </w:pPr>
            <w:r>
              <w:rPr>
                <w:sz w:val="22"/>
              </w:rPr>
              <w:t xml:space="preserve">–</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60,4 (1,64)</w:t>
            </w:r>
          </w:p>
        </w:tc>
        <w:tc>
          <w:tcPr>
            <w:tcW w:w="1758" w:type="dxa"/>
          </w:tcPr>
          <w:p w:rsidR="005603EC" w:rsidRDefault="00AB61AC">
            <w:pPr>
              <w:pStyle w:val="Compact"/>
              <w:spacing w:line="240" w:lineRule="auto"/>
              <w:jc w:val="center"/>
            </w:pPr>
            <w:r>
              <w:rPr>
                <w:sz w:val="22"/>
              </w:rPr>
              <w:t xml:space="preserve">22,4 (4,00)</w:t>
            </w:r>
          </w:p>
        </w:tc>
        <w:tc>
          <w:tcPr>
            <w:tcW w:w="1758" w:type="dxa"/>
          </w:tcPr>
          <w:p w:rsidR="005603EC" w:rsidRDefault="00AB61AC">
            <w:pPr>
              <w:pStyle w:val="Compact"/>
              <w:spacing w:line="240" w:lineRule="auto"/>
              <w:jc w:val="center"/>
            </w:pPr>
            <w:r>
              <w:rPr>
                <w:sz w:val="22"/>
              </w:rPr>
              <w:t xml:space="preserve">31,4 (3,57)</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3,76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3,58</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2,28</w:t>
            </w:r>
          </w:p>
        </w:tc>
        <w:tc>
          <w:tcPr>
            <w:tcW w:w="1758" w:type="dxa"/>
          </w:tcPr>
          <w:p w:rsidR="005603EC" w:rsidRDefault="00AB61AC">
            <w:pPr>
              <w:pStyle w:val="Compact"/>
              <w:spacing w:line="240" w:lineRule="auto"/>
              <w:jc w:val="center"/>
            </w:pPr>
            <w:r>
              <w:rPr>
                <w:b/>
                <w:bCs/>
                <w:sz w:val="22"/>
              </w:rPr>
              <w:t xml:space="preserve">1,53</w:t>
            </w:r>
          </w:p>
        </w:tc>
        <w:tc>
          <w:tcPr>
            <w:tcW w:w="1758" w:type="dxa"/>
          </w:tcPr>
          <w:p w:rsidR="005603EC" w:rsidRDefault="00AB61AC">
            <w:pPr>
              <w:pStyle w:val="Compact"/>
              <w:spacing w:line="240" w:lineRule="auto"/>
              <w:jc w:val="center"/>
            </w:pPr>
            <w:r>
              <w:rPr>
                <w:b/>
                <w:bCs/>
                <w:sz w:val="22"/>
              </w:rPr>
              <w:t xml:space="preserve">2,93</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2,37</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3,83</w:t>
            </w:r>
          </w:p>
        </w:tc>
        <w:tc>
          <w:tcPr>
            <w:tcW w:w="1758" w:type="dxa"/>
          </w:tcPr>
          <w:p w:rsidR="005603EC" w:rsidRDefault="00AB61AC">
            <w:pPr>
              <w:pStyle w:val="Compact"/>
              <w:spacing w:line="240" w:lineRule="auto"/>
              <w:jc w:val="center"/>
            </w:pPr>
            <w:r>
              <w:rPr>
                <w:b/>
                <w:bCs/>
                <w:sz w:val="22"/>
              </w:rPr>
              <w:t xml:space="preserve">1,33</w:t>
            </w:r>
          </w:p>
        </w:tc>
        <w:tc>
          <w:tcPr>
            <w:tcW w:w="1758" w:type="dxa"/>
          </w:tcPr>
          <w:p w:rsidR="005603EC" w:rsidRDefault="00AB61AC">
            <w:pPr>
              <w:pStyle w:val="Compact"/>
              <w:spacing w:line="240" w:lineRule="auto"/>
              <w:jc w:val="center"/>
            </w:pPr>
            <w:r>
              <w:rPr>
                <w:b/>
                <w:bCs/>
                <w:sz w:val="22"/>
              </w:rPr>
              <w:t xml:space="preserve">1,18</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1,45</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3,57</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2,81</w:t>
            </w:r>
          </w:p>
        </w:tc>
        <w:tc>
          <w:tcPr>
            <w:tcW w:w="1758" w:type="dxa"/>
          </w:tcPr>
          <w:p w:rsidR="005603EC" w:rsidRDefault="00AB61AC">
            <w:pPr>
              <w:pStyle w:val="Compact"/>
              <w:spacing w:line="240" w:lineRule="auto"/>
              <w:jc w:val="center"/>
            </w:pPr>
            <w:r>
              <w:rPr>
                <w:b/>
                <w:bCs/>
                <w:sz w:val="22"/>
              </w:rPr>
              <w:t xml:space="preserve">2,47</w:t>
            </w:r>
          </w:p>
        </w:tc>
        <w:tc>
          <w:tcPr>
            <w:tcW w:w="1758" w:type="dxa"/>
          </w:tcPr>
          <w:p w:rsidR="005603EC" w:rsidRDefault="00AB61AC">
            <w:pPr>
              <w:pStyle w:val="Compact"/>
              <w:spacing w:line="240" w:lineRule="auto"/>
              <w:jc w:val="center"/>
            </w:pPr>
            <w:r>
              <w:rPr>
                <w:b/>
                <w:bCs/>
                <w:sz w:val="22"/>
              </w:rPr>
              <w:t xml:space="preserve">2,78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CET1 va regulyativ kapital monandligi 2.3-paragrafda Markaziy bank metodikasi bo‘yicha MHXS ma’lumotlari asosida qayta hisoblangan qiymatlarda olindi (2.3.4, 2.3.5-jadvallar va “Mikrokreditbank” ATB bo‘yicha jadval), chunki banklar MHXS hisobotida oshkor qiladigan kapital koeffitsiyentlari milliy buxgalteriya hisobi ma’lumotlari asosida hisoblanadi. Yuqori likvid aktivlar MHXS hisobotlarida alohida oshkor qilinmagani sababli L1 ko‘rsatkichi ikkala variantda milliy balans asosida olindi. “Mikrokreditbank” va “Aloqabank” ATBlarining MHXS hisobotlarida xorijiy valyutadagi kreditlar ulushi oshkor qilinmagan, shu sababli ularda valyuta bloki bitta ko‘rsatkich bo‘yicha baholandi.</w:t>
      </w:r>
    </w:p>
    <w:p w:rsidR="005603EC" w:rsidRDefault="00AB61AC">
      <w:pPr>
        <w:pStyle w:val="af"/>
        <w:spacing w:after="0" w:line="360" w:lineRule="auto"/>
        <w:ind w:firstLine="709"/>
        <w:jc w:val="both"/>
      </w:pPr>
      <w:r>
        <w:rPr>
          <w:color w:val="FF0000"/>
        </w:rPr>
        <w:t xml:space="preserve">3.1.6-jadval ma’lumotlariga ko‘ra, M</w:t>
      </w:r>
      <w:r>
        <w:rPr/>
        <w:t xml:space="preserve">HXS ma’lumotlari asosida esa uchala bankning indeksi pasayadi: “O‘zsanoatqurilishbank” ATB niki 2,81 ballga (II sinf), “Aloqabank” ATB niki 2,78 ballga (II sinf), “Mikrokreditbank” ATB niki 2,47 ballga (III sinf) tushadi. ΔMBII mos ravishda −0,46; −0,47 va −0,66 ballni tashkil etadi: “O‘zsanoatqurilishbank” va “Mikrokreditbank” ATBlari bir sinf pastga tushadi, “Aloqabank” ATB esa I sinf chegarasidan II sinfning quyi qismiga, 4.1-paragrafdagi qizil zona chegarasiga (2,75) yaqin darajaga tushadi. Indeks pasayishining asosiy manbai uchala bankda ham aktivlar sifati blokidir: uning bali “O‘zsanoatqurilishbank” ATB da 3,55 dan 2,28 ga, “Mikrokreditbank” ATB da 3,42 dan 1,53 ga, “Aloqabank” ATB da 3,80 dan 2,93 ga pasaygan, bu esa ΔMBII ning mos ravishda 83, 86 va 56 foizini tashkil etadi. Ikkinchi manba – daromadlilik bloki: u “Aloqabank” ATB da 2,22 dan 1,18 ballga pasayib, ΔMBII ning 33 foizini belgilaydi, chunki MHXS bo‘yicha bank 2025-yilda 193,9 mlrd so‘m zarar ko‘rgan, “Mikrokreditbank” ATB da esa 2,09 dan 1,33 ballga tushgan (ΔMBII ning 17 foizi). Kapital bloki “O‘zsanoatqurilishbank” va “Aloqabank” ATBlarida biroz pasaygan, “Mikrokreditbank” ATB da esa maksimal darajada qolgan. Shunday qilib, tizimli ahamiyatga molik bo‘lmagan uchinchi bank misolida ham milliy hisobot asosidagi baholash barqarorlikni oshirib ko‘rsatishi, ΔMBII esa asosan aktivlar sifati va daromadlilik bloklari hisobiga shakllanishi tasdiqlandi.</w:t>
      </w:r>
    </w:p>
    <w:p w:rsidR="005603EC" w:rsidRDefault="00AB61AC">
      <w:pPr>
        <w:pStyle w:val="af"/>
        <w:spacing w:after="0" w:line="360" w:lineRule="auto"/>
        <w:ind w:firstLine="709"/>
        <w:jc w:val="both"/>
      </w:pPr>
      <w:r>
        <w:rPr>
          <w:color w:val="FF0000"/>
        </w:rPr>
        <w:t xml:space="preserve">2025-yilda aniqlangan tafovut bir yillik holat emasligini tekshirish uchun integral indeks uchala bank bo‘yicha 2021–2025-yillar uchun ham ikki variantda hisoblandi (3.1.3-rasm).</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2880000"/>
            <wp:effectExtent l="0" t="0" r="0" b="0"/>
            <wp:docPr id="9601" name="3.1.3-rasm"/>
            <wp:cNvGraphicFramePr/>
            <a:graphic>
              <a:graphicData uri="http://schemas.openxmlformats.org/drawingml/2006/chart">
                <c:chart r:id="rId51"/>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tcPr>
          <w:p>
            <w:pPr>
              <w:spacing w:before="0" w:after="0" w:line="240" w:lineRule="auto"/>
              <w:ind w:firstLine="0"/>
              <w:jc w:val="left"/>
            </w:pPr>
            <w:r>
              <w:rPr>
                <w:rFonts w:ascii="Times New Roman" w:hAnsi="Times New Roman" w:eastAsia="Times New Roman" w:cs="Times New Roman"/>
                <w:b/>
                <w:color w:val="FF0000"/>
                <w:sz w:val="22"/>
              </w:rPr>
              <w:t>Bank va hisobot turi</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2021</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2022</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2023</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2024</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2025</w:t>
            </w:r>
          </w:p>
        </w:tc>
      </w:tr>
      <w:tr>
        <w:tc>
          <w:tcPr>
            <w:tcW w:type="dxa" w:w="3685"/>
          </w:tcPr>
          <w:p>
            <w:pPr>
              <w:spacing w:before="0" w:after="0" w:line="240" w:lineRule="auto"/>
              <w:ind w:firstLine="0"/>
              <w:jc w:val="left"/>
            </w:pPr>
            <w:r>
              <w:rPr>
                <w:rFonts w:ascii="Times New Roman" w:hAnsi="Times New Roman" w:eastAsia="Times New Roman" w:cs="Times New Roman"/>
                <w:b/>
                <w:color w:val="2A78D6"/>
                <w:sz w:val="20"/>
              </w:rPr>
              <w:t xml:space="preserve">━━ </w:t>
            </w:r>
            <w:r>
              <w:rPr>
                <w:rFonts w:ascii="Times New Roman" w:hAnsi="Times New Roman" w:eastAsia="Times New Roman" w:cs="Times New Roman"/>
                <w:b w:val="0"/>
                <w:color w:val="FF0000"/>
                <w:sz w:val="22"/>
              </w:rPr>
              <w:t>“O‘zsanoatqurilishbank”: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3,13</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3,14</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3,09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3,27</w:t>
            </w:r>
          </w:p>
        </w:tc>
      </w:tr>
      <w:tr>
        <w:tc>
          <w:tcPr>
            <w:tcW w:type="dxa" w:w="3685"/>
          </w:tcPr>
          <w:p>
            <w:pPr>
              <w:spacing w:before="0" w:after="0" w:line="240" w:lineRule="auto"/>
              <w:ind w:firstLine="0"/>
              <w:jc w:val="left"/>
            </w:pPr>
            <w:r>
              <w:rPr>
                <w:rFonts w:ascii="Times New Roman" w:hAnsi="Times New Roman" w:eastAsia="Times New Roman" w:cs="Times New Roman"/>
                <w:b/>
                <w:color w:val="2A78D6"/>
                <w:sz w:val="20"/>
              </w:rPr>
              <w:t xml:space="preserve">╍╍ </w:t>
            </w:r>
            <w:r>
              <w:rPr>
                <w:rFonts w:ascii="Times New Roman" w:hAnsi="Times New Roman" w:eastAsia="Times New Roman" w:cs="Times New Roman"/>
                <w:b w:val="0"/>
                <w:color w:val="FF0000"/>
                <w:sz w:val="22"/>
              </w:rPr>
              <w:t>“O‘zsanoatqurilishbank”: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r>
      <w:tr>
        <w:tc>
          <w:tcPr>
            <w:tcW w:type="dxa" w:w="3685"/>
          </w:tcPr>
          <w:p>
            <w:pPr>
              <w:spacing w:before="0" w:after="0" w:line="240" w:lineRule="auto"/>
              <w:ind w:firstLine="0"/>
              <w:jc w:val="left"/>
            </w:pPr>
            <w:r>
              <w:rPr>
                <w:rFonts w:ascii="Times New Roman" w:hAnsi="Times New Roman" w:eastAsia="Times New Roman" w:cs="Times New Roman"/>
                <w:b/>
                <w:color w:val="EB6834"/>
                <w:sz w:val="20"/>
              </w:rPr>
              <w:t xml:space="preserve">━━ </w:t>
            </w:r>
            <w:r>
              <w:rPr>
                <w:rFonts w:ascii="Times New Roman" w:hAnsi="Times New Roman" w:eastAsia="Times New Roman" w:cs="Times New Roman"/>
                <w:b w:val="0"/>
                <w:color w:val="FF0000"/>
                <w:sz w:val="22"/>
              </w:rPr>
              <w:t>“Mikrokreditbank”: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2,65</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3,13</w:t>
            </w:r>
          </w:p>
        </w:tc>
      </w:tr>
      <w:tr>
        <w:tc>
          <w:tcPr>
            <w:tcW w:type="dxa" w:w="3685"/>
          </w:tcPr>
          <w:p>
            <w:pPr>
              <w:spacing w:before="0" w:after="0" w:line="240" w:lineRule="auto"/>
              <w:ind w:firstLine="0"/>
              <w:jc w:val="left"/>
            </w:pPr>
            <w:r>
              <w:rPr>
                <w:rFonts w:ascii="Times New Roman" w:hAnsi="Times New Roman" w:eastAsia="Times New Roman" w:cs="Times New Roman"/>
                <w:b/>
                <w:color w:val="EB6834"/>
                <w:sz w:val="20"/>
              </w:rPr>
              <w:t xml:space="preserve">╍╍ </w:t>
            </w:r>
            <w:r>
              <w:rPr>
                <w:rFonts w:ascii="Times New Roman" w:hAnsi="Times New Roman" w:eastAsia="Times New Roman" w:cs="Times New Roman"/>
                <w:b w:val="0"/>
                <w:color w:val="FF0000"/>
                <w:sz w:val="22"/>
              </w:rPr>
              <w:t>“Mikrokreditbank”: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2,18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2,31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2,25</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2,47</w:t>
            </w:r>
          </w:p>
        </w:tc>
      </w:tr>
      <w:tr>
        <w:tc>
          <w:tcPr>
            <w:tcW w:type="dxa" w:w="3685"/>
          </w:tcPr>
          <w:p>
            <w:pPr>
              <w:spacing w:before="0" w:after="0" w:line="240" w:lineRule="auto"/>
              <w:ind w:firstLine="0"/>
              <w:jc w:val="left"/>
            </w:pPr>
            <w:r>
              <w:rPr>
                <w:rFonts w:ascii="Times New Roman" w:hAnsi="Times New Roman" w:eastAsia="Times New Roman" w:cs="Times New Roman"/>
                <w:b/>
                <w:color w:val="548235"/>
                <w:sz w:val="20"/>
              </w:rPr>
              <w:t xml:space="preserve">━━ </w:t>
            </w:r>
            <w:r>
              <w:rPr>
                <w:rFonts w:ascii="Times New Roman" w:hAnsi="Times New Roman" w:eastAsia="Times New Roman" w:cs="Times New Roman"/>
                <w:b w:val="0"/>
                <w:color w:val="FF0000"/>
                <w:sz w:val="22"/>
              </w:rPr>
              <w:t>“Aloqabank”: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3,32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3,53</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3,25</w:t>
            </w:r>
          </w:p>
        </w:tc>
      </w:tr>
      <w:tr>
        <w:tc>
          <w:tcPr>
            <w:tcW w:type="dxa" w:w="3685"/>
          </w:tcPr>
          <w:p>
            <w:pPr>
              <w:spacing w:before="0" w:after="0" w:line="240" w:lineRule="auto"/>
              <w:ind w:firstLine="0"/>
              <w:jc w:val="left"/>
            </w:pPr>
            <w:r>
              <w:rPr>
                <w:rFonts w:ascii="Times New Roman" w:hAnsi="Times New Roman" w:eastAsia="Times New Roman" w:cs="Times New Roman"/>
                <w:b/>
                <w:color w:val="548235"/>
                <w:sz w:val="20"/>
              </w:rPr>
              <w:t xml:space="preserve">╍╍ </w:t>
            </w:r>
            <w:r>
              <w:rPr>
                <w:rFonts w:ascii="Times New Roman" w:hAnsi="Times New Roman" w:eastAsia="Times New Roman" w:cs="Times New Roman"/>
                <w:b w:val="0"/>
                <w:color w:val="FF0000"/>
                <w:sz w:val="22"/>
              </w:rPr>
              <w:t>“Aloqabank”: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3,01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3,10</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2,78</w:t>
            </w:r>
          </w:p>
        </w:tc>
      </w:tr>
    </w:tbl>
    <w:p w:rsidR="005603EC" w:rsidRDefault="00AB61AC">
      <w:pPr>
        <w:pStyle w:val="af"/>
        <w:spacing w:after="0" w:line="360" w:lineRule="auto"/>
        <w:ind w:firstLine="709"/>
        <w:jc w:val="both"/>
      </w:pPr>
      <w:r>
        <w:rPr>
          <w:i/>
          <w:iCs/>
          <w:color w:val="FF0000"/>
        </w:rPr>
        <w:t xml:space="preserve">Izoh: uzluksiz chiziq – milliy hisobot, uzuq chiziq – MHXS; qizil chiziqlar – I va II sinflar (3,25 ball) hamda II va III sinflar (2,50 ball) chegaralari.</w:t>
      </w:r>
    </w:p>
    <w:p w:rsidR="005603EC" w:rsidRDefault="00AB61AC">
      <w:pPr>
        <w:pStyle w:val="af"/>
        <w:spacing w:before="120" w:after="240" w:line="240" w:lineRule="auto"/>
        <w:jc w:val="center"/>
      </w:pPr>
      <w:r>
        <w:rPr>
          <w:b/>
          <w:color w:val="FF0000"/>
        </w:rPr>
        <w:t xml:space="preserve">3.1.3-rasm. Uch bankda moliyaviy barqarorlikning integral indeksi: milliy hisobot va MHXS asosida, 2021–2025-yillar, ball</w:t>
      </w:r>
      <w:r>
        <w:rPr>
          <w:rStyle w:val="aff8"/>
          <w:color w:val="FF0000"/>
        </w:rPr>
        <w:footnoteReference w:id="412"/>
      </w:r>
    </w:p>
    <w:p w:rsidR="005603EC" w:rsidRDefault="00AB61AC">
      <w:pPr>
        <w:pStyle w:val="af"/>
        <w:spacing w:after="0" w:line="360" w:lineRule="auto"/>
        <w:ind w:firstLine="709"/>
        <w:jc w:val="both"/>
      </w:pPr>
      <w:r>
        <w:rPr>
          <w:color w:val="FF0000"/>
        </w:rPr>
        <w:t xml:space="preserve">Rasmdan ko‘rinib turibdiki, MHXS ma’lumotlari asosidagi indeks uchala bankda ham tahlil davrining barcha yillarida milliy hisobot asosidagi indeksdan past bo‘lgan, farq 0,23–0,66 ballni tashkil etgan. “Mikrokreditbank” ATB milliy hisobot bo‘yicha butun davr mobaynida II sinfda, MHXS bo‘yicha esa III sinfda joylashgan. “Aloqabank” ATB milliy hisobot bo‘yicha 2021–2024-yillarda I sinfda bo‘lsa, MHXS bo‘yicha barcha yillarda II sinfda qolgan. “O‘zsanoatqurilishbank” ATB ham MHXS bo‘yicha butun davr mobaynida II sinfda bo‘lgan, milliy hisobot bo‘yicha esa 2021 va 2025-yillarda I sinfga ko‘tarilgan. Demak, ikki variant o‘rtasidagi tafovut tasodifiy emas, balki muntazam xususiyatga ega bo‘lib, u 2.3-paragrafda aniqlangan yashirin kredit riskining integral indeksdagi aksidir.</w:t>
      </w:r>
    </w:p>
    <w:p w:rsidR="005603EC" w:rsidRDefault="00AB61AC">
      <w:pPr>
        <w:pStyle w:val="af"/>
        <w:spacing w:after="0" w:line="360" w:lineRule="auto"/>
        <w:ind w:firstLine="709"/>
        <w:jc w:val="both"/>
      </w:pPr>
      <w:r>
        <w:t xml:space="preserve">Metodika natijalarining ishonchliligini tekshirish uchun indeks uch xil vaznlar tizimi bo‘yicha qayta hisoblandi: taklif etilayotgan vaznlar, teng vaznlar va O‘zbekistonda CAMEL tizimi uchun keltirilgan nisbat </w:t>
      </w:r>
      <w:r>
        <w:rPr>
          <w:color w:val="FF0000"/>
        </w:rPr>
        <w:t xml:space="preserve">(3.1.4-rasm)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color w:val="FF0000"/>
        </w:rPr>
        <w:t xml:space="preserve">3.1.4</w:t>
      </w:r>
      <w:r>
        <w:rPr>
          <w:b/>
        </w:rPr>
        <w:t xml:space="preserve">-rasm</w:t>
      </w:r>
      <w:r>
        <w:rPr>
          <w:b/>
        </w:rPr>
        <w:t xml:space="preserve">. Moliyaviy barqarorlikning integral indeksi qiymatlarining vaznlar tizimiga sezgirligi, 2025-yil</w:t>
      </w:r>
      <w:r>
        <w:rPr>
          <w:rStyle w:val="aff8"/>
        </w:rPr>
        <w:footnoteReference w:id="413"/>
      </w:r>
    </w:p>
    <w:p w:rsidR="005603EC" w:rsidRDefault="00AB61AC">
      <w:pPr>
        <w:pStyle w:val="af"/>
        <w:spacing w:after="0" w:line="360" w:lineRule="auto"/>
        <w:ind w:firstLine="709"/>
        <w:jc w:val="both"/>
      </w:pPr>
      <w:r>
        <w:rPr/>
        <w:t xml:space="preserve">Rasm ma’lumotlari muhim xulosaga olib keladi. MHXS asosidagi indeks bo‘yicha banklarning tartibi uchala vaznlar tizimida ham o‘zgarmaydi: “O‘zsanoatqurilishbank” ATB birinchi, “Aloqabank” ATB ikkinchi, “Mikrokreditbank” ATB esa uchinchi o‘rinda bo‘lib, u taklif etilgan va CAMEL vaznlarida III sinfda, teng vaznlarda II sinfning quyi chegarasida (2,58) bo‘ladi. “Aloqabank” ATB ning indeksi CAMEL vaznlarida eng ko‘p pasayadi (2,56), chunki bu tizimda daromadlilik blokining vazni yuqori (0,25), bank esa MHXS bo‘yicha zarar ko‘rgan. Milliy hisobot asosidagi indeksda esa banklar tartibi vaznlarga bog‘liq: taklif etilgan va CAMEL vaznlarida “O‘zsanoatqurilishbank” ATB birinchi o‘rinda bo‘lsa, teng vaznlarda u “Aloqabank” (3,11) va “Mikrokreditbank” (3,07) ATBlaridan keyin oxirgi o‘ringa (3,06) tushadi. </w:t>
      </w:r>
      <w:r>
        <w:t xml:space="preserve">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 xml:space="preserve">Taklif etilayotgan metodikaning mavjud yondashuvlardan farqini aniqlash uchun u xalqaro va xorijiy amaliyotda keng qo‘llanadigan metodikalar bilan solishtirildi (</w:t>
      </w:r>
      <w:r>
        <w:rPr/>
        <w:t xml:space="preserve">3.1.7-jadval</w:t>
      </w:r>
      <w:r>
        <w:t xml:space="preserve">).</w:t>
      </w:r>
    </w:p>
    <w:p w:rsidR="005603EC" w:rsidRDefault="00AB61AC">
      <w:pPr>
        <w:pStyle w:val="af"/>
        <w:keepNext/>
        <w:spacing w:before="120" w:after="0" w:line="360" w:lineRule="auto"/>
        <w:jc w:val="right"/>
      </w:pPr>
      <w:r>
        <w:rPr>
          <w:i/>
        </w:rPr>
        <w:lastRenderedPageBreak/>
      </w:r>
      <w:r>
        <w:rPr>
          <w:i/>
        </w:rPr>
        <w:t xml:space="preserve">3.1.7-jadval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w:t>
      </w:r>
      <w:r>
        <w:rPr/>
        <w:t xml:space="preserve">chegaraviy qiymatlarning bir qismi teng qadam tamoyili bo‘yicha belgilangan, vaznlar esa CAMEL nisbati asosida moslashtirilgan</w:t>
      </w:r>
      <w:r>
        <w:t xml:space="preserve">,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r>
      <w:r>
        <w:rPr/>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w:t>
      </w:r>
      <w:r>
        <w:rPr/>
        <w:t xml:space="preserve">Metodikani uch bankka qo‘llash MHXS ma’lumotlari asosida uchala bankning indeksi milliy hisobotdagiga nisbatan 0,46–0,66 ballga pasayishini, ulardan ikkitasi bir sinf pastga tushishini, ΔMBII ning 56–86 foizi</w:t>
      </w:r>
      <w:r>
        <w:t xml:space="preserve"> esa aktivlar sifati blokiga to‘g‘ri kelishini ko‘rsatdi. Sezgirlik tahlili esa MHXS asosidagi indeks vaznlar tanloviga kamroq bog‘liq ekanini tasdiqladi. </w:t>
      </w:r>
      <w:r>
        <w:rPr/>
        <w:t xml:space="preserve">Metodikaning empirik tekshiruv talab qiladigan elementlari</w:t>
      </w:r>
      <w:r>
        <w:t xml:space="preserve">,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w:t>
      </w:r>
      <w:r>
        <w:rPr/>
        <w:t xml:space="preserve">ikkinchi bob tahlili asosida CAMEL nisbatini moslashtirish yo‘li bilan belgilandi</w:t>
      </w:r>
      <w:r>
        <w:t xml:space="preserve">: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5"/>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6"/>
      </w:r>
      <w:r>
        <w:t>. Moliyaviy stress indekslarini qurishda ham M. Illing va Y. Liu turli vaznlash usullarini solishtirib, eng yaxshi usulni indeksning haqiqiy stress davrlarini aniqlash qobiliyati bo‘yicha tanlagan</w:t>
      </w:r>
      <w:r>
        <w:rPr>
          <w:rStyle w:val="aff8"/>
        </w:rPr>
        <w:footnoteReference w:id="417"/>
      </w:r>
      <w:r>
        <w:t>. A.M. Karminskiy esa reyting modellarida vaznlar ekspert yo‘li bilan belgilansa ham, ular albatta statistik tekshiruvdan o‘tkazilishi lozimligini ta’kidlaydi</w:t>
      </w:r>
      <w:r>
        <w:rPr>
          <w:rStyle w:val="aff8"/>
        </w:rPr>
        <w:footnoteReference w:id="418"/>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 xml:space="preserve">K. Shannon entropiyasi asosida har bir ko‘rsatkich</w:t>
            </w:r>
            <w:r>
              <w:rPr>
                <w:color w:val="FF0000"/>
                <w:sz w:val="22"/>
              </w:rPr>
              <w:t xml:space="preserve"> ballarining 25 ta bank-yil kuzatuvi</w:t>
            </w:r>
            <w:r>
              <w:rPr>
                <w:sz w:val="22"/>
              </w:rPr>
              <w:t xml:space="preserve">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r>
              <w:rPr>
                <w:color w:val="FF0000"/>
                <w:sz w:val="22"/>
              </w:rPr>
              <w:t xml:space="preserve"> (koeffitsiyentlar modulining ulushi; kutilganiga teskari ishorali koeffitsiyentga ega blok vazni – 0)</w:t>
            </w:r>
          </w:p>
        </w:tc>
        <w:tc>
          <w:tcPr>
            <w:tcW w:w="2381" w:type="dxa"/>
          </w:tcPr>
          <w:p w:rsidR="005603EC" w:rsidRDefault="00AB61AC">
            <w:pPr>
              <w:pStyle w:val="Compact"/>
              <w:spacing w:line="240" w:lineRule="auto"/>
            </w:pPr>
            <w:r>
              <w:rPr>
                <w:sz w:val="22"/>
              </w:rPr>
              <w:t xml:space="preserve">25 bank, 2021–2024-yillar choraklik ma’lumotlari</w:t>
            </w:r>
            <w:r>
              <w:rPr>
                <w:color w:val="FF0000"/>
                <w:sz w:val="22"/>
              </w:rPr>
              <w:t xml:space="preserve"> (308 kuzatuv), 8 ko‘rsatkichli panel indeksining 3 bloki (aktivlar sifati, likvidlik, daromadlilik)</w:t>
            </w:r>
            <w:r>
              <w:rPr>
                <w:sz w:val="22"/>
              </w:rPr>
              <w:t xml:space="preserve">,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20"/>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r>
      <w:r>
        <w:t>yil hisobotidagi qayta hisoblangan qiyosiy ma’lumotlardan olindi, bu hisob siyosati o‘zgarishi va xatolarni tuzatish natijasidagi qayta hisoblashlarni hisobga olish imkonini beradi</w:t>
      </w:r>
      <w:r>
        <w:rPr>
          <w:rStyle w:val="aff8"/>
        </w:rPr>
        <w:footnoteReference w:id="421"/>
      </w:r>
      <w:r>
        <w:rPr>
          <w:rStyle w:val="aff8"/>
        </w:rPr>
        <w:footnoteReference w:id="422"/>
      </w:r>
      <w:r>
        <w:rPr>
          <w:rStyle w:val="aff8"/>
        </w:rPr>
        <w:footnoteReference w:id="423"/>
      </w:r>
      <w:r>
        <w:rPr>
          <w:rStyle w:val="aff8"/>
        </w:rPr>
        <w:footnoteReference w:id="424"/>
      </w:r>
      <w:r>
        <w:rPr>
          <w:rStyle w:val="aff8"/>
        </w:rPr>
        <w:footnoteReference w:id="425"/>
      </w:r>
      <w:r>
        <w:t>. Yuqori likvid aktivlar ulushi esa “SNS” reyting agentligi bazasidan olindi</w:t>
      </w:r>
      <w:r>
        <w:rPr>
          <w:rStyle w:val="aff8"/>
        </w:rPr>
        <w:footnoteReference w:id="426"/>
      </w:r>
      <w:r>
        <w:t>. Logit usuli uchun 3.3-paragrafda shakllantirilgan 25 ta bank paneli qo‘llandi</w:t>
      </w:r>
      <w:r>
        <w:rPr>
          <w:color w:val="FF0000"/>
        </w:rPr>
        <w:t xml:space="preserve"> (panelning tarkibi 3.3-paragrafda, muammo hodisasining ta’rifi esa 4.1-paragrafda batafsil yoritiladi)</w:t>
      </w:r>
      <w:r>
        <w:rPr>
          <w:rStyle w:val="aff8"/>
        </w:rPr>
        <w:footnoteReference w:id="427"/>
      </w:r>
      <w:r>
        <w:t xml:space="preserve">, unda kapital bloki barcha banklarda bir xil ball olgani va valyuta riski bo‘yicha ma’lumotlar mavjud bo‘lmagani sababli bu ikki blok uchun </w:t>
      </w:r>
      <w:r>
        <w:rPr/>
        <w:t xml:space="preserve">tayanch vaznlar</w:t>
      </w:r>
      <w:r>
        <w:t xml:space="preserve">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 xml:space="preserve">Integral indeks bloklarining </w:t>
      </w:r>
      <w:r>
        <w:rPr>
          <w:b/>
          <w:bCs/>
        </w:rPr>
        <w:t xml:space="preserve">tayanch va empirik vaznlari</w:t>
      </w:r>
      <w:r>
        <w:rPr>
          <w:rStyle w:val="aff8"/>
        </w:rPr>
        <w:footnoteReference w:id="42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 xml:space="preserve">Tayanch vaznlar</w:t>
            </w:r>
            <w:r>
              <w:rPr>
                <w:b/>
                <w:sz w:val="22"/>
              </w:rPr>
              <w:t xml:space="preserve">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0,16</w:t>
            </w:r>
          </w:p>
        </w:tc>
      </w:tr>
    </w:tbl>
    <w:p w:rsidR="005603EC" w:rsidRDefault="00AB61AC">
      <w:pPr>
        <w:pStyle w:val="af"/>
        <w:spacing w:line="240" w:lineRule="auto"/>
        <w:jc w:val="both"/>
      </w:pPr>
      <w:r>
        <w:rPr>
          <w:sz w:val="24"/>
        </w:rPr>
        <w:t xml:space="preserve">Izoh: * – logit usulida baholanmagan, </w:t>
      </w:r>
      <w:r>
        <w:rPr>
          <w:sz w:val="24"/>
        </w:rPr>
        <w:t xml:space="preserve">tayanch vazn</w:t>
      </w:r>
      <w:r>
        <w:rPr>
          <w:sz w:val="24"/>
        </w:rPr>
        <w:t xml:space="preserve">i saqlangan.</w:t>
      </w:r>
      <w:r>
        <w:rPr>
          <w:color w:val="FF0000"/>
          <w:sz w:val="24"/>
        </w:rPr>
        <w:t xml:space="preserve"> Logit usulida likvidlik blokining koeffitsiyenti kutilganiga teskari ishorali va statistik ahamiyatsiz (p = 0,79) bo‘lgani sababli uning vazni nolga teng olindi.</w:t>
      </w:r>
      <w:r>
        <w:rPr>
          <w:sz w:val="24"/>
        </w:rPr>
        <w:t xml:space="preserve">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 xml:space="preserve">barcha empirik usullar aktivlar sifati blokiga </w:t>
      </w:r>
      <w:r>
        <w:rPr/>
        <w:t xml:space="preserve">tayanch vazn</w:t>
      </w:r>
      <w:r>
        <w:rPr/>
        <w:t xml:space="preserve">iga yaqin yoki undan yuqori vazn bergan</w:t>
      </w:r>
      <w:r>
        <w:t xml:space="preserve">: entropiya, variatsiya koeffitsiyenti va bosh komponentlar usullarida u 0,27–0,32 ni tashkil etib, </w:t>
      </w:r>
      <w:r>
        <w:rPr/>
        <w:t xml:space="preserve">tayanch vazn</w:t>
      </w:r>
      <w:r>
        <w:t xml:space="preserve">iga (0,30) deyarli teng, logit usulida esa 0,57 gacha oshgan. </w:t>
      </w:r>
      <w:r>
        <w:rPr/>
        <w:t xml:space="preserve">Demak, aktivlar sifati blokining </w:t>
      </w:r>
      <w:r>
        <w:rPr/>
        <w:t xml:space="preserve">tayanch vazn</w:t>
      </w:r>
      <w:r>
        <w:rPr/>
        <w:t xml:space="preserve">i (0,30) empirik baholar oralig‘ida (0,27–0,57) joylashadi va uchta tarqoqlik usulining o‘rtachasiga </w:t>
      </w:r>
      <w:r>
        <w:rPr>
          <w:color w:val="FF0000"/>
        </w:rPr>
        <w:t xml:space="preserve">(0,30)</w:t>
      </w:r>
      <w:r>
        <w:rPr/>
        <w:t xml:space="preserve">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w:t>
      </w:r>
      <w:r>
        <w:rPr/>
        <w:t xml:space="preserve">tayanch vazn</w:t>
      </w:r>
      <w:r>
        <w:t xml:space="preserve">idan ancha past (0,02–0,14), chunki tahlil qilingan banklarda kapital ko‘rsatkichlari me’yordan yuqori va bir-biriga yaqin bo‘lib, ular banklarni farqlamaydi. </w:t>
      </w:r>
      <w:r>
        <w:rPr>
          <w:color w:val="FF0000"/>
        </w:rPr>
        <w:t xml:space="preserve">Likvidlik va daromadlilik bloklarida ham sezilarli farq kuzatiladi:</w:t>
      </w:r>
      <w:r>
        <w:t xml:space="preserve"> empirik usullar likvidlik blokiga </w:t>
      </w:r>
      <w:r>
        <w:rPr/>
        <w:t xml:space="preserve">tayanch vazn</w:t>
      </w:r>
      <w:r>
        <w:t xml:space="preserve">idan ancha past (0,00–0,16), daromadlilik blokiga esa ancha yuqori (0,08–0,46) vazn beradi. Ko‘rsatkichlar darajasida entropiya usuli eng yuqori vaznlarni ROE (0,207), ROA (0,193), 3-bosqich kreditlari ulushi (0,129) va qoplanmagan muammoli kreditlarning kapitalga nisbatiga (0,125) bergan.</w:t>
      </w:r>
    </w:p>
    <w:p w:rsidR="005603EC" w:rsidRDefault="00AB61AC">
      <w:pPr>
        <w:pStyle w:val="af"/>
        <w:spacing w:after="0" w:line="360" w:lineRule="auto"/>
        <w:ind w:firstLine="709"/>
        <w:jc w:val="both"/>
      </w:pPr>
      <w:r>
        <w:rPr>
          <w:color w:val="FF0000"/>
        </w:rPr>
        <w:t xml:space="preserve">Jadval ma’lumotlaridan</w:t>
      </w:r>
      <w:r>
        <w:t xml:space="preserve"> ko‘rinib turibdiki, usullar o‘rtasidagi farq asosan </w:t>
      </w:r>
      <w:r>
        <w:rPr>
          <w:color w:val="FF0000"/>
        </w:rPr>
        <w:t xml:space="preserve">kapital, </w:t>
      </w:r>
      <w:r>
        <w:t xml:space="preserve">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9"/>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 xml:space="preserve">Tayanch vaznlar</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sz w:val="22"/>
              </w:rPr>
              <w:t>2,82</w:t>
            </w:r>
          </w:p>
        </w:tc>
        <w:tc>
          <w:tcPr>
            <w:tcW w:w="1176" w:type="dxa"/>
          </w:tcPr>
          <w:p w:rsidR="005603EC" w:rsidRDefault="00AB61AC">
            <w:pPr>
              <w:pStyle w:val="Compact"/>
              <w:spacing w:line="240" w:lineRule="auto"/>
              <w:jc w:val="center"/>
            </w:pPr>
            <w:r>
              <w:rPr>
                <w:sz w:val="22"/>
              </w:rPr>
              <w:t>2,85</w:t>
            </w:r>
          </w:p>
        </w:tc>
        <w:tc>
          <w:tcPr>
            <w:tcW w:w="1126" w:type="dxa"/>
          </w:tcPr>
          <w:p w:rsidR="005603EC" w:rsidRDefault="00AB61AC">
            <w:pPr>
              <w:pStyle w:val="Compact"/>
              <w:spacing w:line="240" w:lineRule="auto"/>
              <w:jc w:val="center"/>
            </w:pPr>
            <w:r>
              <w:rPr>
                <w:sz w:val="22"/>
              </w:rPr>
              <w:t>2,69</w:t>
            </w:r>
          </w:p>
        </w:tc>
        <w:tc>
          <w:tcPr>
            <w:tcW w:w="1176" w:type="dxa"/>
          </w:tcPr>
          <w:p w:rsidR="005603EC" w:rsidRDefault="00AB61AC">
            <w:pPr>
              <w:pStyle w:val="Compact"/>
              <w:spacing w:line="240" w:lineRule="auto"/>
              <w:jc w:val="center"/>
            </w:pPr>
            <w:r>
              <w:rPr>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sz w:val="22"/>
              </w:rPr>
              <w:t>2,10</w:t>
            </w:r>
          </w:p>
        </w:tc>
        <w:tc>
          <w:tcPr>
            <w:tcW w:w="1176" w:type="dxa"/>
          </w:tcPr>
          <w:p w:rsidR="005603EC" w:rsidRDefault="00AB61AC">
            <w:pPr>
              <w:pStyle w:val="Compact"/>
              <w:spacing w:line="240" w:lineRule="auto"/>
              <w:jc w:val="center"/>
            </w:pPr>
            <w:r>
              <w:rPr>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3,26</w:t>
            </w:r>
          </w:p>
        </w:tc>
        <w:tc>
          <w:tcPr>
            <w:tcW w:w="1176" w:type="dxa"/>
          </w:tcPr>
          <w:p w:rsidR="005603EC" w:rsidRDefault="00AB61AC">
            <w:pPr>
              <w:pStyle w:val="Compact"/>
              <w:spacing w:line="240" w:lineRule="auto"/>
              <w:jc w:val="center"/>
            </w:pPr>
            <w:r>
              <w:rPr>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sz w:val="22"/>
              </w:rPr>
              <w:t>3,73</w:t>
            </w:r>
          </w:p>
        </w:tc>
        <w:tc>
          <w:tcPr>
            <w:tcW w:w="1176" w:type="dxa"/>
          </w:tcPr>
          <w:p w:rsidR="005603EC" w:rsidRDefault="00AB61AC">
            <w:pPr>
              <w:pStyle w:val="Compact"/>
              <w:spacing w:line="240" w:lineRule="auto"/>
              <w:jc w:val="center"/>
            </w:pPr>
            <w:r>
              <w:rPr>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sz w:val="22"/>
              </w:rPr>
              <w:t>3,35</w:t>
            </w:r>
          </w:p>
        </w:tc>
        <w:tc>
          <w:tcPr>
            <w:tcW w:w="1176" w:type="dxa"/>
          </w:tcPr>
          <w:p w:rsidR="005603EC" w:rsidRDefault="00AB61AC">
            <w:pPr>
              <w:pStyle w:val="Compact"/>
              <w:spacing w:line="240" w:lineRule="auto"/>
              <w:jc w:val="center"/>
            </w:pPr>
            <w:r>
              <w:rPr>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sz w:val="22"/>
              </w:rPr>
              <w:t>3,33</w:t>
            </w:r>
          </w:p>
        </w:tc>
      </w:tr>
      <w:tr w:rsidR="005603EC" w:rsidTr="005603EC">
        <w:trPr>
          <w:cantSplit/>
        </w:trPr>
        <w:tc>
          <w:tcPr>
            <w:tcW w:w="2560" w:type="dxa"/>
          </w:tcPr>
          <w:p w:rsidR="005603EC" w:rsidRDefault="00AB61AC">
            <w:pPr>
              <w:pStyle w:val="Compact"/>
              <w:spacing w:line="240" w:lineRule="auto"/>
            </w:pPr>
            <w:r>
              <w:rPr>
                <w:sz w:val="22"/>
              </w:rPr>
              <w:t xml:space="preserve">Sinfi </w:t>
            </w:r>
            <w:r>
              <w:rPr>
                <w:sz w:val="22"/>
              </w:rPr>
              <w:t xml:space="preserve">tayanch vaznlar</w:t>
            </w:r>
            <w:r>
              <w:rPr>
                <w:sz w:val="22"/>
              </w:rPr>
              <w:t xml:space="preserve">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sz w:val="22"/>
              </w:rPr>
              <w:t>17</w:t>
            </w:r>
          </w:p>
        </w:tc>
        <w:tc>
          <w:tcPr>
            <w:tcW w:w="1176" w:type="dxa"/>
          </w:tcPr>
          <w:p w:rsidR="005603EC" w:rsidRDefault="00AB61AC">
            <w:pPr>
              <w:pStyle w:val="Compact"/>
              <w:spacing w:line="240" w:lineRule="auto"/>
              <w:jc w:val="center"/>
            </w:pPr>
            <w:r>
              <w:rPr>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sz w:val="22"/>
              </w:rPr>
              <w:t>18</w:t>
            </w:r>
          </w:p>
        </w:tc>
      </w:tr>
      <w:tr w:rsidR="005603EC" w:rsidTr="005603EC">
        <w:trPr>
          <w:cantSplit/>
        </w:trPr>
        <w:tc>
          <w:tcPr>
            <w:tcW w:w="2560" w:type="dxa"/>
          </w:tcPr>
          <w:p w:rsidR="005603EC" w:rsidRDefault="00AB61AC">
            <w:pPr>
              <w:pStyle w:val="Compact"/>
              <w:spacing w:line="240" w:lineRule="auto"/>
            </w:pPr>
            <w:r>
              <w:rPr>
                <w:sz w:val="22"/>
              </w:rPr>
              <w:t xml:space="preserve">Tayanch vaznlar</w:t>
            </w:r>
            <w:r>
              <w:rPr>
                <w:sz w:val="22"/>
              </w:rPr>
              <w:t xml:space="preserve">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sz w:val="22"/>
              </w:rPr>
              <w:t>0,96</w:t>
            </w:r>
          </w:p>
        </w:tc>
        <w:tc>
          <w:tcPr>
            <w:tcW w:w="1176" w:type="dxa"/>
          </w:tcPr>
          <w:p w:rsidR="005603EC" w:rsidRDefault="00AB61AC">
            <w:pPr>
              <w:pStyle w:val="Compact"/>
              <w:spacing w:line="240" w:lineRule="auto"/>
              <w:jc w:val="center"/>
            </w:pPr>
            <w:r>
              <w:rPr>
                <w:sz w:val="22"/>
              </w:rPr>
              <w:t>0,97</w:t>
            </w:r>
          </w:p>
        </w:tc>
        <w:tc>
          <w:tcPr>
            <w:tcW w:w="1176" w:type="dxa"/>
          </w:tcPr>
          <w:p w:rsidR="005603EC" w:rsidRDefault="00AB61AC">
            <w:pPr>
              <w:pStyle w:val="Compact"/>
              <w:spacing w:line="240" w:lineRule="auto"/>
              <w:jc w:val="center"/>
            </w:pPr>
            <w:r>
              <w:rPr>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sz w:val="22"/>
              </w:rPr>
              <w:t>0,878</w:t>
            </w:r>
          </w:p>
        </w:tc>
        <w:tc>
          <w:tcPr>
            <w:tcW w:w="1176" w:type="dxa"/>
          </w:tcPr>
          <w:p w:rsidR="005603EC" w:rsidRDefault="00AB61AC">
            <w:pPr>
              <w:pStyle w:val="Compact"/>
              <w:spacing w:line="240" w:lineRule="auto"/>
              <w:jc w:val="center"/>
            </w:pPr>
            <w:r>
              <w:rPr>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r>
      <w:r>
        <w:t xml:space="preserve">ya’ni qoniqarli barqarorlik darajasida joylashadi. </w:t>
      </w:r>
      <w:r>
        <w:rPr/>
        <w:t xml:space="preserve">Tayanch vaznlar</w:t>
      </w:r>
      <w:r>
        <w:t xml:space="preserve"> asosidagi va empirik vaznlar asosidagi indekslar o‘rtasidagi tartib bo‘yicha </w:t>
      </w:r>
      <w:r>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w:t>
      </w:r>
      <w:r>
        <w:rPr/>
        <w:t xml:space="preserve">tayanch vaznlar</w:t>
      </w:r>
      <w:r>
        <w:t xml:space="preserve">dan biroz ustun (AUC 0,864–0,907), biroq farq katta emas, </w:t>
      </w:r>
      <w:r>
        <w:rPr/>
        <w:t xml:space="preserve">tayanch vaznlar</w:t>
      </w:r>
      <w:r>
        <w:t xml:space="preserve">ning bashorat kuchi esa bosh komponentlar usuli bilan bir xil.</w:t>
      </w:r>
      <w:r>
        <w:rPr/>
        <w:t xml:space="preserve"> Faqat empirik usullar asosidagi o‘rtacha vaznlar bilan indeksning AUC qiymati 0,871 ni tashkil etib, </w:t>
      </w:r>
      <w:r>
        <w:rPr/>
        <w:t xml:space="preserve">tayanch vaznlar</w:t>
      </w:r>
      <w:r>
        <w:rPr/>
        <w:t xml:space="preserve">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1"/>
      </w:r>
      <w:r>
        <w:t xml:space="preserve">: bloklar vaznlari Dirixle taqsimotidan 4000 marta tasodifiy tanlanib, har safar beshta bankning 2021–2025-yillar uchun indeksi va sinfi qayta hisoblandi. Tahlil ikki variantda amalga oshirildi: vaznlar </w:t>
      </w:r>
      <w:r>
        <w:rPr/>
        <w:t xml:space="preserve">tayanch vaznlar</w:t>
      </w:r>
      <w:r>
        <w:t xml:space="preserve"> atrofida tanlangan holatda va vaznlar to‘liq tasodifiy, ya’ni hech qanday dastlabki farazsiz tanlangan holatda </w:t>
      </w:r>
      <w:r>
        <w:rPr>
          <w:color w:val="FF0000"/>
        </w:rPr>
        <w:t xml:space="preserve">(3.2.1-rasm)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color w:val="FF0000"/>
        </w:rPr>
        <w:t xml:space="preserve">3.2.1-rasm</w:t>
      </w:r>
      <w:r>
        <w:rPr>
          <w:b/>
        </w:rPr>
        <w:t xml:space="preserve">. Monte-Karlo tahlilida banklar barqarorlik sinfining saqlanish ulushi, foizda</w:t>
      </w:r>
      <w:r>
        <w:rPr>
          <w:rStyle w:val="aff8"/>
        </w:rPr>
        <w:footnoteReference w:id="432"/>
      </w:r>
    </w:p>
    <w:p w:rsidR="005603EC" w:rsidRDefault="00AB61AC">
      <w:pPr>
        <w:pStyle w:val="af"/>
        <w:spacing w:after="0" w:line="360" w:lineRule="auto"/>
        <w:ind w:firstLine="709"/>
        <w:jc w:val="both"/>
      </w:pPr>
      <w:r>
        <w:t xml:space="preserve">Rasmdan ko‘rinib turibdiki, vaznlar </w:t>
      </w:r>
      <w:r>
        <w:rPr/>
        <w:t xml:space="preserve">tayanch vaznlar</w:t>
      </w:r>
      <w:r>
        <w:t xml:space="preserve"> atrofida o‘zgarganda banklarning barqarorlik sinfi o‘rtacha 78,9 foiz holatda saqlanadi, “O‘zsanoatqurilishbank” ATB da esa bu ko‘rsatkich </w:t>
      </w:r>
      <w:r>
        <w:rPr/>
        <w:t>91,7 foizga</w:t>
      </w:r>
      <w:r>
        <w:t xml:space="preserve"> yetadi. Banklar tartibining </w:t>
      </w:r>
      <w:r>
        <w:rPr/>
        <w:t xml:space="preserve">tayanch vaznlar</w:t>
      </w:r>
      <w:r>
        <w:t xml:space="preserve">dagi tartib bilan mosligi bu holatda juda yuqori: tartib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r>
      <w:r>
        <w:t xml:space="preserve">asoslangan vaznlar doirasida, ya’ni aktivlar sifati bloki yetakchi bo‘lgan holatda banklarning nisbiy holati barqaror ekanini ko‘rsatadi. </w:t>
      </w:r>
      <w:r>
        <w:rPr>
          <w:color w:val="FF0000"/>
        </w:rPr>
        <w:t xml:space="preserve">Yuqoridagi tahlil natijalari uchta amaliy xulos</w:t>
      </w:r>
      <w:r>
        <w:t xml:space="preserve">aga olib keladi. Birinchidan, nazorat organi qaysi banklarga kuchaytirilgan e’tibor qaratish kerakligini aniqlashda </w:t>
      </w:r>
      <w:r>
        <w:rPr/>
        <w:t xml:space="preserve">tayanch vaznlar</w:t>
      </w:r>
      <w:r>
        <w:t xml:space="preserve">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rPr>
          <w:color w:val="FF0000"/>
        </w:rPr>
        <w:t xml:space="preserve">Vaznlardan tashqari, i</w:t>
      </w:r>
      <w:r>
        <w:t xml:space="preserve">ntegral indeksning ikkinchi metodik elementi – barqarorlik sinflari chegaralari, ya’ni 3,25; 2,5 va 1,75 ball</w:t>
      </w:r>
      <w:r>
        <w:rPr>
          <w:color w:val="FF0000"/>
        </w:rPr>
        <w:t xml:space="preserve"> hisoblanadi</w:t>
      </w:r>
      <w:r>
        <w:t xml:space="preserve">.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r>
    </w:tbl>
    <w:p w:rsidR="005603EC" w:rsidRDefault="00AB61AC">
      <w:pPr>
        <w:pStyle w:val="af"/>
        <w:spacing w:after="0" w:line="360" w:lineRule="auto"/>
        <w:ind w:firstLine="709"/>
        <w:jc w:val="both"/>
      </w:pPr>
      <w:r>
        <w:t xml:space="preserve">Jadvaldan ko‘rinib turibdiki, </w:t>
      </w:r>
      <w:r>
        <w:rPr/>
        <w:t>sinflar chegaralari tahlil davri ma’lumotlarida aniq farqlanadi</w:t>
      </w:r>
      <w:r>
        <w:t>: I sinfdagi banklarda keyingi bir yil ichida muammo yuz berish ehtimoli 2,0 foizni, II sinfda 13,3 foizni, III sinfda esa 90,0 foizni tashkil etgan.</w:t>
      </w:r>
      <w:r>
        <w:rPr/>
        <w:t xml:space="preserve"> Bu ulushlarning 95 foizlik Wilson ishonch oraliqlari</w:t>
      </w:r>
      <w:r>
        <w:rPr>
          <w:rStyle w:val="aff8"/>
        </w:rPr>
        <w:footnoteReference w:id="434"/>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w:t>
      </w:r>
      <w:r>
        <w:rPr>
          <w:color w:val="FF0000"/>
        </w:rPr>
        <w:t xml:space="preserve">Bundan tashqari</w:t>
      </w:r>
      <w:r>
        <w:t xml:space="preserve">, II sinf ichida risk bir tekis taqsimlanmagan: 4.1-paragrafda </w:t>
      </w:r>
      <w:r>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rPr>
          <w:color w:val="FF0000"/>
        </w:rPr>
        <w:t xml:space="preserve">Shundan so‘ng e</w:t>
      </w:r>
      <w:r>
        <w:t xml:space="preserve">mpirik asoslangan indeks beshta bankning 2021–2025-yillardagi moliyaviy barqarorligi dinamikasini baholash uchun qo‘llandi </w:t>
      </w:r>
      <w:r>
        <w:rPr>
          <w:color w:val="FF0000"/>
        </w:rPr>
        <w:t xml:space="preserve">(3.2.2-rasm)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color w:val="FF0000"/>
        </w:rPr>
        <w:t xml:space="preserve">3.2.2-rasm</w:t>
      </w:r>
      <w:r>
        <w:rPr>
          <w:b/>
        </w:rPr>
        <w:t xml:space="preserve">. Tanlangan banklarda moliyaviy barqarorlikning integral indeksi, MHXS hisobotlari asosida, 2021–2025-yillar</w:t>
      </w:r>
      <w:r>
        <w:rPr>
          <w:rStyle w:val="aff8"/>
        </w:rPr>
        <w:footnoteReference w:id="435"/>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r>
      <w:r>
        <w:rPr/>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w:t>
      </w:r>
      <w:r>
        <w:rPr>
          <w:color w:val="FF0000"/>
        </w:rPr>
        <w:t xml:space="preserve">Natijalarning umumiyligini tekshirish maqsadida i</w:t>
      </w:r>
      <w:r>
        <w:rPr/>
        <w:t xml:space="preserve">ndeks empirik vaznlar baholanishida qatnashmagan oltinchi bank – “Aloqabank” ATB ma’lumotlarida ham tekshirildi </w:t>
      </w:r>
      <w:r>
        <w:rPr>
          <w:color w:val="FF0000"/>
        </w:rPr>
        <w:t xml:space="preserve">(3.2.2-rasmda</w:t>
      </w:r>
      <w:r>
        <w:rPr/>
        <w:t xml:space="preserve">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w:t>
      </w:r>
      <w:r>
        <w:rPr/>
        <w:t xml:space="preserve">tayanch vazn</w:t>
      </w:r>
      <w:r>
        <w:rPr/>
        <w:t xml:space="preserve">i barcha empirik baholar oralig‘ida (0,27–0,57) joylashadi va tarqoqlik usullarining o‘rtachasiga (0,31) deyarli teng, bashorat kuchiga asoslangan logit </w:t>
      </w:r>
      <w:r>
        <w:rPr/>
        <w:lastRenderedPageBreak/>
      </w:r>
      <w:r>
        <w:rPr/>
        <w:t>usulida esa bu blok yagona statistik ahamiyatli blok bo‘ldi.</w:t>
      </w:r>
      <w:r>
        <w:t xml:space="preserve"> Ikkinchidan, vaznlar tanlovi banklar tartibini deyarli o‘zgartirmaydi: </w:t>
      </w:r>
      <w:r>
        <w:rPr/>
        <w:t>tartib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xml:space="preserve">. Shu sababli </w:t>
      </w:r>
      <w:r>
        <w:rPr/>
        <w:t xml:space="preserve">tayanch vaznlar</w:t>
      </w:r>
      <w:r>
        <w:t xml:space="preserve">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w:t>
      </w:r>
      <w:r>
        <w:rPr/>
        <w:t xml:space="preserve">tayanch vazn</w:t>
      </w:r>
      <w:r>
        <w:t xml:space="preserve">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7"/>
      </w:r>
      <w:r>
        <w:t>, L. Laeven va R. Levine esa bankning to‘lovga qobiliyatsizlik riskini Z-score ko‘rsatkichi orqali o‘lchab, uning mulkchilik tuzilmasi va tartibga solish bilan bog‘liqligini aniqlagan</w:t>
      </w:r>
      <w:r>
        <w:rPr>
          <w:rStyle w:val="aff8"/>
        </w:rPr>
        <w:footnoteReference w:id="438"/>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9"/>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tadqiqotiga asoslanadi: ular kreditlarning g‘ayrioddiy tez o‘sishi keyingi uch yilda kredit zaxiralarining oshishi va kapitallashuvning yomonlashuviga olib kelishini </w:t>
      </w:r>
      <w:r>
        <w:lastRenderedPageBreak/>
      </w:r>
      <w:r>
        <w:t>ko‘rsatgan</w:t>
      </w:r>
      <w:r>
        <w:rPr>
          <w:rStyle w:val="aff8"/>
        </w:rPr>
        <w:footnoteReference w:id="443"/>
      </w:r>
      <w:r>
        <w:t>. Uchinchi gipoteza A. Demirgüç-Kunt va H. Huizinga xulosasiga tayanadi: depozit bo‘lmagan, ya’ni ulgurji moliyalashtirishga ko‘proq tayanadigan banklar riskliroq bo‘ladi</w:t>
      </w:r>
      <w:r>
        <w:rPr>
          <w:rStyle w:val="aff8"/>
        </w:rPr>
        <w:footnoteReference w:id="444"/>
      </w:r>
      <w:r>
        <w:t xml:space="preserve">. </w:t>
      </w:r>
      <w:r>
        <w:rPr>
          <w:color w:val="FF0000"/>
        </w:rPr>
        <w:t xml:space="preserve">To‘rtinchi gipoteza asosiy faoliyatdan olinadigan barqaror daromad bank kapitalini ichki manbalar hisobiga to‘ldirish imkonini berishi bilan izohlanadi. B</w:t>
      </w:r>
      <w:r>
        <w:t xml:space="preserve">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8"/>
      </w:r>
      <w:r>
        <w:t>, yuqori likvid aktivlar, kredit zaxiralari, foizli daromad va xarajatlar, operatsion xarajatlar va sof foyda “SNS” reyting agentligining banklar ko‘rsatkichlari bazasidan</w:t>
      </w:r>
      <w:r>
        <w:rPr>
          <w:rStyle w:val="aff8"/>
        </w:rPr>
        <w:footnoteReference w:id="449"/>
      </w:r>
      <w:r>
        <w:t>, makroiqtisodiy ko‘rsatkichlar esa Markaziy bankning statistik byulletenidan olindi</w:t>
      </w:r>
      <w:r>
        <w:rPr>
          <w:rStyle w:val="aff8"/>
        </w:rPr>
        <w:footnoteReference w:id="450"/>
      </w:r>
      <w:r>
        <w:t>. Ikki bank manbasi bank nomlari bo‘yicha birlashtirildi, ma’lum xato qiymatlar tahlildan chiqarildi</w:t>
      </w:r>
      <w:r>
        <w:rPr>
          <w:rStyle w:val="aff8"/>
        </w:rPr>
        <w:footnoteReference w:id="451"/>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t>2025-yil holatiga ulardan 9 tasi davlat ishtirokidagi bank, 2023-yilda xususiylashtirilgan “Ipoteka-bank” ATB esa xususiylashtirilgunga qadar davlat banki sifatida hisobga olindi</w:t>
      </w:r>
      <w:r>
        <w:rPr>
          <w:rStyle w:val="aff8"/>
        </w:rPr>
        <w:footnoteReference w:id="452"/>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3"/>
      </w:r>
      <w:r>
        <w:rPr>
          <w:rStyle w:val="aff8"/>
        </w:rPr>
        <w:footnoteReference w:id="454"/>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5"/>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r>
      <w:r>
        <w:t xml:space="preserve">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w:t>
      </w:r>
      <w:r>
        <w:rPr>
          <w:color w:val="FF0000"/>
        </w:rPr>
        <w:t xml:space="preserve">Shu bilan birga, k</w:t>
      </w:r>
      <w:r>
        <w:t xml:space="preserve">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7"/>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8"/>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9"/>
      </w:r>
    </w:p>
    <w:p w:rsidR="005603EC" w:rsidRDefault="00AB61AC">
      <w:pPr>
        <w:pStyle w:val="af"/>
        <w:spacing w:after="0" w:line="360" w:lineRule="auto"/>
        <w:ind w:firstLine="709"/>
        <w:jc w:val="both"/>
      </w:pPr>
      <w:r>
        <w:t xml:space="preserve">Rasmdan ko‘rinib turibdiki, Z-score bo‘yicha davlat banklari </w:t>
      </w:r>
      <w:r>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rPr>
          <w:color w:val="FF0000"/>
        </w:rPr>
        <w:t xml:space="preserve">Tavsifiy tahlilda aniqlangan farqlarni ekonometrik jihatdan tekshirish va o</w:t>
      </w:r>
      <w:r>
        <w:t xml:space="preserve">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0"/>
      </w:r>
      <w:r>
        <w:rPr>
          <w:rStyle w:val="aff8"/>
        </w:rPr>
        <w:footnoteReference w:id="461"/>
      </w:r>
      <w:r>
        <w:t>. Usullar o‘rtasida tanlov Breusch–Pagan va Hausman testlari asosida amalga oshirildi</w:t>
      </w:r>
      <w:r>
        <w:rPr>
          <w:rStyle w:val="aff8"/>
        </w:rPr>
        <w:footnoteReference w:id="462"/>
      </w:r>
      <w:r>
        <w:rPr>
          <w:rStyle w:val="aff8"/>
        </w:rPr>
        <w:footnoteReference w:id="463"/>
      </w:r>
      <w:r>
        <w:t>. Standart xatolar heteroskedastiklik va avtokorrelyatsiyani hisobga olish uchun bank bo‘yicha klasterlangan. Indeksning inersiyasini hisobga oluvchi dinamik model esa qisqa panellardagi siljishni</w:t>
      </w:r>
      <w:r>
        <w:rPr>
          <w:rStyle w:val="aff8"/>
        </w:rPr>
        <w:footnoteReference w:id="464"/>
      </w:r>
      <w:r>
        <w:t xml:space="preserve"> bartaraf etish maqsadida </w:t>
      </w:r>
      <w:r>
        <w:lastRenderedPageBreak/>
        <w:t>T. Anderson va C. Hsiao usuli bo‘yicha birinchi farqlarda, indeksning ikki chorak oldingi qiymatini instrument sifatida qo‘llab baholandi</w:t>
      </w:r>
      <w:r>
        <w:rPr>
          <w:rStyle w:val="aff8"/>
        </w:rPr>
        <w:footnoteReference w:id="465"/>
      </w:r>
      <w:r>
        <w:rPr>
          <w:rStyle w:val="aff8"/>
        </w:rPr>
        <w:footnoteReference w:id="466"/>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8"/>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9"/>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r>
      <w:r>
        <w:t xml:space="preserve">ulushining 10 foiz punktga barqaror oshishi uzoq muddatda indeksni </w:t>
      </w:r>
      <w:r>
        <w:rPr/>
        <w:t>0,16</w:t>
      </w:r>
      <w:r>
        <w:t xml:space="preserve"> ballga oshiradi. Bu natija P. Athanasoglou va hammualliflar xulosasiga mos keladi</w:t>
      </w:r>
      <w:r>
        <w:rPr>
          <w:rStyle w:val="aff8"/>
        </w:rPr>
        <w:footnoteReference w:id="470"/>
      </w:r>
      <w:r>
        <w:t xml:space="preserve">, biroq inersiyaning nisbatan pastligi bir martalik zararlar va qayta kapitallashtirishlar bilan izohlanadi. </w:t>
      </w:r>
      <w:r>
        <w:rPr>
          <w:color w:val="FF0000"/>
        </w:rPr>
        <w:t xml:space="preserve">Mazkur holat</w:t>
      </w:r>
      <w:r>
        <w:t xml:space="preserve">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w:t>
      </w:r>
      <w:r>
        <w:rPr>
          <w:color w:val="FF0000"/>
        </w:rPr>
        <w:t xml:space="preserve">Olingan natijalar</w:t>
      </w:r>
      <w:r>
        <w:t xml:space="preserve"> davlat banklarini isloh qilishda faqat xususiylashtirish bilan cheklanmasdan, ularning resurs bazasini depozitlar hisobiga diversifikatsiya qilish </w:t>
      </w:r>
      <w:r>
        <w:lastRenderedPageBreak/>
      </w:r>
      <w:r>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3"/>
      </w:r>
      <w:r>
        <w:t xml:space="preserve">. </w:t>
      </w:r>
      <w:r>
        <w:rPr>
          <w:color w:val="FF0000"/>
        </w:rPr>
        <w:t xml:space="preserve">Fikrimizcha, j</w:t>
      </w:r>
      <w:r>
        <w:t xml:space="preserve">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r>
      <w:r>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5"/>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r>
      <w:r>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6"/>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t xml:space="preserve"> </w:t>
      </w:r>
      <w:r>
        <w:rPr>
          <w:color w:val="FF0000"/>
        </w:rPr>
        <w:t xml:space="preserve">Shuni ta’kidlash joizki, YaIM o‘sishi va asosiy stavka bo‘yicha olingan baholar</w:t>
      </w:r>
      <w:r>
        <w:rPr/>
        <w:t xml:space="preserve">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7"/>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sz w:val="22"/>
              </w:rPr>
              <w:t>Pooled modelda manfiy*** (4 va 8 chorak lag), bank ichida ahamiyatsiz</w:t>
            </w:r>
          </w:p>
        </w:tc>
        <w:tc>
          <w:tcPr>
            <w:tcW w:w="1474" w:type="dxa"/>
          </w:tcPr>
          <w:p w:rsidR="005603EC" w:rsidRDefault="00AB61AC">
            <w:pPr>
              <w:pStyle w:val="Compact"/>
              <w:spacing w:line="240" w:lineRule="auto"/>
            </w:pPr>
            <w:r>
              <w:rPr>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rPr>
          <w:color w:val="FF0000"/>
        </w:rPr>
        <w:t xml:space="preserve">Biroq n</w:t>
      </w:r>
      <w:r>
        <w:t xml:space="preserve">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w:t>
      </w:r>
      <w:r>
        <w:rPr/>
        <w:t xml:space="preserve">, “Aloqabank” ATB niki 3,248 va 2,78 ballni (ikkala variantda II sinf)</w:t>
      </w:r>
      <w:r>
        <w:t xml:space="preserve"> tashkil etadi. </w:t>
      </w:r>
      <w:r>
        <w:rPr/>
        <w:t xml:space="preserve">ΔMBII mos ravishda −0,46; −0,66 va −0,47 ballga teng bo‘lib, uning 56–86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 xml:space="preserve">aktivlar sifati blokining </w:t>
      </w:r>
      <w:r>
        <w:rPr/>
        <w:t xml:space="preserve">tayanch vazn</w:t>
      </w:r>
      <w:r>
        <w:rPr/>
        <w:t xml:space="preserve">i (0,30) empirik baholar oralig‘ida (0,27–0,57) joylashishini va bu blok bashorat jihatidan yagona ahamiyatli blok ekanini ko‘rsatdi, tarqoqlik usullari esa daromadlilik blokiga eng yuqori vazn berdi</w:t>
      </w:r>
      <w:r>
        <w:t xml:space="preserve">. </w:t>
      </w:r>
      <w:r>
        <w:rPr/>
        <w:t xml:space="preserve">Tayanch vaznlar</w:t>
      </w:r>
      <w:r>
        <w:t xml:space="preserve"> va empirik vaznlar asosidagi banklar tartibi o‘rtasidagi </w:t>
      </w:r>
      <w:r>
        <w:rPr/>
        <w:t>korrelyatsiya 0,95–0,98 ni</w:t>
      </w:r>
      <w:r>
        <w:t xml:space="preserve"> tashkil etdi, Monte-Karlo tahlilida esa vaznlar </w:t>
      </w:r>
      <w:r>
        <w:lastRenderedPageBreak/>
      </w:r>
      <w:r>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xml:space="preserve">. Shu bilan birga, empirik usullar daromadlilik blokiga </w:t>
      </w:r>
      <w:r>
        <w:rPr/>
        <w:t xml:space="preserve">tayanch vazn</w:t>
      </w:r>
      <w:r>
        <w:t xml:space="preserve">idan yuqori vazn bergan</w:t>
      </w:r>
      <w:r>
        <w:rPr>
          <w:color w:val="FF0000"/>
        </w:rPr>
        <w:t xml:space="preserve">i sababli</w:t>
      </w:r>
      <w:r>
        <w:t xml:space="preserve">,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9"/>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0"/>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9"/>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0"/>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1"/>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3"/>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4"/>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rPr>
          <w:color w:val="FF0000"/>
        </w:rPr>
        <w:t xml:space="preserve">Keyingi bosqichda i</w:t>
      </w:r>
      <w:r>
        <w:t xml:space="preserve">ntegral indeks qiymatini muammo ehtimoliga aylantirish uchun logit modellar baholandi. Logit model bog‘liq o‘zgaruvchi ikki qiymatli bo‘lgan holatda </w:t>
      </w:r>
      <w:r>
        <w:lastRenderedPageBreak/>
      </w:r>
      <w:r>
        <w:t>hodisa ehtimolini omillarning logistik funksiyasi sifatida ifodalaydi</w:t>
      </w:r>
      <w:r>
        <w:rPr>
          <w:rStyle w:val="aff8"/>
        </w:rPr>
        <w:footnoteReference w:id="496"/>
      </w:r>
      <w:r>
        <w:rPr>
          <w:rStyle w:val="aff8"/>
        </w:rPr>
        <w:footnoteReference w:id="497"/>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9"/>
      </w:r>
    </w:p>
    <w:p w:rsidR="005603EC" w:rsidRDefault="00AB61AC">
      <w:pPr>
        <w:pStyle w:val="af"/>
        <w:spacing w:after="0" w:line="360" w:lineRule="auto"/>
        <w:ind w:firstLine="709"/>
        <w:jc w:val="both"/>
      </w:pPr>
      <w: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w:t>
      </w:r>
      <w:r>
        <w:rPr>
          <w:color w:val="FF0000"/>
        </w:rPr>
        <w:t xml:space="preserve">ning</w:t>
      </w:r>
      <w:r>
        <w:t xml:space="preserve"> signallar usuli qo‘llandi</w:t>
      </w:r>
      <w:r>
        <w:rPr>
          <w:rStyle w:val="aff8"/>
        </w:rPr>
        <w:footnoteReference w:id="500"/>
      </w:r>
      <w:r>
        <w:t xml:space="preserve">: har bir chegara uchun ikki turdagi xato hisoblandi. I tur xato muammo hodisasidan oldin signal berilmagan holatlar ulushini, II tur xato esa </w:t>
      </w:r>
      <w:r>
        <w:lastRenderedPageBreak/>
      </w:r>
      <w:r>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2"/>
      </w:r>
      <w:r>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3"/>
      </w:r>
      <w:r>
        <w:rPr/>
        <w:t xml:space="preserve">. Demak, indeksning bashorat kuchi hodisa ta’rifi va baholash usuliga nisbatan barqaror, Z-score dan ustunligi statistik ahamiyatli, biroq muammoli kreditlar </w:t>
      </w:r>
      <w:r>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w:t>
      </w:r>
      <w:r>
        <w:rPr>
          <w:color w:val="FF0000"/>
        </w:rPr>
        <w:t xml:space="preserve">etgan. Uning asosiy sababi 2.3-paragrafda aniqlangan holat bilan izohlanadi:</w:t>
      </w:r>
      <w:r>
        <w:t xml:space="preserve"> 2025-yil yakunida bankning MHXS 9 bo‘yicha 3-bosqich kreditlari ulushi milliy tasnifdagi muammoli kreditlar ulushidan qariyb uch barobar yuqori bo‘lgan. Demak, milliy hisobot ma’lumotlari asosida bank yashil zonada ko‘rinsa-da, xalqaro standartlar </w:t>
      </w:r>
      <w:r>
        <w:lastRenderedPageBreak/>
      </w:r>
      <w:r>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w:t>
      </w:r>
      <w:r>
        <w:rPr>
          <w:color w:val="FF0000"/>
        </w:rPr>
        <w:t xml:space="preserve"> bo‘lib</w:t>
      </w:r>
      <w:r>
        <w:t xml:space="preserve">,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7"/>
      </w:r>
      <w:r>
        <w:t>. M. Sorge va K. Virolainen esa makro stress-testlarda kredit riskining makroiqtisodiy omillarga sezgirligini baholovchi “satellit” modellardan foydalanishni asosiy yondashuv sifatida ko‘rsatadi</w:t>
      </w:r>
      <w:r>
        <w:rPr>
          <w:rStyle w:val="aff8"/>
        </w:rPr>
        <w:footnoteReference w:id="508"/>
      </w:r>
      <w:r>
        <w:t>. Bazel qo‘mitasining stress-test tamoyillari ham ssenariylar haqiqiy tarixiy shoklarga asoslanishi va model natijalari muntazam tekshirilishi lozimligini talab qiladi</w:t>
      </w:r>
      <w:r>
        <w:rPr>
          <w:rStyle w:val="aff8"/>
        </w:rPr>
        <w:footnoteReference w:id="509"/>
      </w:r>
      <w:r>
        <w:t>. O‘zbekistonda esa bu yo‘nalishdagi ilmiy ishlar alohida ko‘rsatkichlarni prognoz qilish bilan cheklangan: B.T. Berdiyarov likvidlik ko‘rsatkichini ARIMA modeli yordamida prognoz qilgan</w:t>
      </w:r>
      <w:r>
        <w:rPr>
          <w:rStyle w:val="aff8"/>
        </w:rPr>
        <w:footnoteReference w:id="510"/>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t xml:space="preserve">ular YaIM o‘sishi bilan kuchli bog‘langan (asosiy stavka bilan korrelyatsiya koeffitsiyenti −0,76), 3.3-paragrafda esa asosiy stavkaning ta’siri faqat 5–10 foiz darajada, so‘m kursiniki esa faqat Pooled modelda ahamiyatli bo‘lgan</w:t>
      </w:r>
      <w:r>
        <w:rPr>
          <w:color w:val="FF0000"/>
        </w:rPr>
        <w:t xml:space="preserve">. S</w:t>
      </w:r>
      <w:r>
        <w:rPr/>
        <w:t xml:space="preserve">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w:t>
      </w:r>
      <w:r>
        <w:rPr>
          <w:color w:val="FF0000"/>
        </w:rPr>
        <w:t xml:space="preserve">. Biroq</w:t>
      </w:r>
      <w:r>
        <w:t xml:space="preserve"> 2020-yil ko‘rsatkichlari tahlil va xulosalarda qo‘llanmaydi. Ma’lumotlarga ko‘ra, 2020-yilda YaIM o‘sish sur’ati yil boshidan 0,0–1,6 foizgacha pasaygan bo‘lsa-da, muammoli kreditlar ulushi 2,1–2,8 foiz </w:t>
      </w:r>
      <w:r>
        <w:lastRenderedPageBreak/>
      </w:r>
      <w:r>
        <w:t>darajasida saqlangan, 2021-yilda esa 5,7 foizgacha oshgan</w:t>
      </w:r>
      <w:r>
        <w:rPr>
          <w:rStyle w:val="aff8"/>
        </w:rPr>
        <w:footnoteReference w:id="512"/>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r>
      <w:r>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t xml:space="preserve">shu chorakning o‘zida 0,153 foiz punktga oshiradi. Laglar tuzilishi farq qilsa-da, koeffitsiyentlarning yaqinligi bahoning barqarorligini ko‘rsatadi. </w:t>
      </w:r>
      <w:r>
        <w:rPr>
          <w:color w:val="FF0000"/>
        </w:rPr>
        <w:t xml:space="preserve">Ta’kidlash joizki, 3</w:t>
      </w:r>
      <w:r>
        <w:rPr/>
        <w:t xml:space="preserve">.3-paragrafdagi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4"/>
      </w:r>
      <w:r>
        <w:rPr>
          <w:rStyle w:val="aff8"/>
        </w:rPr>
        <w:footnoteReference w:id="515"/>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t>o‘rtachaga qaytuvchi modelga nisbatan barqarorroq: 2023-yil uchun uning xatosi 0,21, o‘rtachaga qaytuvchi modelniki esa 1,08 foiz punktga teng, biroq 2024-yilda o‘rtachaga qaytuvchi model aniqroq bo‘lgan (0,73 ga nisbatan 0,33)</w:t>
      </w:r>
      <w:r>
        <w:t xml:space="preserve">. </w:t>
      </w:r>
      <w:r>
        <w:rPr>
          <w:color w:val="FF0000"/>
        </w:rPr>
        <w:t xml:space="preserve">Shu bilan birga,</w:t>
      </w:r>
      <w:r>
        <w:t xml:space="preserve">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r>
      <w:r>
        <w:t xml:space="preserve">darajasidagi qarorlar bilan belgilanganini ko‘rsatadi. Demak, ishlab chiqilgan model muammoli kreditlarning aniq darajasini bashorat qilish uchun emas, balki makroiqtisodiy shokning ta’sirini baholash, ya’ni stress-test uchun mo‘ljallangan</w:t>
      </w:r>
      <w:r>
        <w:rPr>
          <w:color w:val="FF0000"/>
        </w:rPr>
        <w:t xml:space="preserve">.</w:t>
      </w:r>
      <w:r>
        <w:t xml:space="preserve"> Bazel qo‘mitasining tamoyillari ham stress-test natijalarini aynan shu ma’noda talqin qilishni tavsiya etadi</w:t>
      </w:r>
      <w:r>
        <w:rPr>
          <w:rStyle w:val="aff8"/>
        </w:rPr>
        <w:footnoteReference w:id="517"/>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8"/>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w:t>
      </w:r>
      <w:r>
        <w:rPr>
          <w:color w:val="FF0000"/>
        </w:rPr>
        <w:t xml:space="preserve"> holat</w:t>
      </w:r>
      <w:r>
        <w:t xml:space="preserve"> 3.3-paragrafda </w:t>
      </w:r>
      <w:r>
        <w:lastRenderedPageBreak/>
      </w:r>
      <w:r>
        <w:t xml:space="preserve">aniqlangan omillar bilan izohlanadi: davlat banklarida daromadlilik past (aktivlar bo‘yicha tortilgan ROA 1,0 foiz), shu sababli muammoli kreditlarning </w:t>
      </w:r>
      <w:r>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rPr>
          <w:color w:val="FF0000"/>
        </w:rPr>
        <w:t xml:space="preserve">Mazkur natijalarni yaqqol ifodalash maqsadida s</w:t>
      </w:r>
      <w:r>
        <w:t xml:space="preserve">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0"/>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 xml:space="preserve">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w:t>
      </w:r>
      <w:r>
        <w:rPr>
          <w:color w:val="FF0000"/>
        </w:rPr>
        <w:t xml:space="preserve">, biroq</w:t>
      </w:r>
      <w:r>
        <w:t xml:space="preserve">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MHXS hisoboti (MBII-13)</w:t>
            </w:r>
          </w:p>
        </w:tc>
        <w:tc>
          <w:tcPr>
            <w:tcW w:w="1474" w:type="dxa"/>
          </w:tcPr>
          <w:p w:rsidR="005603EC" w:rsidRDefault="00AB61AC">
            <w:pPr>
              <w:pStyle w:val="Compact"/>
              <w:spacing w:line="240" w:lineRule="auto"/>
              <w:jc w:val="center"/>
            </w:pPr>
            <w:r>
              <w:rPr>
                <w:sz w:val="22"/>
              </w:rPr>
              <w:t>2,81 (sariq; 7,5 %)</w:t>
            </w:r>
          </w:p>
        </w:tc>
        <w:tc>
          <w:tcPr>
            <w:tcW w:w="1474" w:type="dxa"/>
          </w:tcPr>
          <w:p w:rsidR="005603EC" w:rsidRDefault="00AB61AC">
            <w:pPr>
              <w:pStyle w:val="Compact"/>
              <w:spacing w:line="240" w:lineRule="auto"/>
              <w:jc w:val="center"/>
            </w:pPr>
            <w:r>
              <w:rPr>
                <w:sz w:val="22"/>
              </w:rPr>
              <w:t>2,79 (sariq; 8,1 %)</w:t>
            </w:r>
          </w:p>
        </w:tc>
        <w:tc>
          <w:tcPr>
            <w:tcW w:w="1474" w:type="dxa"/>
          </w:tcPr>
          <w:p w:rsidR="005603EC" w:rsidRDefault="00AB61AC">
            <w:pPr>
              <w:pStyle w:val="Compact"/>
              <w:spacing w:line="240" w:lineRule="auto"/>
              <w:jc w:val="center"/>
            </w:pPr>
            <w:r>
              <w:rPr>
                <w:sz w:val="22"/>
              </w:rPr>
              <w:t>2,82 (sariq; 7,3 %)</w:t>
            </w:r>
          </w:p>
        </w:tc>
        <w:tc>
          <w:tcPr>
            <w:tcW w:w="1417" w:type="dxa"/>
          </w:tcPr>
          <w:p w:rsidR="005603EC" w:rsidRDefault="00AB61AC">
            <w:pPr>
              <w:pStyle w:val="Compact"/>
              <w:spacing w:line="240" w:lineRule="auto"/>
              <w:jc w:val="center"/>
            </w:pPr>
            <w:r>
              <w:rPr>
                <w:sz w:val="22"/>
              </w:rPr>
              <w:t>2,70 (qizil; 9,7 %)</w:t>
            </w:r>
          </w:p>
        </w:tc>
        <w:tc>
          <w:tcPr>
            <w:tcW w:w="1417" w:type="dxa"/>
          </w:tcPr>
          <w:p w:rsidR="005603EC" w:rsidRDefault="00AB61AC">
            <w:pPr>
              <w:pStyle w:val="Compact"/>
              <w:spacing w:line="240" w:lineRule="auto"/>
              <w:jc w:val="center"/>
            </w:pPr>
            <w:r>
              <w:rPr>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3"/>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rPr>
          <w:color w:val="FF0000"/>
        </w:rPr>
        <w:t xml:space="preserve">. Jumladan,</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r>
      <w:r>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 xml:space="preserve">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w:t>
      </w:r>
      <w:r>
        <w:rPr>
          <w:color w:val="FF0000"/>
        </w:rPr>
        <w:t xml:space="preserve">ning</w:t>
      </w:r>
      <w:r>
        <w:t xml:space="preserve">, ayniqsa davlat banklarining kapital monandligi minimal talabdan pastga tushadi</w:t>
      </w:r>
      <w:r>
        <w:rPr>
          <w:rStyle w:val="aff8"/>
        </w:rPr>
        <w:footnoteReference w:id="524"/>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5"/>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6"/>
      </w:r>
      <w:r>
        <w:t>. Hatto asosiy ssenariyda ham to‘qqizta davlat bankidan beshtasi, jumladan ikkita tizimli ahamiyatga molik bank minimal talabdan pastga tushadi</w:t>
      </w:r>
      <w:r>
        <w:rPr>
          <w:rStyle w:val="aff8"/>
        </w:rPr>
        <w:footnoteReference w:id="527"/>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8"/>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9"/>
      </w:r>
      <w:r>
        <w:t>.</w:t>
      </w:r>
    </w:p>
    <w:p w:rsidR="005603EC" w:rsidRDefault="00AB61AC">
      <w:pPr>
        <w:pStyle w:val="af"/>
        <w:spacing w:after="0" w:line="360" w:lineRule="auto"/>
        <w:ind w:firstLine="709"/>
        <w:jc w:val="both"/>
      </w:pPr>
      <w:r>
        <w:t xml:space="preserve">Shunday qilib, FSAP tavsiyalari va “yo‘l xaritasi” dissertatsiyada aniqlangan muammolarni tasdiqlaydi va ularni hal qilish yo‘nalishlarini belgilaydi. Biroq ular asosan “nima qilish kerak” degan savolga javob beradi, “qanday qilish kerak” degan savolga</w:t>
      </w:r>
      <w:r>
        <w:t xml:space="preserve">, ya’ni muayyan baholash metodikasi, ko‘rsatkichlar, chegaralar va ularning empirik asoslanishi masalasiga </w:t>
      </w:r>
      <w:r>
        <w:rPr>
          <w:color w:val="FF0000"/>
        </w:rPr>
        <w:t xml:space="preserve">esa </w:t>
      </w:r>
      <w:r>
        <w:t xml:space="preserve">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1"/>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2"/>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3"/>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4"/>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5"/>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w:t>
      </w:r>
      <w:r>
        <w:rPr>
          <w:color w:val="FF0000"/>
        </w:rPr>
        <w:t xml:space="preserve">(2.3) formula bo‘yicha </w:t>
      </w:r>
      <w:r>
        <w:t xml:space="preserve">tuzatgan holda integral indeksga kiritish maqsadga muvofiq. </w:t>
      </w:r>
      <w:r>
        <w:lastRenderedPageBreak/>
      </w:r>
      <w:r>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6"/>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sz w:val="20"/>
              </w:rPr>
              <w:t>MBII-8: milliy hisobot</w:t>
            </w:r>
          </w:p>
        </w:tc>
        <w:tc>
          <w:tcPr>
            <w:tcW w:w="1020" w:type="dxa"/>
            <w:shd w:val="clear" w:color="auto" w:fill="DEEBF7"/>
          </w:tcPr>
          <w:p w:rsidR="005603EC" w:rsidRDefault="00AB61AC">
            <w:pPr>
              <w:pStyle w:val="Compact"/>
              <w:spacing w:line="240" w:lineRule="auto"/>
              <w:jc w:val="center"/>
            </w:pPr>
            <w:r>
              <w:rPr>
                <w:b/>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“Aloqabank”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7,2</w:t>
            </w:r>
          </w:p>
        </w:tc>
        <w:tc>
          <w:tcPr>
            <w:tcW w:w="1077" w:type="dxa"/>
          </w:tcPr>
          <w:p w:rsidR="005603EC" w:rsidRDefault="00AB61AC">
            <w:pPr>
              <w:pStyle w:val="Compact"/>
              <w:spacing w:line="240" w:lineRule="auto"/>
            </w:pPr>
            <w:r>
              <w:rPr>
                <w:sz w:val="20"/>
              </w:rPr>
              <w:t>2,83</w:t>
            </w:r>
          </w:p>
        </w:tc>
        <w:tc>
          <w:tcPr>
            <w:tcW w:w="1020" w:type="dxa"/>
          </w:tcPr>
          <w:p w:rsidR="005603EC" w:rsidRDefault="00AB61AC">
            <w:pPr>
              <w:pStyle w:val="Compact"/>
              <w:spacing w:line="240" w:lineRule="auto"/>
            </w:pPr>
            <w:r>
              <w:rPr>
                <w:sz w:val="20"/>
              </w:rPr>
              <w:t>3,26</w:t>
            </w:r>
          </w:p>
        </w:tc>
        <w:tc>
          <w:tcPr>
            <w:tcW w:w="1020" w:type="dxa"/>
          </w:tcPr>
          <w:p w:rsidR="005603EC" w:rsidRDefault="00AB61AC">
            <w:pPr>
              <w:pStyle w:val="Compact"/>
              <w:spacing w:line="240" w:lineRule="auto"/>
            </w:pPr>
            <w:r>
              <w:rPr>
                <w:sz w:val="20"/>
              </w:rPr>
              <w:t>2,78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bl>
    <w:p w:rsidR="005603EC" w:rsidRDefault="00AB61AC">
      <w:pPr>
        <w:pStyle w:val="af"/>
        <w:spacing w:after="0" w:line="360" w:lineRule="auto"/>
        <w:ind w:firstLine="709"/>
        <w:jc w:val="both"/>
      </w:pPr>
      <w:r>
        <w:lastRenderedPageBreak/>
      </w:r>
      <w:r>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w:t>
      </w:r>
      <w:r>
        <w:rPr/>
        <w:t xml:space="preserve">, “Aloqabank” ATB – 3,248</w:t>
      </w:r>
      <w:r>
        <w:rPr/>
        <w:t xml:space="preserve">)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8"/>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39"/>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0"/>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t>faoliyatining dastlabki bosqichida bo‘lgan va kredit</w:t>
      </w:r>
      <w:r>
        <w:t xml:space="preserve"> portfeli </w:t>
      </w:r>
      <w:r>
        <w:lastRenderedPageBreak/>
      </w:r>
      <w:r>
        <w:t xml:space="preserve">tez kengaygan bank bilan bog‘liq bo‘lgan. Shu sababli erta ogohlantirish tizimida integral indeks bilan bir qatorda kreditlar yillik o‘sish sur</w:t>
      </w:r>
      <w:r>
        <w:rPr>
          <w:color w:val="FF0000"/>
        </w:rPr>
        <w:t xml:space="preserve">’</w:t>
      </w:r>
      <w:r>
        <w:t xml:space="preserve">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1"/>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w:t>
      </w:r>
      <w:r>
        <w:rPr>
          <w:color w:val="FF0000"/>
        </w:rPr>
        <w:t xml:space="preserve">ning qariyb yarmi</w:t>
      </w:r>
      <w:r>
        <w:t xml:space="preserve"> ularning moliyalashtirish modeli – depozit bazasining torligi va imtiyozli kreditlarning past foiz marjasi bilan izohlanadi, depozitlar ulushining 10 foiz punktga oshishi esa indeksni uzoq muddatda </w:t>
      </w:r>
      <w:r>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2"/>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 xml:space="preserve">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w:t>
      </w:r>
      <w:r>
        <w:rPr>
          <w:color w:val="FF0000"/>
        </w:rPr>
        <w:t xml:space="preserve"> aniqlangan, chunki davlat ko‘magi davlat banklarining daromadliligini barqarorlashtiradi</w:t>
      </w:r>
      <w:r>
        <w:t xml:space="preserve">.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rPr>
          <w:color w:val="FF0000"/>
        </w:rPr>
        <w:t xml:space="preserve">Umuman olganda, t</w:t>
      </w:r>
      <w:r>
        <w:t xml:space="preserve">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4"/>
      </w:r>
      <w:r>
        <w:t>.</w:t>
      </w:r>
    </w:p>
    <w:p w:rsidR="005603EC" w:rsidRDefault="00AB61AC">
      <w:pPr>
        <w:pStyle w:val="af"/>
        <w:spacing w:after="0" w:line="360" w:lineRule="auto"/>
        <w:ind w:firstLine="709"/>
        <w:jc w:val="both"/>
      </w:pPr>
      <w:r>
        <w:rPr>
          <w:color w:val="FF0000"/>
        </w:rPr>
        <w:t xml:space="preserve">Yuqoridagi qiyosiy tahlildan kelib chiqib aytish mumkinki, t</w:t>
      </w:r>
      <w:r>
        <w:t xml:space="preserve">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5"/>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rPr>
          <w:color w:val="FF0000"/>
        </w:rPr>
        <w:t xml:space="preserve">Yuqorida qayd etilganlardan kelib chiqib, takliflar</w:t>
      </w:r>
      <w:r>
        <w:t xml:space="preserve">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 xml:space="preserve">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w:t>
      </w:r>
      <w:r>
        <w:rPr>
          <w:color w:val="FF0000"/>
        </w:rPr>
        <w:t xml:space="preserve">– </w:t>
      </w:r>
      <w:r>
        <w:t xml:space="preserve">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rPr>
          <w:color w:val="FF0000"/>
        </w:rPr>
        <w:t xml:space="preserve">Xalqaro standartlar tahlili shuni ko‘rsatdiki, B</w:t>
      </w:r>
      <w:r>
        <w:t xml:space="preserve">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rPr>
          <w:color w:val="FF0000"/>
        </w:rPr>
        <w:t xml:space="preserve">Tahlil natijalari ko‘rsatishicha, 2</w:t>
      </w:r>
      <w:r>
        <w:t xml:space="preserve">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t>, “Aloqabank” ATB da 2,46–4,90 ni</w:t>
      </w:r>
      <w:r>
        <w:t xml:space="preserve"> tashkil etdi. Koeffitsiyentning banklar o‘rtasida keskin farq qilishi uni tizim bo‘yicha yagona qiymat sifatida emas, balki har bir bank uchun alohida hisoblash </w:t>
      </w:r>
      <w:r>
        <w:lastRenderedPageBreak/>
      </w:r>
      <w:r>
        <w:t xml:space="preserve">zarurligini ko‘rsatadi. S</w:t>
      </w:r>
      <w:r>
        <w:rPr>
          <w:color w:val="FF0000"/>
        </w:rPr>
        <w:t xml:space="preserve">huningdek, sof barqaror moliyalashtirish me’yorini to‘rt variantda hisoblash natijalari</w:t>
      </w:r>
      <w:r>
        <w:t xml:space="preserve"> metodika farqi me’yorni 5,4 foiz punktga oshirishini, MHXS tuzatishlari esa </w:t>
      </w:r>
      <w:r>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w:t>
      </w:r>
      <w:r>
        <w:rPr>
          <w:color w:val="FF0000"/>
        </w:rPr>
        <w:t xml:space="preserve">(</w:t>
      </w:r>
      <w:r>
        <w:t xml:space="preserve">kapital yetarliligi, aktivlar sifati, likvidlik, daromadlilik va valyuta riskiga sezgirlik</w:t>
      </w:r>
      <w:r>
        <w:rPr>
          <w:color w:val="FF0000"/>
        </w:rPr>
        <w:t xml:space="preserve">)</w:t>
      </w:r>
      <w:r>
        <w:t xml:space="preserve">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w:t>
      </w:r>
      <w:r>
        <w:rPr/>
        <w:t xml:space="preserve">“Mikrokreditbank” ATB da −0,66, “Aloqabank” ATB da −0,47 ballni tashkil etib, uning 56–86 foizi</w:t>
      </w:r>
      <w:r>
        <w:t xml:space="preserve"> aktivlar sifati blokiga to‘g‘ri keladi, ya’ni milliy hisobot banklar barqarorligini </w:t>
      </w:r>
      <w:r>
        <w:rPr/>
        <w:t xml:space="preserve">bir sinfgacha oshirib</w:t>
      </w:r>
      <w:r>
        <w:t xml:space="preserve"> ko‘rsatadi.</w:t>
      </w:r>
    </w:p>
    <w:p w:rsidR="005603EC" w:rsidRDefault="00AB61AC">
      <w:pPr>
        <w:numPr>
          <w:ilvl w:val="0"/>
          <w:numId w:val="15"/>
        </w:numPr>
        <w:spacing w:after="0" w:line="360" w:lineRule="auto"/>
        <w:ind w:firstLine="709"/>
        <w:jc w:val="both"/>
      </w:pPr>
      <w:r>
        <w:rPr/>
        <w:t xml:space="preserve">Indeks vaznlari va sinflar chegaralari empirik jihatdan tekshirildi: aktivlar sifati blokining </w:t>
      </w:r>
      <w:r>
        <w:rPr/>
        <w:t xml:space="preserve">tayanch vazn</w:t>
      </w:r>
      <w:r>
        <w:rPr/>
        <w:t xml:space="preserve">i entropiya, variatsiya koeffitsiyenti, bosh komponentlar va logit usullari bo‘yicha olingan baholar oralig‘ida (0,27–0,57) joylashadi, bashorat jihatidan esa bu blok yagona ahamiyatli blok hisoblanadi</w:t>
      </w:r>
      <w:r>
        <w:rPr>
          <w:color w:val="FF0000"/>
        </w:rPr>
        <w:t xml:space="preserve">. Shu bilan birga, banklar tartibi</w:t>
      </w:r>
      <w:r>
        <w:t xml:space="preserve"> vaznlarning oqilona o‘zgarishlariga barqaror </w:t>
      </w:r>
      <w:r>
        <w:rPr/>
        <w:t>(tartib korrelyatsiyasi 0,95–0,98)</w:t>
      </w:r>
      <w:r>
        <w:t xml:space="preserve">. </w:t>
      </w:r>
      <w:r>
        <w:rPr>
          <w:color w:val="FF0000"/>
        </w:rPr>
        <w:t xml:space="preserve">Sinflar chegaralarini tekshirish natijalariga ko‘ra, I</w:t>
      </w:r>
      <w:r>
        <w:t xml:space="preserve">,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rPr>
          <w:color w:val="FF0000"/>
        </w:rPr>
        <w:t xml:space="preserve">Bundan tashqari, i</w:t>
      </w:r>
      <w:r>
        <w:t xml:space="preserve">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(3,82)</w:t>
            </w:r>
          </w:p>
        </w:tc>
        <w:tc>
          <w:tcPr>
            <w:tcW w:w="2041" w:type="dxa"/>
          </w:tcPr>
          <w:p w:rsidR="005603EC" w:rsidRDefault="00AB61AC">
            <w:pPr>
              <w:jc w:val="center"/>
            </w:pPr>
            <w:r>
              <w:rPr>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15,1 (3,86)</w:t>
            </w:r>
          </w:p>
        </w:tc>
        <w:tc>
          <w:tcPr>
            <w:tcW w:w="2041" w:type="dxa"/>
          </w:tcPr>
          <w:p w:rsidR="005603EC" w:rsidRDefault="00AB61AC">
            <w:pPr>
              <w:jc w:val="center"/>
            </w:pPr>
            <w:r>
              <w:rPr>
                <w:sz w:val="18"/>
              </w:rPr>
              <w:t>15,0 (3,78)</w:t>
            </w:r>
          </w:p>
        </w:tc>
        <w:tc>
          <w:tcPr>
            <w:tcW w:w="2041" w:type="dxa"/>
          </w:tcPr>
          <w:p w:rsidR="005603EC" w:rsidRDefault="00AB61AC">
            <w:pPr>
              <w:jc w:val="center"/>
            </w:pPr>
            <w:r>
              <w:rPr>
                <w:sz w:val="18"/>
              </w:rPr>
              <w:t>15,7 (4,00)</w:t>
            </w:r>
          </w:p>
        </w:tc>
        <w:tc>
          <w:tcPr>
            <w:tcW w:w="2041" w:type="dxa"/>
          </w:tcPr>
          <w:p w:rsidR="005603EC" w:rsidRDefault="00AB61AC">
            <w:pPr>
              <w:jc w:val="center"/>
            </w:pPr>
            <w:r>
              <w:rPr>
                <w:sz w:val="18"/>
              </w:rPr>
              <w:t>14,8 (3,71)</w:t>
            </w:r>
          </w:p>
        </w:tc>
        <w:tc>
          <w:tcPr>
            <w:tcW w:w="2041" w:type="dxa"/>
          </w:tcPr>
          <w:p w:rsidR="005603EC" w:rsidRDefault="00AB61AC">
            <w:pPr>
              <w:jc w:val="center"/>
            </w:pPr>
            <w:r>
              <w:rPr>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3,95</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2,92 (qoniqarli)</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2,91 (qoniqarli)</w:t>
            </w:r>
          </w:p>
        </w:tc>
        <w:tc>
          <w:tcPr>
            <w:tcW w:w="2041" w:type="dxa"/>
          </w:tcPr>
          <w:p w:rsidR="005603EC" w:rsidRDefault="00AB61AC">
            <w:pPr>
              <w:jc w:val="center"/>
            </w:pPr>
            <w:r>
              <w:rPr>
                <w:b/>
                <w:sz w:val="18"/>
              </w:rPr>
              <w:t>2,72 (qoniqarli)</w:t>
            </w:r>
          </w:p>
        </w:tc>
        <w:tc>
          <w:tcPr>
            <w:tcW w:w="2041" w:type="dxa"/>
          </w:tcPr>
          <w:p w:rsidR="005603EC" w:rsidRDefault="00AB61AC">
            <w:pPr>
              <w:jc w:val="center"/>
            </w:pPr>
            <w:r>
              <w:rPr>
                <w:b/>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20,2 (4,00)</w:t>
            </w:r>
          </w:p>
        </w:tc>
        <w:tc>
          <w:tcPr>
            <w:tcW w:w="2041" w:type="dxa"/>
          </w:tcPr>
          <w:p w:rsidR="005603EC" w:rsidRDefault="00AB61AC">
            <w:pPr>
              <w:jc w:val="center"/>
            </w:pPr>
            <w:r>
              <w:rPr>
                <w:sz w:val="18"/>
              </w:rPr>
              <w:t>16,2 (4,00)</w:t>
            </w:r>
          </w:p>
        </w:tc>
        <w:tc>
          <w:tcPr>
            <w:tcW w:w="2041" w:type="dxa"/>
          </w:tcPr>
          <w:p w:rsidR="005603EC" w:rsidRDefault="00AB61AC">
            <w:pPr>
              <w:jc w:val="center"/>
            </w:pPr>
            <w:r>
              <w:rPr>
                <w:sz w:val="18"/>
              </w:rPr>
              <w:t>15,0 (4,00)</w:t>
            </w:r>
          </w:p>
        </w:tc>
        <w:tc>
          <w:tcPr>
            <w:tcW w:w="2041" w:type="dxa"/>
          </w:tcPr>
          <w:p w:rsidR="005603EC" w:rsidRDefault="00AB61AC">
            <w:pPr>
              <w:jc w:val="center"/>
            </w:pPr>
            <w:r>
              <w:rPr>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13,9 (3,34)</w:t>
            </w:r>
          </w:p>
        </w:tc>
        <w:tc>
          <w:tcPr>
            <w:tcW w:w="2041" w:type="dxa"/>
          </w:tcPr>
          <w:p w:rsidR="005603EC" w:rsidRDefault="00AB61AC">
            <w:pPr>
              <w:jc w:val="center"/>
            </w:pPr>
            <w:r>
              <w:rPr>
                <w:sz w:val="18"/>
              </w:rPr>
              <w:t>20,8 (4,00)</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17,4 (4,00)</w:t>
            </w:r>
          </w:p>
        </w:tc>
        <w:tc>
          <w:tcPr>
            <w:tcW w:w="2041" w:type="dxa"/>
          </w:tcPr>
          <w:p w:rsidR="005603EC" w:rsidRDefault="00AB61AC">
            <w:pPr>
              <w:jc w:val="center"/>
            </w:pPr>
            <w:r>
              <w:rPr>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2,18 (zaif)</w:t>
            </w:r>
          </w:p>
        </w:tc>
        <w:tc>
          <w:tcPr>
            <w:tcW w:w="2041" w:type="dxa"/>
          </w:tcPr>
          <w:p w:rsidR="005603EC" w:rsidRDefault="00AB61AC">
            <w:pPr>
              <w:jc w:val="center"/>
            </w:pPr>
            <w:r>
              <w:rPr>
                <w:b/>
                <w:sz w:val="18"/>
              </w:rPr>
              <w:t>2,31 (zaif)</w:t>
            </w:r>
          </w:p>
        </w:tc>
        <w:tc>
          <w:tcPr>
            <w:tcW w:w="2041" w:type="dxa"/>
          </w:tcPr>
          <w:p w:rsidR="005603EC" w:rsidRDefault="00AB61AC">
            <w:pPr>
              <w:jc w:val="center"/>
            </w:pPr>
            <w:r>
              <w:rPr>
                <w:b/>
                <w:sz w:val="18"/>
              </w:rPr>
              <w:t>2,22 (zaif)</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9,6 (3,65)</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9,8 (3,71)</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(3,55)</w:t>
            </w:r>
          </w:p>
        </w:tc>
        <w:tc>
          <w:tcPr>
            <w:tcW w:w="2041" w:type="dxa"/>
          </w:tcPr>
          <w:p w:rsidR="005603EC" w:rsidRDefault="00AB61AC">
            <w:pPr>
              <w:jc w:val="center"/>
            </w:pPr>
            <w:r>
              <w:rPr>
                <w:sz w:val="18"/>
              </w:rPr>
              <w:t>12,5 (2,81)</w:t>
            </w:r>
          </w:p>
        </w:tc>
        <w:tc>
          <w:tcPr>
            <w:tcW w:w="2041" w:type="dxa"/>
          </w:tcPr>
          <w:p w:rsidR="005603EC" w:rsidRDefault="00AB61AC">
            <w:pPr>
              <w:jc w:val="center"/>
            </w:pPr>
            <w:r>
              <w:rPr>
                <w:sz w:val="18"/>
              </w:rPr>
              <w:t>15,1 (3,83)</w:t>
            </w:r>
          </w:p>
        </w:tc>
        <w:tc>
          <w:tcPr>
            <w:tcW w:w="2041" w:type="dxa"/>
          </w:tcPr>
          <w:p w:rsidR="005603EC" w:rsidRDefault="00AB61AC">
            <w:pPr>
              <w:jc w:val="center"/>
            </w:pPr>
            <w:r>
              <w:rPr>
                <w:sz w:val="18"/>
              </w:rPr>
              <w:t>14,0 (3,41)</w:t>
            </w:r>
          </w:p>
        </w:tc>
        <w:tc>
          <w:tcPr>
            <w:tcW w:w="2041" w:type="dxa"/>
          </w:tcPr>
          <w:p w:rsidR="005603EC" w:rsidRDefault="00AB61AC">
            <w:pPr>
              <w:jc w:val="center"/>
            </w:pPr>
            <w:r>
              <w:rPr>
                <w:sz w:val="18"/>
              </w:rPr>
              <w:t>13,1 (3,04)</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12,8 (4,00)</w:t>
            </w:r>
          </w:p>
        </w:tc>
        <w:tc>
          <w:tcPr>
            <w:tcW w:w="2041" w:type="dxa"/>
          </w:tcPr>
          <w:p w:rsidR="005603EC" w:rsidRDefault="00AB61AC">
            <w:pPr>
              <w:jc w:val="center"/>
            </w:pPr>
            <w:r>
              <w:rPr>
                <w:sz w:val="18"/>
              </w:rPr>
              <w:t>11,3 (4,00)</w:t>
            </w:r>
          </w:p>
        </w:tc>
        <w:tc>
          <w:tcPr>
            <w:tcW w:w="2041" w:type="dxa"/>
          </w:tcPr>
          <w:p w:rsidR="005603EC" w:rsidRDefault="00AB61AC">
            <w:pPr>
              <w:jc w:val="center"/>
            </w:pPr>
            <w:r>
              <w:rPr>
                <w:sz w:val="18"/>
              </w:rPr>
              <w:t>15,2 (4,00)</w:t>
            </w:r>
          </w:p>
        </w:tc>
        <w:tc>
          <w:tcPr>
            <w:tcW w:w="2041" w:type="dxa"/>
          </w:tcPr>
          <w:p w:rsidR="005603EC" w:rsidRDefault="00AB61AC">
            <w:pPr>
              <w:jc w:val="center"/>
            </w:pPr>
            <w:r>
              <w:rPr>
                <w:sz w:val="18"/>
              </w:rPr>
              <w:t>13,7 (4,00)</w:t>
            </w:r>
          </w:p>
        </w:tc>
        <w:tc>
          <w:tcPr>
            <w:tcW w:w="2041" w:type="dxa"/>
          </w:tcPr>
          <w:p w:rsidR="005603EC" w:rsidRDefault="00AB61AC">
            <w:pPr>
              <w:jc w:val="center"/>
            </w:pPr>
            <w:r>
              <w:rPr>
                <w:sz w:val="18"/>
              </w:rPr>
              <w:t>11,1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10,0 (2,01)</w:t>
            </w:r>
          </w:p>
        </w:tc>
        <w:tc>
          <w:tcPr>
            <w:tcW w:w="2041" w:type="dxa"/>
          </w:tcPr>
          <w:p w:rsidR="005603EC" w:rsidRDefault="00AB61AC">
            <w:pPr>
              <w:jc w:val="center"/>
            </w:pPr>
            <w:r>
              <w:rPr>
                <w:sz w:val="18"/>
              </w:rPr>
              <w:t>9,9 (2,01)</w:t>
            </w:r>
          </w:p>
        </w:tc>
        <w:tc>
          <w:tcPr>
            <w:tcW w:w="2041" w:type="dxa"/>
          </w:tcPr>
          <w:p w:rsidR="005603EC" w:rsidRDefault="00AB61AC">
            <w:pPr>
              <w:jc w:val="center"/>
            </w:pPr>
            <w:r>
              <w:rPr>
                <w:sz w:val="18"/>
              </w:rPr>
              <w:t>6,1 (2,78)</w:t>
            </w:r>
          </w:p>
        </w:tc>
        <w:tc>
          <w:tcPr>
            <w:tcW w:w="2041" w:type="dxa"/>
          </w:tcPr>
          <w:p w:rsidR="005603EC" w:rsidRDefault="00AB61AC">
            <w:pPr>
              <w:jc w:val="center"/>
            </w:pPr>
            <w:r>
              <w:rPr>
                <w:sz w:val="18"/>
              </w:rPr>
              <w:t>7,5 (2,50)</w:t>
            </w:r>
          </w:p>
        </w:tc>
        <w:tc>
          <w:tcPr>
            <w:tcW w:w="2041" w:type="dxa"/>
          </w:tcPr>
          <w:p w:rsidR="005603EC" w:rsidRDefault="00AB61AC">
            <w:pPr>
              <w:jc w:val="center"/>
            </w:pPr>
            <w:r>
              <w:rPr>
                <w:sz w:val="18"/>
              </w:rPr>
              <w:t>7,2 (2,56)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17,7 (2,73)</w:t>
            </w:r>
          </w:p>
        </w:tc>
        <w:tc>
          <w:tcPr>
            <w:tcW w:w="2041" w:type="dxa"/>
          </w:tcPr>
          <w:p w:rsidR="005603EC" w:rsidRDefault="00AB61AC">
            <w:pPr>
              <w:jc w:val="center"/>
            </w:pPr>
            <w:r>
              <w:rPr>
                <w:sz w:val="18"/>
              </w:rPr>
              <w:t>12,6 (3,48)</w:t>
            </w:r>
          </w:p>
        </w:tc>
        <w:tc>
          <w:tcPr>
            <w:tcW w:w="2041" w:type="dxa"/>
          </w:tcPr>
          <w:p w:rsidR="005603EC" w:rsidRDefault="00AB61AC">
            <w:pPr>
              <w:jc w:val="center"/>
            </w:pPr>
            <w:r>
              <w:rPr>
                <w:sz w:val="18"/>
              </w:rPr>
              <w:t>6,6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45,7 (1,00)</w:t>
            </w:r>
          </w:p>
        </w:tc>
        <w:tc>
          <w:tcPr>
            <w:tcW w:w="2041" w:type="dxa"/>
          </w:tcPr>
          <w:p w:rsidR="005603EC" w:rsidRDefault="00AB61AC">
            <w:pPr>
              <w:jc w:val="center"/>
            </w:pPr>
            <w:r>
              <w:rPr>
                <w:sz w:val="18"/>
              </w:rPr>
              <w:t>42,7 (1,00)</w:t>
            </w:r>
          </w:p>
        </w:tc>
        <w:tc>
          <w:tcPr>
            <w:tcW w:w="2041" w:type="dxa"/>
          </w:tcPr>
          <w:p w:rsidR="005603EC" w:rsidRDefault="00AB61AC">
            <w:pPr>
              <w:jc w:val="center"/>
            </w:pPr>
            <w:r>
              <w:rPr>
                <w:sz w:val="18"/>
              </w:rPr>
              <w:t>17,0 (2,30)</w:t>
            </w:r>
          </w:p>
        </w:tc>
        <w:tc>
          <w:tcPr>
            <w:tcW w:w="2041" w:type="dxa"/>
          </w:tcPr>
          <w:p w:rsidR="005603EC" w:rsidRDefault="00AB61AC">
            <w:pPr>
              <w:jc w:val="center"/>
            </w:pPr>
            <w:r>
              <w:rPr>
                <w:sz w:val="18"/>
              </w:rPr>
              <w:t>17,2 (2,28)</w:t>
            </w:r>
          </w:p>
        </w:tc>
        <w:tc>
          <w:tcPr>
            <w:tcW w:w="2041" w:type="dxa"/>
          </w:tcPr>
          <w:p w:rsidR="005603EC" w:rsidRDefault="00AB61AC">
            <w:pPr>
              <w:jc w:val="center"/>
            </w:pPr>
            <w:r>
              <w:rPr>
                <w:sz w:val="18"/>
              </w:rPr>
              <w:t>17,8 (2,22)</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19,1 (3,82)</w:t>
            </w:r>
          </w:p>
        </w:tc>
        <w:tc>
          <w:tcPr>
            <w:tcW w:w="2041" w:type="dxa"/>
          </w:tcPr>
          <w:p w:rsidR="005603EC" w:rsidRDefault="00AB61AC">
            <w:pPr>
              <w:jc w:val="center"/>
            </w:pPr>
            <w:r>
              <w:rPr>
                <w:sz w:val="18"/>
              </w:rPr>
              <w:t>23,1 (4,00)</w:t>
            </w:r>
          </w:p>
        </w:tc>
        <w:tc>
          <w:tcPr>
            <w:tcW w:w="2041" w:type="dxa"/>
          </w:tcPr>
          <w:p w:rsidR="005603EC" w:rsidRDefault="00AB61AC">
            <w:pPr>
              <w:jc w:val="center"/>
            </w:pPr>
            <w:r>
              <w:rPr>
                <w:sz w:val="18"/>
              </w:rPr>
              <w:t>12,3 (2,45)</w:t>
            </w:r>
          </w:p>
        </w:tc>
        <w:tc>
          <w:tcPr>
            <w:tcW w:w="2041" w:type="dxa"/>
          </w:tcPr>
          <w:p w:rsidR="005603EC" w:rsidRDefault="00AB61AC">
            <w:pPr>
              <w:jc w:val="center"/>
            </w:pPr>
            <w:r>
              <w:rPr>
                <w:sz w:val="18"/>
              </w:rPr>
              <w:t>13,9 (2,78)</w:t>
            </w:r>
          </w:p>
        </w:tc>
        <w:tc>
          <w:tcPr>
            <w:tcW w:w="2041" w:type="dxa"/>
          </w:tcPr>
          <w:p w:rsidR="005603EC" w:rsidRDefault="00AB61AC">
            <w:pPr>
              <w:jc w:val="center"/>
            </w:pPr>
            <w:r>
              <w:rPr>
                <w:sz w:val="18"/>
              </w:rPr>
              <w:t>12,7 (2,54)</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123,1 (2,54)</w:t>
            </w:r>
          </w:p>
        </w:tc>
        <w:tc>
          <w:tcPr>
            <w:tcW w:w="2041" w:type="dxa"/>
          </w:tcPr>
          <w:p w:rsidR="005603EC" w:rsidRDefault="00AB61AC">
            <w:pPr>
              <w:jc w:val="center"/>
            </w:pPr>
            <w:r>
              <w:rPr>
                <w:sz w:val="18"/>
              </w:rPr>
              <w:t>128,0 (2,44)</w:t>
            </w:r>
          </w:p>
        </w:tc>
        <w:tc>
          <w:tcPr>
            <w:tcW w:w="2041" w:type="dxa"/>
          </w:tcPr>
          <w:p w:rsidR="005603EC" w:rsidRDefault="00AB61AC">
            <w:pPr>
              <w:jc w:val="center"/>
            </w:pPr>
            <w:r>
              <w:rPr>
                <w:sz w:val="18"/>
              </w:rPr>
              <w:t>124,9 (2,50)</w:t>
            </w:r>
          </w:p>
        </w:tc>
        <w:tc>
          <w:tcPr>
            <w:tcW w:w="2041" w:type="dxa"/>
          </w:tcPr>
          <w:p w:rsidR="005603EC" w:rsidRDefault="00AB61AC">
            <w:pPr>
              <w:jc w:val="center"/>
            </w:pPr>
            <w:r>
              <w:rPr>
                <w:sz w:val="18"/>
              </w:rPr>
              <w:t>105,6 (2,89)</w:t>
            </w:r>
          </w:p>
        </w:tc>
        <w:tc>
          <w:tcPr>
            <w:tcW w:w="2041" w:type="dxa"/>
          </w:tcPr>
          <w:p w:rsidR="005603EC" w:rsidRDefault="00AB61AC">
            <w:pPr>
              <w:jc w:val="center"/>
            </w:pPr>
            <w:r>
              <w:rPr>
                <w:sz w:val="18"/>
              </w:rPr>
              <w:t>140,1 (2,20)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1,3 (2,92)</w:t>
            </w:r>
          </w:p>
        </w:tc>
        <w:tc>
          <w:tcPr>
            <w:tcW w:w="2041" w:type="dxa"/>
          </w:tcPr>
          <w:p w:rsidR="005603EC" w:rsidRDefault="00AB61AC">
            <w:pPr>
              <w:jc w:val="center"/>
            </w:pPr>
            <w:r>
              <w:rPr>
                <w:sz w:val="18"/>
              </w:rPr>
              <w:t>1,4 (2,98)</w:t>
            </w:r>
          </w:p>
        </w:tc>
        <w:tc>
          <w:tcPr>
            <w:tcW w:w="2041" w:type="dxa"/>
          </w:tcPr>
          <w:p w:rsidR="005603EC" w:rsidRDefault="00AB61AC">
            <w:pPr>
              <w:jc w:val="center"/>
            </w:pPr>
            <w:r>
              <w:rPr>
                <w:sz w:val="18"/>
              </w:rPr>
              <w:t>2,3 (4,00)</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−0,7 (1,00)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9,1 (2,82)</w:t>
            </w:r>
          </w:p>
        </w:tc>
        <w:tc>
          <w:tcPr>
            <w:tcW w:w="2041" w:type="dxa"/>
          </w:tcPr>
          <w:p w:rsidR="005603EC" w:rsidRDefault="00AB61AC">
            <w:pPr>
              <w:jc w:val="center"/>
            </w:pPr>
            <w:r>
              <w:rPr>
                <w:sz w:val="18"/>
              </w:rPr>
              <w:t>11,6 (3,32)</w:t>
            </w:r>
          </w:p>
        </w:tc>
        <w:tc>
          <w:tcPr>
            <w:tcW w:w="2041" w:type="dxa"/>
          </w:tcPr>
          <w:p w:rsidR="005603EC" w:rsidRDefault="00AB61AC">
            <w:pPr>
              <w:jc w:val="center"/>
            </w:pPr>
            <w:r>
              <w:rPr>
                <w:sz w:val="18"/>
              </w:rPr>
              <w:t>17,1 (4,00)</w:t>
            </w:r>
          </w:p>
        </w:tc>
        <w:tc>
          <w:tcPr>
            <w:tcW w:w="2041" w:type="dxa"/>
          </w:tcPr>
          <w:p w:rsidR="005603EC" w:rsidRDefault="00AB61AC">
            <w:pPr>
              <w:jc w:val="center"/>
            </w:pPr>
            <w:r>
              <w:rPr>
                <w:sz w:val="18"/>
              </w:rPr>
              <w:t>9,2 (2,84)</w:t>
            </w:r>
          </w:p>
        </w:tc>
        <w:tc>
          <w:tcPr>
            <w:tcW w:w="2041" w:type="dxa"/>
          </w:tcPr>
          <w:p w:rsidR="005603EC" w:rsidRDefault="00AB61AC">
            <w:pPr>
              <w:jc w:val="center"/>
            </w:pPr>
            <w:r>
              <w:rPr>
                <w:sz w:val="18"/>
              </w:rPr>
              <w:t>−5,9 (1,00)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57,1 (3,19)</w:t>
            </w:r>
          </w:p>
        </w:tc>
        <w:tc>
          <w:tcPr>
            <w:tcW w:w="2041" w:type="dxa"/>
          </w:tcPr>
          <w:p w:rsidR="005603EC" w:rsidRDefault="00AB61AC">
            <w:pPr>
              <w:jc w:val="center"/>
            </w:pPr>
            <w:r>
              <w:rPr>
                <w:sz w:val="18"/>
              </w:rPr>
              <w:t>61,1 (2,94)</w:t>
            </w:r>
          </w:p>
        </w:tc>
        <w:tc>
          <w:tcPr>
            <w:tcW w:w="2041" w:type="dxa"/>
          </w:tcPr>
          <w:p w:rsidR="005603EC" w:rsidRDefault="00AB61AC">
            <w:pPr>
              <w:jc w:val="center"/>
            </w:pPr>
            <w:r>
              <w:rPr>
                <w:sz w:val="18"/>
              </w:rPr>
              <w:t>52,2 (3,52)</w:t>
            </w:r>
          </w:p>
        </w:tc>
        <w:tc>
          <w:tcPr>
            <w:tcW w:w="2041" w:type="dxa"/>
          </w:tcPr>
          <w:p w:rsidR="005603EC" w:rsidRDefault="00AB61AC">
            <w:pPr>
              <w:jc w:val="center"/>
            </w:pPr>
            <w:r>
              <w:rPr>
                <w:sz w:val="18"/>
              </w:rPr>
              <w:t>87,5 (1,63)</w:t>
            </w:r>
          </w:p>
        </w:tc>
        <w:tc>
          <w:tcPr>
            <w:tcW w:w="2041" w:type="dxa"/>
          </w:tcPr>
          <w:p w:rsidR="005603EC" w:rsidRDefault="00AB61AC">
            <w:pPr>
              <w:jc w:val="center"/>
            </w:pPr>
            <w:r>
              <w:rPr>
                <w:sz w:val="18"/>
              </w:rPr>
              <w:t>89,0 (1,55)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45,3 (2,65)</w:t>
            </w:r>
          </w:p>
        </w:tc>
        <w:tc>
          <w:tcPr>
            <w:tcW w:w="2041" w:type="dxa"/>
          </w:tcPr>
          <w:p w:rsidR="005603EC" w:rsidRDefault="00AB61AC">
            <w:pPr>
              <w:jc w:val="center"/>
            </w:pPr>
            <w:r>
              <w:rPr>
                <w:sz w:val="18"/>
              </w:rPr>
              <w:t>41,7 (2,89)</w:t>
            </w:r>
          </w:p>
        </w:tc>
        <w:tc>
          <w:tcPr>
            <w:tcW w:w="2041" w:type="dxa"/>
          </w:tcPr>
          <w:p w:rsidR="005603EC" w:rsidRDefault="00AB61AC">
            <w:pPr>
              <w:jc w:val="center"/>
            </w:pPr>
            <w:r>
              <w:rPr>
                <w:sz w:val="18"/>
              </w:rPr>
              <w:t>35,5 (3,30)</w:t>
            </w:r>
          </w:p>
        </w:tc>
        <w:tc>
          <w:tcPr>
            <w:tcW w:w="2041" w:type="dxa"/>
          </w:tcPr>
          <w:p w:rsidR="005603EC" w:rsidRDefault="00AB61AC">
            <w:pPr>
              <w:jc w:val="center"/>
            </w:pPr>
            <w:r>
              <w:rPr>
                <w:sz w:val="18"/>
              </w:rPr>
              <w:t>25,9 (3,94)</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3,80</w:t>
            </w:r>
          </w:p>
        </w:tc>
        <w:tc>
          <w:tcPr>
            <w:tcW w:w="2041" w:type="dxa"/>
          </w:tcPr>
          <w:p w:rsidR="005603EC" w:rsidRDefault="00AB61AC">
            <w:pPr>
              <w:jc w:val="center"/>
            </w:pPr>
            <w:r>
              <w:rPr>
                <w:sz w:val="18"/>
              </w:rPr>
              <w:t>3,58</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2,60</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2,93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3,18</w:t>
            </w:r>
          </w:p>
        </w:tc>
        <w:tc>
          <w:tcPr>
            <w:tcW w:w="2041" w:type="dxa"/>
          </w:tcPr>
          <w:p w:rsidR="005603EC" w:rsidRDefault="00AB61AC">
            <w:pPr>
              <w:jc w:val="center"/>
            </w:pPr>
            <w:r>
              <w:rPr>
                <w:sz w:val="18"/>
              </w:rPr>
              <w:t>3,22</w:t>
            </w:r>
          </w:p>
        </w:tc>
        <w:tc>
          <w:tcPr>
            <w:tcW w:w="2041" w:type="dxa"/>
          </w:tcPr>
          <w:p w:rsidR="005603EC" w:rsidRDefault="00AB61AC">
            <w:pPr>
              <w:jc w:val="center"/>
            </w:pPr>
            <w:r>
              <w:rPr>
                <w:sz w:val="18"/>
              </w:rPr>
              <w:t>2,48</w:t>
            </w:r>
          </w:p>
        </w:tc>
        <w:tc>
          <w:tcPr>
            <w:tcW w:w="2041" w:type="dxa"/>
          </w:tcPr>
          <w:p w:rsidR="005603EC" w:rsidRDefault="00AB61AC">
            <w:pPr>
              <w:jc w:val="center"/>
            </w:pPr>
            <w:r>
              <w:rPr>
                <w:sz w:val="18"/>
              </w:rPr>
              <w:t>2,83</w:t>
            </w:r>
          </w:p>
        </w:tc>
        <w:tc>
          <w:tcPr>
            <w:tcW w:w="2041" w:type="dxa"/>
          </w:tcPr>
          <w:p w:rsidR="005603EC" w:rsidRDefault="00AB61AC">
            <w:pPr>
              <w:jc w:val="center"/>
            </w:pPr>
            <w:r>
              <w:rPr>
                <w:sz w:val="18"/>
              </w:rPr>
              <w:t>2,37</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3,08</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2,45</w:t>
            </w:r>
          </w:p>
        </w:tc>
        <w:tc>
          <w:tcPr>
            <w:tcW w:w="2041" w:type="dxa"/>
          </w:tcPr>
          <w:p w:rsidR="005603EC" w:rsidRDefault="00AB61AC">
            <w:pPr>
              <w:jc w:val="center"/>
            </w:pPr>
            <w:r>
              <w:rPr>
                <w:sz w:val="18"/>
              </w:rPr>
              <w:t>1,18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2,65</w:t>
            </w:r>
          </w:p>
        </w:tc>
        <w:tc>
          <w:tcPr>
            <w:tcW w:w="2041" w:type="dxa"/>
          </w:tcPr>
          <w:p w:rsidR="005603EC" w:rsidRDefault="00AB61AC">
            <w:pPr>
              <w:jc w:val="center"/>
            </w:pPr>
            <w:r>
              <w:rPr>
                <w:sz w:val="18"/>
              </w:rPr>
              <w:t>2,89</w:t>
            </w:r>
          </w:p>
        </w:tc>
        <w:tc>
          <w:tcPr>
            <w:tcW w:w="2041" w:type="dxa"/>
          </w:tcPr>
          <w:p w:rsidR="005603EC" w:rsidRDefault="00AB61AC">
            <w:pPr>
              <w:jc w:val="center"/>
            </w:pPr>
            <w:r>
              <w:rPr>
                <w:sz w:val="18"/>
              </w:rPr>
              <w:t>3,30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3,57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3,01 (qoniqarli)</w:t>
            </w:r>
          </w:p>
        </w:tc>
        <w:tc>
          <w:tcPr>
            <w:tcW w:w="2041" w:type="dxa"/>
          </w:tcPr>
          <w:p w:rsidR="005603EC" w:rsidRDefault="00AB61AC">
            <w:pPr>
              <w:jc w:val="center"/>
            </w:pPr>
            <w:r>
              <w:rPr>
                <w:b/>
                <w:sz w:val="18"/>
              </w:rPr>
              <w:t>2,97 (qoniqarli)</w:t>
            </w:r>
          </w:p>
        </w:tc>
        <w:tc>
          <w:tcPr>
            <w:tcW w:w="2041" w:type="dxa"/>
          </w:tcPr>
          <w:p w:rsidR="005603EC" w:rsidRDefault="00AB61AC">
            <w:pPr>
              <w:jc w:val="center"/>
            </w:pPr>
            <w:r>
              <w:rPr>
                <w:b/>
                <w:sz w:val="18"/>
              </w:rPr>
              <w:t>3,17 (qoniqarli)</w:t>
            </w:r>
          </w:p>
        </w:tc>
        <w:tc>
          <w:tcPr>
            <w:tcW w:w="2041" w:type="dxa"/>
          </w:tcPr>
          <w:p w:rsidR="005603EC" w:rsidRDefault="00AB61AC">
            <w:pPr>
              <w:jc w:val="center"/>
            </w:pPr>
            <w:r>
              <w:rPr>
                <w:b/>
                <w:sz w:val="18"/>
              </w:rPr>
              <w:t>3,10 (qoniqarli)</w:t>
            </w:r>
          </w:p>
        </w:tc>
        <w:tc>
          <w:tcPr>
            <w:tcW w:w="2041" w:type="dxa"/>
          </w:tcPr>
          <w:p w:rsidR="005603EC" w:rsidRDefault="00AB61AC">
            <w:pPr>
              <w:jc w:val="center"/>
            </w:pPr>
            <w:r>
              <w:rPr>
                <w:b/>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 xml:space="preserve">Izoh: har bir katakda vaznlar </w:t>
      </w:r>
      <w:r>
        <w:rPr>
          <w:i/>
          <w:sz w:val="20"/>
        </w:rPr>
        <w:t xml:space="preserve">tayanch vaznlar</w:t>
      </w:r>
      <w:r>
        <w:rPr>
          <w:i/>
          <w:sz w:val="20"/>
        </w:rPr>
        <w:t xml:space="preserve">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sz w:val="18"/>
              </w:rPr>
              <w:t xml:space="preserve">№</w:t>
            </w:r>
          </w:p>
        </w:tc>
        <w:tc>
          <w:tcPr>
            <w:tcW w:w="2700" w:type="dxa"/>
            <w:shd w:val="clear" w:color="auto" w:fill="DEEBF7"/>
          </w:tcPr>
          <w:p>
            <w:pPr>
              <w:jc w:val="center"/>
            </w:pPr>
            <w:r>
              <w:rPr>
                <w:b/>
                <w:sz w:val="18"/>
              </w:rPr>
              <w:t xml:space="preserve">Bank, mamlakat</w:t>
            </w:r>
          </w:p>
        </w:tc>
        <w:tc>
          <w:tcPr>
            <w:tcW w:w="700" w:type="dxa"/>
            <w:shd w:val="clear" w:color="auto" w:fill="DEEBF7"/>
          </w:tcPr>
          <w:p>
            <w:pPr>
              <w:jc w:val="center"/>
            </w:pPr>
            <w:r>
              <w:rPr>
                <w:b/>
                <w:sz w:val="18"/>
              </w:rPr>
              <w:t xml:space="preserve">Yil</w:t>
            </w:r>
          </w:p>
        </w:tc>
        <w:tc>
          <w:tcPr>
            <w:tcW w:w="6300" w:type="dxa"/>
            <w:shd w:val="clear" w:color="auto" w:fill="DEEBF7"/>
          </w:tcPr>
          <w:p>
            <w:pPr>
              <w:jc w:val="center"/>
            </w:pPr>
            <w:r>
              <w:rPr>
                <w:b/>
                <w:sz w:val="18"/>
              </w:rPr>
              <w:t xml:space="preserve">Rasmiy hisobotlarda qayd etilgan sabablar</w:t>
            </w:r>
          </w:p>
        </w:tc>
        <w:tc>
          <w:tcPr>
            <w:tcW w:w="420" w:type="dxa"/>
            <w:shd w:val="clear" w:color="auto" w:fill="DEEBF7"/>
          </w:tcPr>
          <w:p>
            <w:pPr>
              <w:jc w:val="center"/>
            </w:pPr>
            <w:r>
              <w:rPr>
                <w:b/>
                <w:sz w:val="18"/>
              </w:rPr>
              <w:t xml:space="preserve">B</w:t>
            </w:r>
          </w:p>
        </w:tc>
        <w:tc>
          <w:tcPr>
            <w:tcW w:w="420" w:type="dxa"/>
            <w:shd w:val="clear" w:color="auto" w:fill="DEEBF7"/>
          </w:tcPr>
          <w:p>
            <w:pPr>
              <w:jc w:val="center"/>
            </w:pPr>
            <w:r>
              <w:rPr>
                <w:b/>
                <w:sz w:val="18"/>
              </w:rPr>
              <w:t xml:space="preserve">A</w:t>
            </w:r>
          </w:p>
        </w:tc>
        <w:tc>
          <w:tcPr>
            <w:tcW w:w="420" w:type="dxa"/>
            <w:shd w:val="clear" w:color="auto" w:fill="DEEBF7"/>
          </w:tcPr>
          <w:p>
            <w:pPr>
              <w:jc w:val="center"/>
            </w:pPr>
            <w:r>
              <w:rPr>
                <w:b/>
                <w:sz w:val="18"/>
              </w:rPr>
              <w:t xml:space="preserve">N</w:t>
            </w:r>
          </w:p>
        </w:tc>
        <w:tc>
          <w:tcPr>
            <w:tcW w:w="420" w:type="dxa"/>
            <w:shd w:val="clear" w:color="auto" w:fill="DEEBF7"/>
          </w:tcPr>
          <w:p>
            <w:pPr>
              <w:jc w:val="center"/>
            </w:pPr>
            <w:r>
              <w:rPr>
                <w:b/>
                <w:sz w:val="18"/>
              </w:rPr>
              <w:t xml:space="preserve">F</w:t>
            </w:r>
          </w:p>
        </w:tc>
        <w:tc>
          <w:tcPr>
            <w:tcW w:w="420" w:type="dxa"/>
            <w:shd w:val="clear" w:color="auto" w:fill="DEEBF7"/>
          </w:tcPr>
          <w:p>
            <w:pPr>
              <w:jc w:val="center"/>
            </w:pPr>
            <w:r>
              <w:rPr>
                <w:b/>
                <w:sz w:val="18"/>
              </w:rPr>
              <w:t xml:space="preserve">L</w:t>
            </w:r>
          </w:p>
        </w:tc>
        <w:tc>
          <w:tcPr>
            <w:tcW w:w="420" w:type="dxa"/>
            <w:shd w:val="clear" w:color="auto" w:fill="DEEBF7"/>
          </w:tcPr>
          <w:p>
            <w:pPr>
              <w:jc w:val="center"/>
            </w:pPr>
            <w:r>
              <w:rPr>
                <w:b/>
                <w:sz w:val="18"/>
              </w:rPr>
              <w:t xml:space="preserve">S</w:t>
            </w:r>
          </w:p>
        </w:tc>
        <w:tc>
          <w:tcPr>
            <w:tcW w:w="420" w:type="dxa"/>
            <w:shd w:val="clear" w:color="auto" w:fill="DEEBF7"/>
          </w:tcPr>
          <w:p>
            <w:pPr>
              <w:jc w:val="center"/>
            </w:pPr>
            <w:r>
              <w:rPr>
                <w:b/>
                <w:sz w:val="18"/>
              </w:rPr>
              <w:t xml:space="preserve">D</w:t>
            </w:r>
          </w:p>
        </w:tc>
        <w:tc>
          <w:tcPr>
            <w:tcW w:w="1330" w:type="dxa"/>
            <w:shd w:val="clear" w:color="auto" w:fill="DEEBF7"/>
          </w:tcPr>
          <w:p>
            <w:pPr>
              <w:jc w:val="center"/>
            </w:pPr>
            <w:r>
              <w:rPr>
                <w:b/>
                <w:sz w:val="18"/>
              </w:rPr>
              <w:t xml:space="preserve">Manba</w:t>
            </w:r>
          </w:p>
        </w:tc>
      </w:tr>
      <w:tr>
        <w:trPr>
          <w:cantSplit/>
        </w:trPr>
        <w:tc>
          <w:tcPr>
            <w:tcW w:w="600" w:type="dxa"/>
          </w:tcPr>
          <w:p>
            <w:pPr>
              <w:jc w:val="center"/>
            </w:pPr>
            <w:r>
              <w:rPr>
                <w:sz w:val="18"/>
              </w:rPr>
              <w:t xml:space="preserve">1</w:t>
            </w:r>
          </w:p>
        </w:tc>
        <w:tc>
          <w:tcPr>
            <w:tcW w:w="2700" w:type="dxa"/>
          </w:tcPr>
          <w:p>
            <w:pPr/>
            <w:r>
              <w:rPr>
                <w:sz w:val="18"/>
              </w:rPr>
              <w:t xml:space="preserve">Greensill Bank AG (Germaniya)</w:t>
            </w:r>
          </w:p>
        </w:tc>
        <w:tc>
          <w:tcPr>
            <w:tcW w:w="700" w:type="dxa"/>
          </w:tcPr>
          <w:p>
            <w:pPr>
              <w:jc w:val="center"/>
            </w:pPr>
            <w:r>
              <w:rPr>
                <w:sz w:val="18"/>
              </w:rPr>
              <w:t xml:space="preserve">2021</w:t>
            </w:r>
          </w:p>
        </w:tc>
        <w:tc>
          <w:tcPr>
            <w:tcW w:w="6300" w:type="dxa"/>
          </w:tcPr>
          <w:p>
            <w:pPr/>
            <w:r>
              <w:rPr>
                <w:sz w:val="18"/>
              </w:rPr>
              <w:t xml:space="preserve">Balansdagi GFG Alliance guruhi debitorlik qarzlari mavjudligini tasdiqlay olmaslik (kredit konsentratsiyasi); balansni soxtalashtirish bo‘yicha jinoiy ariza</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BaFin</w:t>
            </w:r>
          </w:p>
        </w:tc>
      </w:tr>
      <w:tr>
        <w:trPr>
          <w:cantSplit/>
        </w:trPr>
        <w:tc>
          <w:tcPr>
            <w:tcW w:w="600" w:type="dxa"/>
          </w:tcPr>
          <w:p>
            <w:pPr>
              <w:jc w:val="center"/>
            </w:pPr>
            <w:r>
              <w:rPr>
                <w:sz w:val="18"/>
              </w:rPr>
              <w:t xml:space="preserve">2</w:t>
            </w:r>
          </w:p>
        </w:tc>
        <w:tc>
          <w:tcPr>
            <w:tcW w:w="2700" w:type="dxa"/>
          </w:tcPr>
          <w:p>
            <w:pPr/>
            <w:r>
              <w:rPr>
                <w:sz w:val="18"/>
              </w:rPr>
              <w:t xml:space="preserve">Silicon Valley Bank (AQSh)</w:t>
            </w:r>
          </w:p>
        </w:tc>
        <w:tc>
          <w:tcPr>
            <w:tcW w:w="700" w:type="dxa"/>
          </w:tcPr>
          <w:p>
            <w:pPr>
              <w:jc w:val="center"/>
            </w:pPr>
            <w:r>
              <w:rPr>
                <w:sz w:val="18"/>
              </w:rPr>
              <w:t xml:space="preserve">2023</w:t>
            </w:r>
          </w:p>
        </w:tc>
        <w:tc>
          <w:tcPr>
            <w:tcW w:w="6300" w:type="dxa"/>
          </w:tcPr>
          <w:p>
            <w:pPr/>
            <w:r>
              <w:rPr>
                <w:sz w:val="18"/>
              </w:rPr>
              <w:t xml:space="preserve">Boshqaruv tez o‘sish va konsentratsiya risklarini nazorat qilmagan; foiz stavkasi riski xedjlari olib tashlangan; 40 mlrd dollarlik depozitlar oqimi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FRT OIG, 2023-SR-B-013</w:t>
            </w:r>
          </w:p>
        </w:tc>
      </w:tr>
      <w:tr>
        <w:trPr>
          <w:cantSplit/>
        </w:trPr>
        <w:tc>
          <w:tcPr>
            <w:tcW w:w="600" w:type="dxa"/>
          </w:tcPr>
          <w:p>
            <w:pPr>
              <w:jc w:val="center"/>
            </w:pPr>
            <w:r>
              <w:rPr>
                <w:sz w:val="18"/>
              </w:rPr>
              <w:t xml:space="preserve">3</w:t>
            </w:r>
          </w:p>
        </w:tc>
        <w:tc>
          <w:tcPr>
            <w:tcW w:w="2700" w:type="dxa"/>
          </w:tcPr>
          <w:p>
            <w:pPr/>
            <w:r>
              <w:rPr>
                <w:sz w:val="18"/>
              </w:rPr>
              <w:t xml:space="preserve">Signature Bank (AQSh)</w:t>
            </w:r>
          </w:p>
        </w:tc>
        <w:tc>
          <w:tcPr>
            <w:tcW w:w="700" w:type="dxa"/>
          </w:tcPr>
          <w:p>
            <w:pPr>
              <w:jc w:val="center"/>
            </w:pPr>
            <w:r>
              <w:rPr>
                <w:sz w:val="18"/>
              </w:rPr>
              <w:t xml:space="preserve">2023</w:t>
            </w:r>
          </w:p>
        </w:tc>
        <w:tc>
          <w:tcPr>
            <w:tcW w:w="6300" w:type="dxa"/>
          </w:tcPr>
          <w:p>
            <w:pPr/>
            <w:r>
              <w:rPr>
                <w:sz w:val="18"/>
              </w:rPr>
              <w:t xml:space="preserve">Likvidlik va favqulodda moliyalashtirish mexanizmlarining yetarli emasligi; boshqaruvning risk menejmenti amaliyoti zaif</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EVAL-24-02</w:t>
            </w:r>
          </w:p>
        </w:tc>
      </w:tr>
      <w:tr>
        <w:trPr>
          <w:cantSplit/>
        </w:trPr>
        <w:tc>
          <w:tcPr>
            <w:tcW w:w="600" w:type="dxa"/>
          </w:tcPr>
          <w:p>
            <w:pPr>
              <w:jc w:val="center"/>
            </w:pPr>
            <w:r>
              <w:rPr>
                <w:sz w:val="18"/>
              </w:rPr>
              <w:t xml:space="preserve">4</w:t>
            </w:r>
          </w:p>
        </w:tc>
        <w:tc>
          <w:tcPr>
            <w:tcW w:w="2700" w:type="dxa"/>
          </w:tcPr>
          <w:p>
            <w:pPr/>
            <w:r>
              <w:rPr>
                <w:sz w:val="18"/>
              </w:rPr>
              <w:t xml:space="preserve">First Republic Bank (AQSh)</w:t>
            </w:r>
          </w:p>
        </w:tc>
        <w:tc>
          <w:tcPr>
            <w:tcW w:w="700" w:type="dxa"/>
          </w:tcPr>
          <w:p>
            <w:pPr>
              <w:jc w:val="center"/>
            </w:pPr>
            <w:r>
              <w:rPr>
                <w:sz w:val="18"/>
              </w:rPr>
              <w:t xml:space="preserve">2023</w:t>
            </w:r>
          </w:p>
        </w:tc>
        <w:tc>
          <w:tcPr>
            <w:tcW w:w="6300" w:type="dxa"/>
          </w:tcPr>
          <w:p>
            <w:pPr/>
            <w:r>
              <w:rPr>
                <w:sz w:val="18"/>
              </w:rPr>
              <w:t xml:space="preserve">Sug‘urtalanmagan depozitlar konsentratsiyasi, aktiv va passivlar muddatlarining nomutanosibligi, foiz stavkasi riski; boshqa banklar inqirozining yuqumli ta’siri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EVAL-24-03</w:t>
            </w:r>
          </w:p>
        </w:tc>
      </w:tr>
      <w:tr>
        <w:trPr>
          <w:cantSplit/>
        </w:trPr>
        <w:tc>
          <w:tcPr>
            <w:tcW w:w="600" w:type="dxa"/>
          </w:tcPr>
          <w:p>
            <w:pPr>
              <w:jc w:val="center"/>
            </w:pPr>
            <w:r>
              <w:rPr>
                <w:sz w:val="18"/>
              </w:rPr>
              <w:t xml:space="preserve">5</w:t>
            </w:r>
          </w:p>
        </w:tc>
        <w:tc>
          <w:tcPr>
            <w:tcW w:w="2700" w:type="dxa"/>
          </w:tcPr>
          <w:p>
            <w:pPr/>
            <w:r>
              <w:rPr>
                <w:sz w:val="18"/>
              </w:rPr>
              <w:t xml:space="preserve">Heartland Tri-State Bank (AQSh)</w:t>
            </w:r>
          </w:p>
        </w:tc>
        <w:tc>
          <w:tcPr>
            <w:tcW w:w="700" w:type="dxa"/>
          </w:tcPr>
          <w:p>
            <w:pPr>
              <w:jc w:val="center"/>
            </w:pPr>
            <w:r>
              <w:rPr>
                <w:sz w:val="18"/>
              </w:rPr>
              <w:t xml:space="preserve">2023</w:t>
            </w:r>
          </w:p>
        </w:tc>
        <w:tc>
          <w:tcPr>
            <w:tcW w:w="6300" w:type="dxa"/>
          </w:tcPr>
          <w:p>
            <w:pPr/>
            <w:r>
              <w:rPr>
                <w:sz w:val="18"/>
              </w:rPr>
              <w:t xml:space="preserve">Bosh direktorning firibgarlik bilan bog‘liq 47,1 mln dollarlik pul o‘tkazmalari; ichki nazoratning buzilishi va rahbarning hukmron mavqei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FRT OIG, 2024-SR-B-004</w:t>
            </w:r>
          </w:p>
        </w:tc>
      </w:tr>
      <w:tr>
        <w:trPr>
          <w:cantSplit/>
        </w:trPr>
        <w:tc>
          <w:tcPr>
            <w:tcW w:w="600" w:type="dxa"/>
          </w:tcPr>
          <w:p>
            <w:pPr>
              <w:jc w:val="center"/>
            </w:pPr>
            <w:r>
              <w:rPr>
                <w:sz w:val="18"/>
              </w:rPr>
              <w:t xml:space="preserve">6</w:t>
            </w:r>
          </w:p>
        </w:tc>
        <w:tc>
          <w:tcPr>
            <w:tcW w:w="2700" w:type="dxa"/>
          </w:tcPr>
          <w:p>
            <w:pPr/>
            <w:r>
              <w:rPr>
                <w:sz w:val="18"/>
              </w:rPr>
              <w:t xml:space="preserve">Citizens Bank (AQSh)</w:t>
            </w:r>
          </w:p>
        </w:tc>
        <w:tc>
          <w:tcPr>
            <w:tcW w:w="700" w:type="dxa"/>
          </w:tcPr>
          <w:p>
            <w:pPr>
              <w:jc w:val="center"/>
            </w:pPr>
            <w:r>
              <w:rPr>
                <w:sz w:val="18"/>
              </w:rPr>
              <w:t xml:space="preserve">2023</w:t>
            </w:r>
          </w:p>
        </w:tc>
        <w:tc>
          <w:tcPr>
            <w:tcW w:w="6300" w:type="dxa"/>
          </w:tcPr>
          <w:p>
            <w:pPr/>
            <w:r>
              <w:rPr>
                <w:sz w:val="18"/>
              </w:rPr>
              <w:t xml:space="preserve">Kengash va boshqaruvning sust kreditlash amaliyoti; yirik yuk tashish kompaniyalari kreditlarining yomonlashuvi</w:t>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AEC 24-01</w:t>
            </w:r>
          </w:p>
        </w:tc>
      </w:tr>
      <w:tr>
        <w:trPr>
          <w:cantSplit/>
        </w:trPr>
        <w:tc>
          <w:tcPr>
            <w:tcW w:w="600" w:type="dxa"/>
          </w:tcPr>
          <w:p>
            <w:pPr>
              <w:jc w:val="center"/>
            </w:pPr>
            <w:r>
              <w:rPr>
                <w:sz w:val="18"/>
              </w:rPr>
              <w:t xml:space="preserve">7</w:t>
            </w:r>
          </w:p>
        </w:tc>
        <w:tc>
          <w:tcPr>
            <w:tcW w:w="2700" w:type="dxa"/>
          </w:tcPr>
          <w:p>
            <w:pPr/>
            <w:r>
              <w:rPr>
                <w:sz w:val="18"/>
              </w:rPr>
              <w:t xml:space="preserve">North Channel Bank (Germaniya)</w:t>
            </w:r>
          </w:p>
        </w:tc>
        <w:tc>
          <w:tcPr>
            <w:tcW w:w="700" w:type="dxa"/>
          </w:tcPr>
          <w:p>
            <w:pPr>
              <w:jc w:val="center"/>
            </w:pPr>
            <w:r>
              <w:rPr>
                <w:sz w:val="18"/>
              </w:rPr>
              <w:t xml:space="preserve">2023</w:t>
            </w:r>
          </w:p>
        </w:tc>
        <w:tc>
          <w:tcPr>
            <w:tcW w:w="6300" w:type="dxa"/>
          </w:tcPr>
          <w:p>
            <w:pPr/>
            <w:r>
              <w:rPr>
                <w:sz w:val="18"/>
              </w:rPr>
              <w:t xml:space="preserve">Surunkali zarar va barqaror biznes modelining yo‘qligi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1330" w:type="dxa"/>
          </w:tcPr>
          <w:p>
            <w:pPr/>
            <w:r>
              <w:rPr>
                <w:sz w:val="18"/>
              </w:rPr>
              <w:t xml:space="preserve">BaFin</w:t>
            </w:r>
          </w:p>
        </w:tc>
      </w:tr>
      <w:tr>
        <w:trPr>
          <w:cantSplit/>
        </w:trPr>
        <w:tc>
          <w:tcPr>
            <w:tcW w:w="600" w:type="dxa"/>
          </w:tcPr>
          <w:p>
            <w:pPr>
              <w:jc w:val="center"/>
            </w:pPr>
            <w:r>
              <w:rPr>
                <w:sz w:val="18"/>
              </w:rPr>
              <w:t xml:space="preserve">8</w:t>
            </w:r>
          </w:p>
        </w:tc>
        <w:tc>
          <w:tcPr>
            <w:tcW w:w="2700" w:type="dxa"/>
          </w:tcPr>
          <w:p>
            <w:pPr/>
            <w:r>
              <w:rPr>
                <w:sz w:val="18"/>
              </w:rPr>
              <w:t xml:space="preserve">SVB UK (Buyuk Britaniya)</w:t>
            </w:r>
          </w:p>
        </w:tc>
        <w:tc>
          <w:tcPr>
            <w:tcW w:w="700" w:type="dxa"/>
          </w:tcPr>
          <w:p>
            <w:pPr>
              <w:jc w:val="center"/>
            </w:pPr>
            <w:r>
              <w:rPr>
                <w:sz w:val="18"/>
              </w:rPr>
              <w:t xml:space="preserve">2023</w:t>
            </w:r>
          </w:p>
        </w:tc>
        <w:tc>
          <w:tcPr>
            <w:tcW w:w="6300" w:type="dxa"/>
          </w:tcPr>
          <w:p>
            <w:pPr/>
            <w:r>
              <w:rPr>
                <w:sz w:val="18"/>
              </w:rPr>
              <w:t xml:space="preserve">Bosh bank inqirozi sababli depozitlar oqimi va likvidlik tanqisligi; mijozlar bazasining texnologiya sohasida konsentratsiyasi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Angliya banki</w:t>
            </w:r>
          </w:p>
        </w:tc>
      </w:tr>
      <w:tr>
        <w:trPr>
          <w:cantSplit/>
        </w:trPr>
        <w:tc>
          <w:tcPr>
            <w:tcW w:w="600" w:type="dxa"/>
          </w:tcPr>
          <w:p>
            <w:pPr>
              <w:jc w:val="center"/>
            </w:pPr>
            <w:r>
              <w:rPr>
                <w:sz w:val="18"/>
              </w:rPr>
              <w:t xml:space="preserve">9</w:t>
            </w:r>
          </w:p>
        </w:tc>
        <w:tc>
          <w:tcPr>
            <w:tcW w:w="2700" w:type="dxa"/>
          </w:tcPr>
          <w:p>
            <w:pPr/>
            <w:r>
              <w:rPr>
                <w:sz w:val="18"/>
              </w:rPr>
              <w:t xml:space="preserve">Republic First Bank (AQSh)</w:t>
            </w:r>
          </w:p>
        </w:tc>
        <w:tc>
          <w:tcPr>
            <w:tcW w:w="700" w:type="dxa"/>
          </w:tcPr>
          <w:p>
            <w:pPr>
              <w:jc w:val="center"/>
            </w:pPr>
            <w:r>
              <w:rPr>
                <w:sz w:val="18"/>
              </w:rPr>
              <w:t xml:space="preserve">2024</w:t>
            </w:r>
          </w:p>
        </w:tc>
        <w:tc>
          <w:tcPr>
            <w:tcW w:w="6300" w:type="dxa"/>
          </w:tcPr>
          <w:p>
            <w:pPr/>
            <w:r>
              <w:rPr>
                <w:sz w:val="18"/>
              </w:rPr>
              <w:t xml:space="preserve">Muddatigacha saqlanadigan qimmatli qog‘ozlar bo‘yicha zararlarni tan olish (foiz stavkasi riski); kengash va boshqaruvning samarasizligi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EVAL-25-01</w:t>
            </w:r>
          </w:p>
        </w:tc>
      </w:tr>
      <w:tr>
        <w:trPr>
          <w:cantSplit/>
        </w:trPr>
        <w:tc>
          <w:tcPr>
            <w:tcW w:w="600" w:type="dxa"/>
          </w:tcPr>
          <w:p>
            <w:pPr>
              <w:jc w:val="center"/>
            </w:pPr>
            <w:r>
              <w:rPr>
                <w:sz w:val="18"/>
              </w:rPr>
              <w:t xml:space="preserve">10</w:t>
            </w:r>
          </w:p>
        </w:tc>
        <w:tc>
          <w:tcPr>
            <w:tcW w:w="2700" w:type="dxa"/>
          </w:tcPr>
          <w:p>
            <w:pPr/>
            <w:r>
              <w:rPr>
                <w:sz w:val="18"/>
              </w:rPr>
              <w:t xml:space="preserve">First National Bank of Lindsay (AQSh)</w:t>
            </w:r>
          </w:p>
        </w:tc>
        <w:tc>
          <w:tcPr>
            <w:tcW w:w="700" w:type="dxa"/>
          </w:tcPr>
          <w:p>
            <w:pPr>
              <w:jc w:val="center"/>
            </w:pPr>
            <w:r>
              <w:rPr>
                <w:sz w:val="18"/>
              </w:rPr>
              <w:t xml:space="preserve">2024</w:t>
            </w:r>
          </w:p>
        </w:tc>
        <w:tc>
          <w:tcPr>
            <w:tcW w:w="6300" w:type="dxa"/>
          </w:tcPr>
          <w:p>
            <w:pPr/>
            <w:r>
              <w:rPr>
                <w:sz w:val="18"/>
              </w:rPr>
              <w:t xml:space="preserve">Ichki nazoratning keskin buzilishi natijasida kredit portfeli va likvid aktivlarga ta’sir qilgan firibgarlik</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OIG-25-024</w:t>
            </w:r>
          </w:p>
        </w:tc>
      </w:tr>
      <w:tr>
        <w:trPr>
          <w:cantSplit/>
        </w:trPr>
        <w:tc>
          <w:tcPr>
            <w:tcW w:w="600" w:type="dxa"/>
          </w:tcPr>
          <w:p>
            <w:pPr>
              <w:jc w:val="center"/>
            </w:pPr>
            <w:r>
              <w:rPr>
                <w:sz w:val="18"/>
              </w:rPr>
              <w:t xml:space="preserve">11</w:t>
            </w:r>
          </w:p>
        </w:tc>
        <w:tc>
          <w:tcPr>
            <w:tcW w:w="2700" w:type="dxa"/>
          </w:tcPr>
          <w:p>
            <w:pPr/>
            <w:r>
              <w:rPr>
                <w:sz w:val="18"/>
              </w:rPr>
              <w:t xml:space="preserve">Pulaski Savings Bank (AQSh)</w:t>
            </w:r>
          </w:p>
        </w:tc>
        <w:tc>
          <w:tcPr>
            <w:tcW w:w="700" w:type="dxa"/>
          </w:tcPr>
          <w:p>
            <w:pPr>
              <w:jc w:val="center"/>
            </w:pPr>
            <w:r>
              <w:rPr>
                <w:sz w:val="18"/>
              </w:rPr>
              <w:t xml:space="preserve">2025</w:t>
            </w:r>
          </w:p>
        </w:tc>
        <w:tc>
          <w:tcPr>
            <w:tcW w:w="6300" w:type="dxa"/>
          </w:tcPr>
          <w:p>
            <w:pPr/>
            <w:r>
              <w:rPr>
                <w:sz w:val="18"/>
              </w:rPr>
              <w:t xml:space="preserve">Kapitalning qadrsizlanishi: buxgalteriya tizimida aks ettirilmagan 20,7 mln dollarlik depozit sertifikatlari; kengash va boshqaruv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REV-25-02, EVAL-26-01</w:t>
            </w:r>
          </w:p>
        </w:tc>
      </w:tr>
      <w:tr>
        <w:trPr>
          <w:cantSplit/>
        </w:trPr>
        <w:tc>
          <w:tcPr>
            <w:tcW w:w="600" w:type="dxa"/>
          </w:tcPr>
          <w:p>
            <w:pPr>
              <w:jc w:val="center"/>
            </w:pPr>
            <w:r>
              <w:rPr>
                <w:sz w:val="18"/>
              </w:rPr>
              <w:t xml:space="preserve">12</w:t>
            </w:r>
          </w:p>
        </w:tc>
        <w:tc>
          <w:tcPr>
            <w:tcW w:w="2700" w:type="dxa"/>
          </w:tcPr>
          <w:p>
            <w:pPr/>
            <w:r>
              <w:rPr>
                <w:sz w:val="18"/>
              </w:rPr>
              <w:t xml:space="preserve">Santa Anna National Bank (AQSh)</w:t>
            </w:r>
          </w:p>
        </w:tc>
        <w:tc>
          <w:tcPr>
            <w:tcW w:w="700" w:type="dxa"/>
          </w:tcPr>
          <w:p>
            <w:pPr>
              <w:jc w:val="center"/>
            </w:pPr>
            <w:r>
              <w:rPr>
                <w:sz w:val="18"/>
              </w:rPr>
              <w:t xml:space="preserve">2025</w:t>
            </w:r>
          </w:p>
        </w:tc>
        <w:tc>
          <w:tcPr>
            <w:tcW w:w="6300" w:type="dxa"/>
          </w:tcPr>
          <w:p>
            <w:pPr/>
            <w:r>
              <w:rPr>
                <w:sz w:val="18"/>
              </w:rPr>
              <w:t xml:space="preserve">Ichki nazoratning keskin buzilishi natijasida kredit portfeliga ta’sir qilgan firibgarlik; kengash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OIG-26-023</w:t>
            </w:r>
          </w:p>
        </w:tc>
      </w:tr>
      <w:tr>
        <w:trPr>
          <w:cantSplit/>
        </w:trPr>
        <w:tc>
          <w:tcPr>
            <w:tcW w:w="600" w:type="dxa"/>
            <w:shd w:val="clear" w:color="auto" w:fill="DEEBF7"/>
          </w:tcPr>
          <w:p>
            <w:pPr>
              <w:jc w:val="center"/>
            </w:pPr>
            <w:r>
              <w:rPr>
                <w:b/>
                <w:sz w:val="18"/>
              </w:rPr>
              <w:t xml:space="preserve"/>
            </w:r>
          </w:p>
        </w:tc>
        <w:tc>
          <w:tcPr>
            <w:tcW w:w="2700" w:type="dxa"/>
            <w:shd w:val="clear" w:color="auto" w:fill="DEEBF7"/>
          </w:tcPr>
          <w:p>
            <w:pPr/>
            <w:r>
              <w:rPr>
                <w:b/>
                <w:sz w:val="18"/>
              </w:rPr>
              <w:t xml:space="preserve">Jami, %</w:t>
            </w:r>
          </w:p>
        </w:tc>
        <w:tc>
          <w:tcPr>
            <w:tcW w:w="700" w:type="dxa"/>
            <w:shd w:val="clear" w:color="auto" w:fill="DEEBF7"/>
          </w:tcPr>
          <w:p>
            <w:pPr>
              <w:jc w:val="center"/>
            </w:pPr>
            <w:r>
              <w:rPr>
                <w:b/>
                <w:sz w:val="18"/>
              </w:rPr>
              <w:t xml:space="preserve"/>
            </w:r>
          </w:p>
        </w:tc>
        <w:tc>
          <w:tcPr>
            <w:tcW w:w="6300" w:type="dxa"/>
            <w:shd w:val="clear" w:color="auto" w:fill="DEEBF7"/>
          </w:tcPr>
          <w:p>
            <w:pPr/>
            <w:r>
              <w:rPr>
                <w:b/>
                <w:sz w:val="18"/>
              </w:rPr>
              <w:t xml:space="preserve">12 ta bank bo‘yicha ulush</w:t>
            </w:r>
          </w:p>
        </w:tc>
        <w:tc>
          <w:tcPr>
            <w:tcW w:w="420" w:type="dxa"/>
            <w:shd w:val="clear" w:color="auto" w:fill="DEEBF7"/>
          </w:tcPr>
          <w:p>
            <w:pPr>
              <w:jc w:val="center"/>
            </w:pPr>
            <w:r>
              <w:rPr>
                <w:b/>
                <w:sz w:val="18"/>
              </w:rPr>
              <w:t xml:space="preserve">58</w:t>
            </w:r>
          </w:p>
        </w:tc>
        <w:tc>
          <w:tcPr>
            <w:tcW w:w="420" w:type="dxa"/>
            <w:shd w:val="clear" w:color="auto" w:fill="DEEBF7"/>
          </w:tcPr>
          <w:p>
            <w:pPr>
              <w:jc w:val="center"/>
            </w:pPr>
            <w:r>
              <w:rPr>
                <w:b/>
                <w:sz w:val="18"/>
              </w:rPr>
              <w:t xml:space="preserve">17</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25</w:t>
            </w:r>
          </w:p>
        </w:tc>
        <w:tc>
          <w:tcPr>
            <w:tcW w:w="420" w:type="dxa"/>
            <w:shd w:val="clear" w:color="auto" w:fill="DEEBF7"/>
          </w:tcPr>
          <w:p>
            <w:pPr>
              <w:jc w:val="center"/>
            </w:pPr>
            <w:r>
              <w:rPr>
                <w:b/>
                <w:sz w:val="18"/>
              </w:rPr>
              <w:t xml:space="preserve">8</w:t>
            </w:r>
          </w:p>
        </w:tc>
        <w:tc>
          <w:tcPr>
            <w:tcW w:w="1330" w:type="dxa"/>
            <w:shd w:val="clear" w:color="auto" w:fill="DEEBF7"/>
          </w:tcPr>
          <w:p>
            <w:pPr/>
            <w:r>
              <w:rPr>
                <w:b/>
                <w:sz w:val="18"/>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4">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t xml:space="preserve">Tadqiqot natijasida muallif tomonidan ishlab chiqildi.</w:t>
      </w:r>
    </w:p>
  </w:footnote>
  <w:footnote w:id="249">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7">
    <w:p w:rsidR="00AB61AC" w:rsidRDefault="00AB61AC">
      <w:pPr>
        <w:pStyle w:val="aff9"/>
      </w:pPr>
      <w:r>
        <w:rPr>
          <w:rStyle w:val="aff8"/>
        </w:rPr>
        <w:footnoteRef/>
      </w:r>
      <w:r>
        <w:t xml:space="preserve"> </w:t>
      </w:r>
      <w:r>
        <w:rPr/>
        <w:t xml:space="preserve">Tadqiqot natijasida muallif tomonidan ishlab chiqildi.</w:t>
      </w:r>
    </w:p>
  </w:footnote>
  <w:footnote w:id="268">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1">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2">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7">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t>Aloqabank</w:t>
      </w:r>
      <w:r w:rsidRPr="00E65E68">
        <w:rPr>
          <w:lang w:val="ru-RU"/>
        </w:rPr>
        <w:t xml:space="preserve">” </w:t>
      </w:r>
      <w:r>
        <w:rPr/>
        <w:t>ATB</w:t>
      </w:r>
      <w:r w:rsidRPr="00E65E68">
        <w:rPr>
          <w:lang w:val="ru-RU"/>
        </w:rPr>
        <w:t xml:space="preserve"> </w:t>
      </w:r>
      <w:r>
        <w:rPr/>
        <w:t>ning</w:t>
      </w:r>
      <w:r w:rsidRPr="00E65E68">
        <w:rPr>
          <w:lang w:val="ru-RU"/>
        </w:rPr>
        <w:t xml:space="preserve"> </w:t>
      </w:r>
      <w:r>
        <w:rPr/>
        <w:t>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lang w:val="ru-RU"/>
        </w:rPr>
        <w:t xml:space="preserve">; International Monetary Fund. Republic of Uzbekistan: Financial Sector Assessment Program – Financial System Stability Assessment. IMF Country Report No. 25/145. – Washington, DC: IMF, 2025. – P. 21, 30.</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w:t>
      </w:r>
      <w:r>
        <w:rPr/>
        <w:t xml:space="preserve">P. 37–38; </w:t>
      </w:r>
      <w:r>
        <w:rP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53–55.</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w:t>
      </w:r>
      <w:r>
        <w:rPr>
          <w:color w:val="FF0000"/>
        </w:rPr>
        <w:t xml:space="preserve">2.3.2- va 2.3.4-jadvallar ma’lumotlari</w:t>
      </w:r>
      <w:r>
        <w:t xml:space="preserve"> asosida ishlab chiqildi.</w:t>
      </w:r>
    </w:p>
  </w:footnote>
  <w:footnote w:id="367">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t xml:space="preserve"> Tadqiqot natijasida muallif tomonidan “Aloqabank” ATB ning prudensial hisobot shakllari va MHXS bo‘yicha konsolidatsiyalangan moliyaviy hisobotlari asosida hisoblandi</w:t>
      </w:r>
      <w:r>
        <w:rPr/>
        <w:t xml:space="preserve">.</w:t>
      </w:r>
    </w:p>
  </w:footnote>
  <w:footnote w:id="370">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rPr/>
        <w:t xml:space="preserve"> O‘zbekiston Respublikasi Markaziy banki. Statistik byulleten: 2026-yil mart. – Toshkent, 2026. – 1.2-jadval. – https://cbu.uz/uz/statistics/buleten/</w:t>
      </w:r>
    </w:p>
  </w:footnote>
  <w:footnote w:id="401">
    <w:p w:rsidR="00AB61AC" w:rsidRDefault="00AB61AC">
      <w:pPr>
        <w:pStyle w:val="aff9"/>
      </w:pPr>
      <w:r>
        <w:rPr>
          <w:rStyle w:val="aff8"/>
        </w:rPr>
        <w:footnoteRef/>
      </w:r>
      <w:r>
        <w:t xml:space="preserve"> Tadqiqot natijasida muallif tomonidan 3.1.2-jadval asosida ishlab chiqildi.</w:t>
      </w:r>
    </w:p>
  </w:footnote>
  <w:footnote w:id="402">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6">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8">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9">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0">
    <w:p w:rsidR="00AB61AC" w:rsidRPr="00E65E68" w:rsidRDefault="00AB61AC">
      <w:pPr>
        <w:pStyle w:val="aff9"/>
        <w:rPr>
          <w:lang w:val="ru-RU"/>
        </w:rPr>
      </w:pPr>
      <w:r>
        <w:rPr>
          <w:rStyle w:val="aff8"/>
        </w:rPr>
        <w:footnoteRef/>
      </w:r>
      <w:r>
        <w:t xml:space="preserve"> </w:t>
      </w:r>
      <w:r>
        <w:rPr/>
        <w:t xml:space="preserve">Tadqiqot natijasida muallif tomonidan “O‘zsanoatqurilishbank” ATB (crs003C, crs003L, crs003O), “Mikrokreditbank” ATB (crs005C, crs005L, crs005O) va “Aloqabank” ATB (crs031C, crs031L, crs031O) ning Markaziy bankka taqdim etilgan prudensial hisobot shakllari asosida, 2025-yil 31-dekabr holatiga hisoblandi.</w:t>
      </w:r>
    </w:p>
  </w:footnote>
  <w:footnote w:id="411">
    <w:p w:rsidR="00AB61AC" w:rsidRDefault="00AB61AC">
      <w:pPr>
        <w:pStyle w:val="aff9"/>
      </w:pPr>
      <w:r>
        <w:rPr>
          <w:rStyle w:val="aff8"/>
        </w:rPr>
        <w:footnoteRef/>
      </w:r>
      <w:r>
        <w:rPr/>
        <w:t xml:space="preserve"> Tadqiqot natijasida muallif tomonidan quyidagi manbalar asosida hisoblandi: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 Joint Stock Commercial “Aloqabank” and its subsidiaries: Consolidated Financial Statements and Independent Auditor’s Report, 31 December 2025. – Tashkent: Audit Organization “PricewaterhouseCoopers” LLC, 2026. – P. 1–2, 35, 55, 64–65.</w:t>
      </w:r>
    </w:p>
  </w:footnote>
  <w:footnote w:id="412">
    <w:p w:rsidR="00AB61AC" w:rsidRDefault="00AB61AC">
      <w:pPr>
        <w:pStyle w:val="aff9"/>
      </w:pPr>
      <w:r>
        <w:rPr>
          <w:rStyle w:val="aff8"/>
        </w:rPr>
        <w:footnoteRef/>
      </w:r>
      <w:r>
        <w:rPr>
          <w:color w:val="FF0000"/>
        </w:rPr>
        <w:t xml:space="preserve"> Tadqiqot natijasida muallif tomonidan banklarning Markaziy bankka taqdim etilgan prudensial hisobot shakllari va MHXS bo‘yicha moliyaviy hisobotlari asosida hisoblandi.</w:t>
      </w:r>
    </w:p>
  </w:footnote>
  <w:footnote w:id="413">
    <w:p w:rsidR="00AB61AC" w:rsidRDefault="00AB61AC">
      <w:pPr>
        <w:pStyle w:val="aff9"/>
      </w:pPr>
      <w:r>
        <w:rPr>
          <w:rStyle w:val="aff8"/>
        </w:rPr>
        <w:footnoteRef/>
      </w:r>
      <w:r>
        <w:t xml:space="preserve"> Tadqiqot natijasida muallif tomonidan 3.1.3 va 3.1.5-jadvallar ma’lumotlari asosida hisoblandi.</w:t>
      </w:r>
    </w:p>
  </w:footnote>
  <w:footnote w:id="41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5">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6">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7">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8">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9">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20">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3">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4">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5">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6">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7">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r>
        <w:rPr>
          <w:color w:val="FF0000"/>
        </w:rPr>
        <w:t xml:space="preserve"> 2021–2023-yillar ko‘rsatkichlari esa shu banklarning 2022, 2023 va 2024-yillar uchun auditdan o‘tgan konsolidatsiyalangan moliyaviy hisobotlaridagi qiyosiy (qayta hisoblangan) ma’lumotlardan olindi.</w:t>
      </w:r>
    </w:p>
  </w:footnote>
  <w:footnote w:id="4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0">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1">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4">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8">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0">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9">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0">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1">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2">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3">
    <w:p w:rsidR="00AB61AC" w:rsidRDefault="00AB61AC">
      <w:pPr>
        <w:pStyle w:val="aff9"/>
      </w:pPr>
      <w:r>
        <w:rPr>
          <w:rStyle w:val="aff8"/>
        </w:rPr>
        <w:footnoteRef/>
      </w:r>
      <w:r>
        <w:t xml:space="preserve"> Roy A.D. Safety First and the Holding of Assets // Econometrica. – 1952. – Vol. 20, No. 3. – P. 431–449.</w:t>
      </w:r>
    </w:p>
  </w:footnote>
  <w:footnote w:id="454">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5">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Baltagi B.H. Econometric Analysis of Panel Data. – 6th ed. – Cham: Springer, 2021.</w:t>
      </w:r>
    </w:p>
  </w:footnote>
  <w:footnote w:id="461">
    <w:p w:rsidR="00AB61AC" w:rsidRDefault="00AB61AC">
      <w:pPr>
        <w:pStyle w:val="aff9"/>
      </w:pPr>
      <w:r>
        <w:rPr>
          <w:rStyle w:val="aff8"/>
        </w:rPr>
        <w:footnoteRef/>
      </w:r>
      <w:r>
        <w:t xml:space="preserve"> Wooldridge J.M. Econometric Analysis of Cross Section and Panel Data. – 2nd ed. – Cambridge, MA: MIT Press, 2010.</w:t>
      </w:r>
    </w:p>
  </w:footnote>
  <w:footnote w:id="462">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3">
    <w:p w:rsidR="00AB61AC" w:rsidRDefault="00AB61AC">
      <w:pPr>
        <w:pStyle w:val="aff9"/>
      </w:pPr>
      <w:r>
        <w:rPr>
          <w:rStyle w:val="aff8"/>
        </w:rPr>
        <w:footnoteRef/>
      </w:r>
      <w:r>
        <w:t xml:space="preserve"> Hausman J.A. Specification Tests in Econometrics // Econometrica. – 1978. – Vol. 46, No. 6. – P. 1251–1271.</w:t>
      </w:r>
    </w:p>
  </w:footnote>
  <w:footnote w:id="464">
    <w:p w:rsidR="00AB61AC" w:rsidRDefault="00AB61AC">
      <w:pPr>
        <w:pStyle w:val="aff9"/>
      </w:pPr>
      <w:r>
        <w:rPr>
          <w:rStyle w:val="aff8"/>
        </w:rPr>
        <w:footnoteRef/>
      </w:r>
      <w:r>
        <w:t xml:space="preserve"> Nickell S. Biases in Dynamic Models with Fixed Effects // Econometrica. – 1981. – Vol. 49, No. 6. – P. 1417–1426.</w:t>
      </w:r>
    </w:p>
  </w:footnote>
  <w:footnote w:id="465">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6">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9">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4">
    <w:p w:rsidR="00AB61AC" w:rsidRDefault="00AB61AC">
      <w:pPr>
        <w:pStyle w:val="aff9"/>
      </w:pPr>
      <w:r>
        <w:rPr>
          <w:rStyle w:val="aff8"/>
        </w:rPr>
        <w:footnoteRef/>
      </w:r>
      <w:r>
        <w:t xml:space="preserve"> Tadqiqot natijasida muallif tomonidan 3.3.2-jadvalda ko‘rsatilgan manbalar ma’lumotlari asosida hisoblandi.</w:t>
      </w:r>
    </w:p>
  </w:footnote>
  <w:footnote w:id="475">
    <w:p w:rsidR="00AB61AC" w:rsidRDefault="00AB61AC">
      <w:pPr>
        <w:pStyle w:val="aff9"/>
      </w:pPr>
      <w:r>
        <w:rPr>
          <w:rStyle w:val="aff8"/>
        </w:rPr>
        <w:footnoteRef/>
      </w:r>
      <w:r>
        <w:rPr/>
        <w:t xml:space="preserve"> Nickell S. Biases in Dynamic Models with Fixed Effects // Econometrica. – 1981. – Vol. 49, No. 6. – P. 1417–1426.</w:t>
      </w:r>
    </w:p>
  </w:footnote>
  <w:footnote w:id="47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7">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8">
    <w:p w:rsidR="00AB61AC" w:rsidRDefault="00AB61AC">
      <w:pPr>
        <w:pStyle w:val="aff9"/>
      </w:pPr>
      <w:r>
        <w:rPr>
          <w:rStyle w:val="aff8"/>
        </w:rPr>
        <w:footnoteRef/>
      </w:r>
      <w:r>
        <w:t xml:space="preserve"> Tadqiqot natijasida muallif tomonidan 3.3.3–3.3.6-jadvallar ma’lumotlari asosida ishlab chiqildi.</w:t>
      </w:r>
    </w:p>
  </w:footnote>
  <w:footnote w:id="479">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0">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1">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0">
    <w:p w:rsidR="00AB61AC" w:rsidRDefault="00AB61AC">
      <w:pPr>
        <w:pStyle w:val="aff9"/>
      </w:pPr>
      <w:r>
        <w:rPr>
          <w:rStyle w:val="aff8"/>
        </w:rPr>
        <w:footnoteRef/>
      </w:r>
      <w:r>
        <w:t xml:space="preserve"> Fawcett T. An introduction to ROC analysis // Pattern Recognition Letters. – 2006. – Vol. 27, No. 8. – P. 861–874.</w:t>
      </w:r>
    </w:p>
  </w:footnote>
  <w:footnote w:id="491">
    <w:p w:rsidR="00AB61AC" w:rsidRDefault="00AB61AC">
      <w:pPr>
        <w:pStyle w:val="aff9"/>
      </w:pPr>
      <w:r>
        <w:rPr>
          <w:rStyle w:val="aff8"/>
        </w:rPr>
        <w:footnoteRef/>
      </w:r>
      <w:r>
        <w:t xml:space="preserve"> Hosmer D.W., Lemeshow S., Sturdivant R.X. Applied Logistic Regression. – 3rd ed. – Hoboken, NJ: John Wiley &amp; Sons, 2013.</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Hosmer D.W., Lemeshow S., Sturdivant R.X. Applied Logistic Regression. – 3rd ed. – Hoboken, NJ: John Wiley &amp; Sons, 2013.</w:t>
      </w:r>
    </w:p>
  </w:footnote>
  <w:footnote w:id="49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3">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6">
    <w:p w:rsidR="00AB61AC" w:rsidRDefault="00AB61AC">
      <w:pPr>
        <w:pStyle w:val="aff9"/>
      </w:pPr>
      <w:r>
        <w:rPr>
          <w:rStyle w:val="aff8"/>
        </w:rPr>
        <w:footnoteRef/>
      </w:r>
      <w:r>
        <w:t xml:space="preserve"> Tadqiqot natijasida muallif tomonidan 4.1.3–4.1.5-jadvallar ma’lumotlari asosida ishlab chiqildi.</w:t>
      </w:r>
    </w:p>
  </w:footnote>
  <w:footnote w:id="507">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8">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9">
    <w:p w:rsidR="00AB61AC" w:rsidRDefault="00AB61AC">
      <w:pPr>
        <w:pStyle w:val="aff9"/>
      </w:pPr>
      <w:r>
        <w:rPr>
          <w:rStyle w:val="aff8"/>
        </w:rPr>
        <w:footnoteRef/>
      </w:r>
      <w:r>
        <w:t xml:space="preserve"> Basel Committee on Banking Supervision. Stress testing principles. – Basel: BIS, October 2018.</w:t>
      </w:r>
    </w:p>
  </w:footnote>
  <w:footnote w:id="51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1">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6">
    <w:p w:rsidR="00AB61AC" w:rsidRDefault="00AB61AC">
      <w:pPr>
        <w:pStyle w:val="aff9"/>
      </w:pPr>
      <w:r>
        <w:rPr>
          <w:rStyle w:val="aff8"/>
        </w:rPr>
        <w:footnoteRef/>
      </w:r>
      <w:r>
        <w:t xml:space="preserve"> Tadqiqot natijasida muallif tomonidan 4.2.2-jadvalda ko‘rsatilgan manbalar ma’lumotlari asosida hisoblandi.</w:t>
      </w:r>
    </w:p>
  </w:footnote>
  <w:footnote w:id="517">
    <w:p w:rsidR="00AB61AC" w:rsidRDefault="00AB61AC">
      <w:pPr>
        <w:pStyle w:val="aff9"/>
      </w:pPr>
      <w:r>
        <w:rPr>
          <w:rStyle w:val="aff8"/>
        </w:rPr>
        <w:footnoteRef/>
      </w:r>
      <w:r>
        <w:t xml:space="preserve"> Basel Committee on Banking Supervision. Stress testing principles. – Basel: BIS, October 2018.</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3">
    <w:p w:rsidR="00AB61AC" w:rsidRDefault="00AB61AC">
      <w:pPr>
        <w:pStyle w:val="aff9"/>
      </w:pPr>
      <w:r>
        <w:rPr>
          <w:rStyle w:val="aff8"/>
        </w:rPr>
        <w:footnoteRef/>
      </w:r>
      <w:r>
        <w:t xml:space="preserve"> Tadqiqot natijasida muallif tomonidan 4.2.6-jadval ma’lumotlari asosida ishlab chiqildi.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2">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4">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5">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9">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5">
    <w:p w:rsidR="00AB61AC" w:rsidRDefault="00AB61AC">
      <w:pPr>
        <w:pStyle w:val="aff9"/>
      </w:pPr>
      <w:r>
        <w:rPr>
          <w:rStyle w:val="aff8"/>
        </w:rPr>
        <w:footnoteRef/>
      </w:r>
      <w:r>
        <w:t xml:space="preserve"> Tadqiqot natijasida muallif tomonidan ishlab chiqildi.</w:t>
      </w:r>
    </w:p>
  </w:footnote>
  <w:footnote w:id="546">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 w:id="547">
    <w:p w:rsidR="00AB61AC" w:rsidRDefault="00AB61AC">
      <w:pPr>
        <w:pStyle w:val="aff9"/>
      </w:pPr>
      <w:r>
        <w:rPr>
          <w:rStyle w:val="aff8"/>
        </w:rPr>
        <w:footnoteRef/>
      </w:r>
      <w:r>
        <w:t xml:space="preserve"> Tadqiqot natijasida muallif tomonidan 3.1.5-jadval ma’lumotlari asosida ishlab chiqildi.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 Id="rId51" Type="http://schemas.openxmlformats.org/officeDocument/2006/relationships/chart" Target="charts/chart30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_rels/chart301.xml.rels><?xml version='1.0' encoding='UTF-8' standalone='yes'?>
<Relationships xmlns="http://schemas.openxmlformats.org/package/2006/relationships"><Relationship Id="rId1" Type="http://schemas.openxmlformats.org/officeDocument/2006/relationships/package" Target="../embeddings/Microsoft_Excel_Worksheet30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Qoldiriladigan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ser>
          <c:idx val="2"/>
          <c:order val="2"/>
          <c:tx>
            <c:strRef>
              <c:f>Sheet1!$F$1</c:f>
              <c:strCache>
                <c:ptCount val="1"/>
                <c:pt idx="0">
                  <c:v>Pog‘ona darajasi</c:v>
                </c:pt>
              </c:strCache>
            </c:strRef>
          </c:tx>
          <c:spPr>
            <a:ln>
              <a:noFill/>
            </a:ln>
          </c:spPr>
          <c:marker>
            <c:symbol val="none"/>
          </c:marker>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100 %</a:t>
                    </a:r>
                  </a:p>
                </c:rich>
              </c:tx>
              <c:spPr>
                <a:noFill/>
                <a:ln>
                  <a:noFill/>
                </a:ln>
              </c:spPr>
              <c:dLblPos val="t"/>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80 %</a:t>
                    </a:r>
                  </a:p>
                </c:rich>
              </c:tx>
              <c:spPr>
                <a:noFill/>
                <a:ln>
                  <a:noFill/>
                </a:ln>
              </c:spPr>
              <c:dLblPos val="t"/>
              <c:showLegendKey val="0"/>
              <c:showVal val="1"/>
              <c:showCatName val="0"/>
              <c:showSerName val="0"/>
              <c:showPercent val="0"/>
              <c:showBubbleSize val="0"/>
            </c:dLbl>
            <c:dLbl>
              <c:idx val="2"/>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60 %</a:t>
                    </a:r>
                  </a:p>
                </c:rich>
              </c:tx>
              <c:spPr>
                <a:noFill/>
                <a:ln>
                  <a:noFill/>
                </a:ln>
              </c:spPr>
              <c:dLblPos val="t"/>
              <c:showLegendKey val="0"/>
              <c:showVal val="1"/>
              <c:showCatName val="0"/>
              <c:showSerName val="0"/>
              <c:showPercent val="0"/>
              <c:showBubbleSize val="0"/>
            </c:dLbl>
            <c:dLbl>
              <c:idx val="3"/>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40 %</a:t>
                    </a:r>
                  </a:p>
                </c:rich>
              </c:tx>
              <c:spPr>
                <a:noFill/>
                <a:ln>
                  <a:noFill/>
                </a:ln>
              </c:spPr>
              <c:dLblPos val="t"/>
              <c:showLegendKey val="0"/>
              <c:showVal val="1"/>
              <c:showCatName val="0"/>
              <c:showSerName val="0"/>
              <c:showPercent val="0"/>
              <c:showBubbleSize val="0"/>
            </c:dLbl>
            <c:dLbl>
              <c:idx val="4"/>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0 %</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Sheet1!$E$2:$E$6</c:f>
              <c:numCache>
                <c:formatCode>General</c:formatCode>
                <c:ptCount val="5"/>
                <c:pt idx="0">
                  <c:v>4.8125</c:v>
                </c:pt>
                <c:pt idx="1">
                  <c:v>5.4375</c:v>
                </c:pt>
                <c:pt idx="2">
                  <c:v>6.0625</c:v>
                </c:pt>
                <c:pt idx="3">
                  <c:v>6.6875</c:v>
                </c:pt>
                <c:pt idx="4">
                  <c:v>7.3125</c:v>
                </c:pt>
              </c:numCache>
            </c:numRef>
          </c:xVal>
          <c:yVal>
            <c:numRef>
              <c:f>Sheet1!$F$2:$F$6</c:f>
              <c:numCache>
                <c:formatCode>General</c:formatCode>
                <c:ptCount val="5"/>
                <c:pt idx="0">
                  <c:v>100</c:v>
                </c:pt>
                <c:pt idx="1">
                  <c:v>80</c:v>
                </c:pt>
                <c:pt idx="2">
                  <c:v>60</c:v>
                </c:pt>
                <c:pt idx="3">
                  <c:v>40</c:v>
                </c:pt>
                <c:pt idx="4">
                  <c:v>0</c:v>
                </c:pt>
              </c:numCache>
            </c:numRef>
          </c:yVal>
          <c:smooth val="0"/>
        </c:ser>
        <c:ser>
          <c:idx val="3"/>
          <c:order val="3"/>
          <c:tx>
            <c:strRef>
              <c:f>Sheet1!$H$1</c:f>
              <c:strCache>
                <c:ptCount val="1"/>
                <c:pt idx="0">
                  <c:v>X qiymatlari</c:v>
                </c:pt>
              </c:strCache>
            </c:strRef>
          </c:tx>
          <c:spPr>
            <a:ln>
              <a:noFill/>
            </a:ln>
          </c:spPr>
          <c:marker>
            <c:symbol val="none"/>
          </c:marker>
          <c:dLbls>
            <c:dLbl>
              <c:idx val="0"/>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4,5</a:t>
                    </a:r>
                  </a:p>
                </c:rich>
              </c:tx>
              <c:spPr>
                <a:noFill/>
                <a:ln>
                  <a:noFill/>
                </a:ln>
              </c:spPr>
              <c:dLblPos val="b"/>
              <c:showLegendKey val="0"/>
              <c:showVal val="1"/>
              <c:showCatName val="0"/>
              <c:showSerName val="0"/>
              <c:showPercent val="0"/>
              <c:showBubbleSize val="0"/>
            </c:dLbl>
            <c:dLbl>
              <c:idx val="1"/>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5,125</a:t>
                    </a:r>
                  </a:p>
                </c:rich>
              </c:tx>
              <c:spPr>
                <a:noFill/>
                <a:ln>
                  <a:noFill/>
                </a:ln>
              </c:spPr>
              <c:dLblPos val="b"/>
              <c:showLegendKey val="0"/>
              <c:showVal val="1"/>
              <c:showCatName val="0"/>
              <c:showSerName val="0"/>
              <c:showPercent val="0"/>
              <c:showBubbleSize val="0"/>
            </c:dLbl>
            <c:dLbl>
              <c:idx val="2"/>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5,75</a:t>
                    </a:r>
                  </a:p>
                </c:rich>
              </c:tx>
              <c:spPr>
                <a:noFill/>
                <a:ln>
                  <a:noFill/>
                </a:ln>
              </c:spPr>
              <c:dLblPos val="b"/>
              <c:showLegendKey val="0"/>
              <c:showVal val="1"/>
              <c:showCatName val="0"/>
              <c:showSerName val="0"/>
              <c:showPercent val="0"/>
              <c:showBubbleSize val="0"/>
            </c:dLbl>
            <c:dLbl>
              <c:idx val="3"/>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6,375</a:t>
                    </a:r>
                  </a:p>
                </c:rich>
              </c:tx>
              <c:spPr>
                <a:noFill/>
                <a:ln>
                  <a:noFill/>
                </a:ln>
              </c:spPr>
              <c:dLblPos val="b"/>
              <c:showLegendKey val="0"/>
              <c:showVal val="1"/>
              <c:showCatName val="0"/>
              <c:showSerName val="0"/>
              <c:showPercent val="0"/>
              <c:showBubbleSize val="0"/>
            </c:dLbl>
            <c:dLbl>
              <c:idx val="4"/>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7,0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xVal>
            <c:numRef>
              <c:f>Sheet1!$G$2:$G$6</c:f>
              <c:numCache>
                <c:formatCode>General</c:formatCode>
                <c:ptCount val="5"/>
                <c:pt idx="0">
                  <c:v>4.5</c:v>
                </c:pt>
                <c:pt idx="1">
                  <c:v>5.125</c:v>
                </c:pt>
                <c:pt idx="2">
                  <c:v>5.75</c:v>
                </c:pt>
                <c:pt idx="3">
                  <c:v>6.375</c:v>
                </c:pt>
                <c:pt idx="4">
                  <c:v>7.0</c:v>
                </c:pt>
              </c:numCache>
            </c:numRef>
          </c:xVal>
          <c:yVal>
            <c:numRef>
              <c:f>Sheet1!$H$2:$H$6</c:f>
              <c:numCache>
                <c:formatCode>General</c:formatCode>
                <c:ptCount val="5"/>
                <c:pt idx="0">
                  <c:v>0</c:v>
                </c:pt>
                <c:pt idx="1">
                  <c:v>0</c:v>
                </c:pt>
                <c:pt idx="2">
                  <c:v>0</c:v>
                </c:pt>
                <c:pt idx="3">
                  <c:v>0</c:v>
                </c:pt>
                <c:pt idx="4">
                  <c:v>0</c:v>
                </c:pt>
              </c:numCache>
            </c:numRef>
          </c:yVal>
          <c:smooth val="0"/>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legendEntry>
        <c:idx val="2"/>
        <c:delete val="1"/>
      </c:legendEntry>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2.95</c:v>
                </c:pt>
                <c:pt idx="1">
                  <c:v>2.81</c:v>
                </c:pt>
                <c:pt idx="2">
                  <c:v>2.77</c:v>
                </c:pt>
                <c:pt idx="3">
                  <c:v>3.3</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 sifati</c:v>
                </c:pt>
              </c:strCache>
            </c:strRef>
          </c:tx>
          <c:spPr>
            <a:solidFill>
              <a:srgbClr val="1F4E79"/>
            </a:solidFill>
            <a:ln w="6350">
              <a:solidFill>
                <a:srgbClr val="FFFFFF"/>
              </a:solidFill>
            </a:ln>
          </c:spPr>
          <c:invertIfNegative val="0"/>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+195,7</a:t>
                    </a:r>
                  </a:p>
                </c:rich>
              </c:tx>
              <c:spPr>
                <a:noFill/>
                <a:ln>
                  <a:noFill/>
                </a:ln>
              </c:spPr>
              <c:dLblPos val="outEnd"/>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+44,2</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Sheet1!$B$2:$B$8</c:f>
              <c:numCache>
                <c:formatCode>General</c:formatCode>
                <c:ptCount val="7"/>
                <c:pt idx="0">
                  <c:v>195.7</c:v>
                </c:pt>
                <c:pt idx="1">
                  <c:v>44.2</c:v>
                </c:pt>
              </c:numCache>
            </c:numRef>
          </c:val>
        </c:ser>
        <c:ser>
          <c:idx val="1"/>
          <c:order val="1"/>
          <c:tx>
            <c:strRef>
              <c:f>Sheet1!$C$1</c:f>
              <c:strCache>
                <c:ptCount val="1"/>
                <c:pt idx="0">
                  <c:v>Daromadlilik</c:v>
                </c:pt>
              </c:strCache>
            </c:strRef>
          </c:tx>
          <c:spPr>
            <a:solidFill>
              <a:srgbClr val="C55A11"/>
            </a:solidFill>
            <a:ln w="6350">
              <a:solidFill>
                <a:srgbClr val="FFFFFF"/>
              </a:solidFill>
            </a:ln>
          </c:spPr>
          <c:invertIfNegative val="0"/>
          <c:dLbls>
            <c:dLbl>
              <c:idx val="2"/>
              <c:tx>
                <c:rich>
                  <a:bodyPr/>
                  <a:lstStyle/>
                  <a:p>
                    <a:pPr>
                      <a:defRPr sz="1050" b="1">
                        <a:solidFill>
                          <a:srgbClr val="C55A11"/>
                        </a:solidFill>
                        <a:latin typeface="Times New Roman"/>
                        <a:cs typeface="Times New Roman"/>
                      </a:defRPr>
                    </a:pPr>
                    <a:r>
                      <a:rPr lang="uz-Latn-UZ" sz="1050" b="1">
                        <a:solidFill>
                          <a:srgbClr val="C55A11"/>
                        </a:solidFill>
                        <a:latin typeface="Times New Roman"/>
                        <a:cs typeface="Times New Roman"/>
                      </a:rPr>
                      <a:t>−17,9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Sheet1!$C$2:$C$8</c:f>
              <c:numCache>
                <c:formatCode>General</c:formatCode>
                <c:ptCount val="7"/>
                <c:pt idx="2">
                  <c:v>-17.9</c:v>
                </c:pt>
              </c:numCache>
            </c:numRef>
          </c:val>
        </c:ser>
        <c:ser>
          <c:idx val="2"/>
          <c:order val="2"/>
          <c:tx>
            <c:strRef>
              <c:f>Sheet1!$D$1</c:f>
              <c:strCache>
                <c:ptCount val="1"/>
                <c:pt idx="0">
                  <c:v>Kapital</c:v>
                </c:pt>
              </c:strCache>
            </c:strRef>
          </c:tx>
          <c:spPr>
            <a:solidFill>
              <a:srgbClr val="548235"/>
            </a:solidFill>
            <a:ln w="6350">
              <a:solidFill>
                <a:srgbClr val="FFFFFF"/>
              </a:solidFill>
            </a:ln>
          </c:spPr>
          <c:invertIfNegative val="0"/>
          <c:dLbls>
            <c:dLbl>
              <c:idx val="3"/>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−13,5</a:t>
                    </a:r>
                  </a:p>
                </c:rich>
              </c:tx>
              <c:spPr>
                <a:noFill/>
                <a:ln>
                  <a:noFill/>
                </a:ln>
              </c:spPr>
              <c:dLblPos val="outEnd"/>
              <c:showLegendKey val="0"/>
              <c:showVal val="1"/>
              <c:showCatName val="0"/>
              <c:showSerName val="0"/>
              <c:showPercent val="0"/>
              <c:showBubbleSize val="0"/>
            </c:dLbl>
            <c:dLbl>
              <c:idx val="4"/>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Sheet1!$D$2:$D$8</c:f>
              <c:numCache>
                <c:formatCode>General</c:formatCode>
                <c:ptCount val="7"/>
                <c:pt idx="3">
                  <c:v>-13.5</c:v>
                </c:pt>
                <c:pt idx="4">
                  <c:v>-13.1</c:v>
                </c:pt>
              </c:numCache>
            </c:numRef>
          </c:val>
        </c:ser>
        <c:ser>
          <c:idx val="3"/>
          <c:order val="3"/>
          <c:tx>
            <c:strRef>
              <c:f>Sheet1!$E$1</c:f>
              <c:strCache>
                <c:ptCount val="1"/>
                <c:pt idx="0">
                  <c:v>Likvidlik</c:v>
                </c:pt>
              </c:strCache>
            </c:strRef>
          </c:tx>
          <c:spPr>
            <a:solidFill>
              <a:srgbClr val="7F6000"/>
            </a:solidFill>
            <a:ln w="6350">
              <a:solidFill>
                <a:srgbClr val="FFFFFF"/>
              </a:solidFill>
            </a:ln>
          </c:spPr>
          <c:invertIfNegative val="0"/>
          <c:dLbls>
            <c:dLbl>
              <c:idx val="5"/>
              <c:tx>
                <c:rich>
                  <a:bodyPr/>
                  <a:lstStyle/>
                  <a:p>
                    <a:pPr>
                      <a:defRPr sz="1050" b="1">
                        <a:solidFill>
                          <a:srgbClr val="7F6000"/>
                        </a:solidFill>
                        <a:latin typeface="Times New Roman"/>
                        <a:cs typeface="Times New Roman"/>
                      </a:defRPr>
                    </a:pPr>
                    <a:r>
                      <a:rPr lang="uz-Latn-UZ" sz="1050" b="1">
                        <a:solidFill>
                          <a:srgbClr val="7F6000"/>
                        </a:solidFill>
                        <a:latin typeface="Times New Roman"/>
                        <a:cs typeface="Times New Roman"/>
                      </a:rPr>
                      <a:t>+2,1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Sheet1!$E$2:$E$8</c:f>
              <c:numCache>
                <c:formatCode>General</c:formatCode>
                <c:ptCount val="7"/>
                <c:pt idx="5">
                  <c:v>2.1</c:v>
                </c:pt>
              </c:numCache>
            </c:numRef>
          </c:val>
        </c:ser>
        <c:ser>
          <c:idx val="4"/>
          <c:order val="4"/>
          <c:tx>
            <c:strRef>
              <c:f>Sheet1!$F$1</c:f>
              <c:strCache>
                <c:ptCount val="1"/>
                <c:pt idx="0">
                  <c:v>Balans hajmi</c:v>
                </c:pt>
              </c:strCache>
            </c:strRef>
          </c:tx>
          <c:spPr>
            <a:solidFill>
              <a:srgbClr val="7F7F7F"/>
            </a:solidFill>
            <a:ln w="6350">
              <a:solidFill>
                <a:srgbClr val="FFFFFF"/>
              </a:solidFill>
            </a:ln>
          </c:spPr>
          <c:invertIfNegative val="0"/>
          <c:dLbls>
            <c:dLbl>
              <c:idx val="6"/>
              <c:tx>
                <c:rich>
                  <a:bodyPr/>
                  <a:lstStyle/>
                  <a:p>
                    <a:pPr>
                      <a:defRPr sz="1050" b="1">
                        <a:solidFill>
                          <a:srgbClr val="7F7F7F"/>
                        </a:solidFill>
                        <a:latin typeface="Times New Roman"/>
                        <a:cs typeface="Times New Roman"/>
                      </a:defRPr>
                    </a:pPr>
                    <a:r>
                      <a:rPr lang="uz-Latn-UZ" sz="1050" b="1">
                        <a:solidFill>
                          <a:srgbClr val="7F7F7F"/>
                        </a:solidFill>
                        <a:latin typeface="Times New Roman"/>
                        <a:cs typeface="Times New Roman"/>
                      </a:rPr>
                      <a:t>−5,1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Sheet1!$F$2:$F$8</c:f>
              <c:numCache>
                <c:formatCode>General</c:formatCode>
                <c:ptCount val="7"/>
                <c:pt idx="6">
                  <c:v>-5.1</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Sheet1!$B$2:$B$7</c:f>
              <c:numCache>
                <c:formatCode>General</c:formatCode>
                <c:ptCount val="6"/>
                <c:pt idx="0">
                  <c:v>3.27</c:v>
                </c:pt>
                <c:pt idx="1">
                  <c:v>2.81</c:v>
                </c:pt>
                <c:pt idx="2">
                  <c:v>3.13</c:v>
                </c:pt>
                <c:pt idx="3">
                  <c:v>2.47</c:v>
                </c:pt>
                <c:pt idx="4">
                  <c:v>3.25</c:v>
                </c:pt>
                <c:pt idx="5">
                  <c:v>2.78</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Sheet1!$C$2:$C$7</c:f>
              <c:numCache>
                <c:formatCode>General</c:formatCode>
                <c:ptCount val="6"/>
                <c:pt idx="0">
                  <c:v>3.06</c:v>
                </c:pt>
                <c:pt idx="1">
                  <c:v>2.73</c:v>
                </c:pt>
                <c:pt idx="2">
                  <c:v>3.07</c:v>
                </c:pt>
                <c:pt idx="3">
                  <c:v>2.58</c:v>
                </c:pt>
                <c:pt idx="4">
                  <c:v>3.11</c:v>
                </c:pt>
                <c:pt idx="5">
                  <c:v>2.73</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Sheet1!$D$2:$D$7</c:f>
              <c:numCache>
                <c:formatCode>General</c:formatCode>
                <c:ptCount val="6"/>
                <c:pt idx="0">
                  <c:v>3.57</c:v>
                </c:pt>
                <c:pt idx="1">
                  <c:v>3.02</c:v>
                </c:pt>
                <c:pt idx="2">
                  <c:v>3.02</c:v>
                </c:pt>
                <c:pt idx="3">
                  <c:v>2.13</c:v>
                </c:pt>
                <c:pt idx="4">
                  <c:v>3.21</c:v>
                </c:pt>
                <c:pt idx="5">
                  <c:v>2.56</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90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tayanch vaznlar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“O‘zsanoatqurilishbank”: milliy hisobot</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3.29</c:v>
                </c:pt>
                <c:pt idx="1">
                  <c:v>3.13</c:v>
                </c:pt>
                <c:pt idx="2">
                  <c:v>3.14</c:v>
                </c:pt>
                <c:pt idx="3">
                  <c:v>3.09</c:v>
                </c:pt>
                <c:pt idx="4">
                  <c:v>3.27</c:v>
                </c:pt>
              </c:numCache>
            </c:numRef>
          </c:val>
          <c:smooth val="0"/>
        </c:ser>
        <c:ser>
          <c:idx val="1"/>
          <c:order val="1"/>
          <c:tx>
            <c:strRef>
              <c:f>Sheet1!$C$1</c:f>
              <c:strCache>
                <c:ptCount val="1"/>
                <c:pt idx="0">
                  <c:v>“O‘zsanoatqurilishbank”: MHXS</c:v>
                </c:pt>
              </c:strCache>
            </c:strRef>
          </c:tx>
          <c:spPr>
            <a:ln w="28575">
              <a:solidFill>
                <a:srgbClr val="2A78D6"/>
              </a:solidFill>
              <a:prstDash val="dash"/>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2.92</c:v>
                </c:pt>
                <c:pt idx="1">
                  <c:v>2.81</c:v>
                </c:pt>
                <c:pt idx="2">
                  <c:v>2.91</c:v>
                </c:pt>
                <c:pt idx="3">
                  <c:v>2.72</c:v>
                </c:pt>
                <c:pt idx="4">
                  <c:v>2.81</c:v>
                </c:pt>
              </c:numCache>
            </c:numRef>
          </c:val>
          <c:smooth val="0"/>
        </c:ser>
        <c:ser>
          <c:idx val="2"/>
          <c:order val="2"/>
          <c:tx>
            <c:strRef>
              <c:f>Sheet1!$D$1</c:f>
              <c:strCache>
                <c:ptCount val="1"/>
                <c:pt idx="0">
                  <c:v>“Mikrokreditbank”: milliy hisobot</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2.81</c:v>
                </c:pt>
                <c:pt idx="1">
                  <c:v>2.79</c:v>
                </c:pt>
                <c:pt idx="2">
                  <c:v>2.65</c:v>
                </c:pt>
                <c:pt idx="3">
                  <c:v>2.78</c:v>
                </c:pt>
                <c:pt idx="4">
                  <c:v>3.13</c:v>
                </c:pt>
              </c:numCache>
            </c:numRef>
          </c:val>
          <c:smooth val="0"/>
        </c:ser>
        <c:ser>
          <c:idx val="3"/>
          <c:order val="3"/>
          <c:tx>
            <c:strRef>
              <c:f>Sheet1!$E$1</c:f>
              <c:strCache>
                <c:ptCount val="1"/>
                <c:pt idx="0">
                  <c:v>“Mikrokreditbank”: MHXS</c:v>
                </c:pt>
              </c:strCache>
            </c:strRef>
          </c:tx>
          <c:spPr>
            <a:ln w="28575">
              <a:solidFill>
                <a:srgbClr val="EB6834"/>
              </a:solidFill>
              <a:prstDash val="dash"/>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2.18</c:v>
                </c:pt>
                <c:pt idx="1">
                  <c:v>2.31</c:v>
                </c:pt>
                <c:pt idx="2">
                  <c:v>2.22</c:v>
                </c:pt>
                <c:pt idx="3">
                  <c:v>2.25</c:v>
                </c:pt>
                <c:pt idx="4">
                  <c:v>2.47</c:v>
                </c:pt>
              </c:numCache>
            </c:numRef>
          </c:val>
          <c:smooth val="0"/>
        </c:ser>
        <c:ser>
          <c:idx val="4"/>
          <c:order val="4"/>
          <c:tx>
            <c:strRef>
              <c:f>Sheet1!$F$1</c:f>
              <c:strCache>
                <c:ptCount val="1"/>
                <c:pt idx="0">
                  <c:v>“Aloqabank”: milliy hisobot</c:v>
                </c:pt>
              </c:strCache>
            </c:strRef>
          </c:tx>
          <c:spPr>
            <a:ln w="28575">
              <a:solidFill>
                <a:srgbClr val="548235"/>
              </a:solidFill>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3.32</c:v>
                </c:pt>
                <c:pt idx="1">
                  <c:v>3.52</c:v>
                </c:pt>
                <c:pt idx="2">
                  <c:v>3.58</c:v>
                </c:pt>
                <c:pt idx="3">
                  <c:v>3.53</c:v>
                </c:pt>
                <c:pt idx="4">
                  <c:v>3.25</c:v>
                </c:pt>
              </c:numCache>
            </c:numRef>
          </c:val>
          <c:smooth val="0"/>
        </c:ser>
        <c:ser>
          <c:idx val="5"/>
          <c:order val="5"/>
          <c:tx>
            <c:strRef>
              <c:f>Sheet1!$G$1</c:f>
              <c:strCache>
                <c:ptCount val="1"/>
                <c:pt idx="0">
                  <c:v>“Aloqabank”: MHXS</c:v>
                </c:pt>
              </c:strCache>
            </c:strRef>
          </c:tx>
          <c:spPr>
            <a:ln w="28575">
              <a:solidFill>
                <a:srgbClr val="548235"/>
              </a:solidFill>
              <a:prstDash val="dash"/>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Tijorat banklari moliyaviy barqarorligini xalqaro standartlar asosida baholash metodologiyasini takomillashtirish</dc:title>
  <dc:subject/>
  <dc:creator>Maxmudov O.T.</dc:creator>
  <cp:keywords/>
  <dc:description/>
  <cp:lastModifiedBy>Maxmudov O.T.</cp:lastModifiedBy>
  <cp:revision>3</cp:revision>
  <dcterms:created xsi:type="dcterms:W3CDTF">2026-10-12T19:11:00Z</dcterms:created>
  <dcterms:modified xsi:type="dcterms:W3CDTF">2026-10-13T09:52:00Z</dcterms:modified>
  <cp:category/>
</cp:coreProperties>
</file>