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r>
      <w:r>
        <w:t>teng bo‘lgan</w:t>
      </w:r>
      <w:r>
        <w:rPr>
          <w:rStyle w:val="aff8"/>
        </w:rPr>
        <w:footnoteReference w:id="260"/>
      </w:r>
      <w:r>
        <w:t>. Muammoli kreditlar ulushi esa 2021-yil oxiridagi 5,2 foizdan 2025-yil oxirida 3,0 foizgacha kamaygan</w:t>
      </w:r>
      <w:r>
        <w:rPr>
          <w:rStyle w:val="aff8"/>
        </w:rPr>
        <w:footnoteReference w:id="261"/>
      </w:r>
      <w:r>
        <w:t xml:space="preserve"> </w:t>
      </w:r>
      <w:r>
        <w:rPr>
          <w:color w:val="FF0000"/>
        </w:rPr>
        <w:t xml:space="preserve">(batafsil tahlil 2.2-paragrafda keltirilgan)</w:t>
      </w:r>
      <w:r>
        <w:t xml:space="preserve">.</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color w:val="FF0000"/>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color w:val="FF0000"/>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color w:val="FF0000"/>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color w:val="FF0000"/>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color w:val="FF0000"/>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color w:val="FF0000"/>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9"/>
      </w:r>
      <w:r>
        <w:rPr>
          <w:rStyle w:val="aff8"/>
        </w:rPr>
        <w:footnoteReference w:id="280"/>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color w:val="FF0000"/>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color w:val="FF0000"/>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color w:val="FF0000"/>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color w:val="FF0000"/>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1"/>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2"/>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3"/>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4"/>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5"/>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6"/>
      </w:r>
      <w:r>
        <w:rPr>
          <w:rStyle w:val="aff8"/>
        </w:rPr>
        <w:footnoteReference w:id="317"/>
      </w:r>
      <w:r>
        <w:t>. Bundan ham muhimi, bankda 2-bosqich, ya’ni kredit riski sezilarli oshgan kreditlar ulushi 2023-yildagi 15,8 foizdan 2024-yilda 27,1 foizga, 2025-yilda esa 35,7 foizga ko‘tarilgan</w:t>
      </w:r>
      <w:r>
        <w:rPr>
          <w:rStyle w:val="aff8"/>
        </w:rPr>
        <w:footnoteReference w:id="318"/>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9"/>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0"/>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1"/>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2"/>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3"/>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4"/>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8"/>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9"/>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0"/>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1"/>
      </w:r>
      <w:r>
        <w:rPr>
          <w:color w:val="FF0000"/>
        </w:rPr>
        <w:t>, “yo‘l xaritasi”ga ko‘ra esa ular Bazel III ga to‘liq moslashtirilib, 2026-yil 1-yanvardan monitoring qilinadi</w:t>
      </w:r>
      <w:r>
        <w:rPr>
          <w:rStyle w:val="aff8"/>
          <w:color w:val="FF0000"/>
        </w:rPr>
        <w:footnoteReference w:id="362"/>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5"/>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7"/>
      </w:r>
      <w:r>
        <w:rPr>
          <w:color w:val="0070C0"/>
        </w:rPr>
        <w:t xml:space="preserve"> va auditdan o‘tgan MHXS bo‘yicha konsolidatsiyalangan moliyaviy hisobotlari</w:t>
      </w:r>
      <w:r>
        <w:rPr>
          <w:rStyle w:val="aff8"/>
          <w:color w:val="0070C0"/>
        </w:rPr>
        <w:footnoteReference w:id="368"/>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0"/>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9"/>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3"/>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4"/>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1"/>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2"/>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1"/>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8"/>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color w:val="FF0000"/>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1–5, 7, 9, 15, 17, 20.</w:t>
      </w:r>
    </w:p>
  </w:footnote>
  <w:footnote w:id="267">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8">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3.</w:t>
      </w:r>
    </w:p>
  </w:footnote>
  <w:footnote w:id="271">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9.</w:t>
      </w:r>
    </w:p>
  </w:footnote>
  <w:footnote w:id="27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color w:val="FF0000"/>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color w:val="FF0000"/>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2.2.1-jadval ma’lumotlari asosida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5">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6">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9">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0">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1.3</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