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«Tijorat banklari moliyaviy barqarorligini xalqaro standartlar asosida baholash metodologiyasini takomillashtirish» (DSc) dissertatsiyasining kamchiliklari</w:t>
      </w:r>
    </w:p>
    <w:p>
      <w:pPr>
        <w:spacing w:after="120"/>
        <w:jc w:val="both"/>
      </w:pPr>
      <w:r>
        <w:rPr>
          <w:rFonts w:ascii="Times New Roman" w:cs="Times New Roman" w:eastAsia="Times New Roman" w:hAnsi="Times New Roman"/>
          <w:b w:val="false"/>
          <w:bCs w:val="false"/>
          <w:sz w:val="22"/>
          <w:szCs w:val="22"/>
        </w:rPr>
        <w:t xml:space="preserve">Muallif: Maxmudov O.T. Tekshirilgan fayl: Dissertatsiya_Maxmudov_O.T.docx. Tuzatilgan nusxa: Dissertatsiya_Maxmudov_O.T_tuzatilgan.docx (o‘zgarishlar yashil rangda belgilangan).</w:t>
      </w:r>
    </w:p>
    <w:p>
      <w:pPr>
        <w:spacing w:after="120"/>
        <w:jc w:val="both"/>
      </w:pPr>
      <w:r>
        <w:rPr>
          <w:rFonts w:ascii="Times New Roman" w:cs="Times New Roman" w:eastAsia="Times New Roman" w:hAnsi="Times New Roman"/>
          <w:b w:val="false"/>
          <w:bCs w:val="false"/>
          <w:sz w:val="22"/>
          <w:szCs w:val="22"/>
        </w:rPr>
        <w:t xml:space="preserve">Jami 49 ta kamchilik: 23 tasi matnda tuzatildi, 6 tasi qisman tuzatildi, 20 tasi muallif hal qilishi kerak. Hisob-kitoblar jadval va diagrammalardagi ma’lumotlar asosida qayta hisoblandi.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
            </w:r>
          </w:p>
        </w:tc>
        <w:tc>
          <w:tcPr>
            <w:tcW w:type="dxa" w:w="81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20"/>
                <w:szCs w:val="20"/>
              </w:rPr>
              <w:t xml:space="preserve">Tuzatildi – matnda yashil rang bilan belgilangan</w:t>
            </w:r>
          </w:p>
        </w:tc>
      </w:tr>
      <w:tr>
        <w:tc>
          <w:tcPr>
            <w:tcW w:type="dxa" w:w="900"/>
            <w:tcBorders>
              <w:top w:val="single" w:color="808080" w:sz="4"/>
              <w:left w:val="single" w:color="808080" w:sz="4"/>
              <w:bottom w:val="single" w:color="808080" w:sz="4"/>
              <w:right w:val="single" w:color="808080" w:sz="4"/>
            </w:tcBorders>
            <w:shd w:fill="FFF2CC" w:color="auto" w:val="clear"/>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
            </w:r>
          </w:p>
        </w:tc>
        <w:tc>
          <w:tcPr>
            <w:tcW w:type="dxa" w:w="81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20"/>
                <w:szCs w:val="20"/>
              </w:rPr>
              <w:t xml:space="preserve">Tuzatildi, tekshiring – tuzatish hujjatdagi ma’lumotlardan kelib chiqqan, muallif tasdiqlashi kerak</w:t>
            </w:r>
          </w:p>
        </w:tc>
      </w:tr>
      <w:tr>
        <w:tc>
          <w:tcPr>
            <w:tcW w:type="dxa" w:w="900"/>
            <w:tcBorders>
              <w:top w:val="single" w:color="808080" w:sz="4"/>
              <w:left w:val="single" w:color="808080" w:sz="4"/>
              <w:bottom w:val="single" w:color="808080" w:sz="4"/>
              <w:right w:val="single" w:color="808080" w:sz="4"/>
            </w:tcBorders>
            <w:shd w:fill="DDEBF7" w:color="auto" w:val="clear"/>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
            </w:r>
          </w:p>
        </w:tc>
        <w:tc>
          <w:tcPr>
            <w:tcW w:type="dxa" w:w="81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20"/>
                <w:szCs w:val="20"/>
              </w:rPr>
              <w:t xml:space="preserve">Qisman tuzatildi – matnga izoh qo‘shildi, metodik qism muallifga qoldi</w:t>
            </w:r>
          </w:p>
        </w:tc>
      </w:tr>
      <w:tr>
        <w:tc>
          <w:tcPr>
            <w:tcW w:type="dxa" w:w="9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
            </w:r>
          </w:p>
        </w:tc>
        <w:tc>
          <w:tcPr>
            <w:tcW w:type="dxa" w:w="81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20"/>
                <w:szCs w:val="20"/>
              </w:rPr>
              <w:t xml:space="preserve">Muallif hal qilsin – qo‘shimcha ma’lumot yoki qayta hisob talab etiladi</w:t>
            </w:r>
          </w:p>
        </w:tc>
      </w:tr>
    </w:tbl>
    <w:p>
      <w:pPr>
        <w:spacing w:after="120"/>
        <w:jc w:val="both"/>
      </w:pPr>
      <w:r>
        <w:rPr>
          <w:rFonts w:ascii="Times New Roman" w:cs="Times New Roman" w:eastAsia="Times New Roman" w:hAnsi="Times New Roman"/>
          <w:b w:val="false"/>
          <w:bCs w:val="false"/>
          <w:sz w:val="24"/>
          <w:szCs w:val="24"/>
        </w:rP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93"/>
        <w:gridCol w:w="1335"/>
        <w:gridCol w:w="1186"/>
        <w:gridCol w:w="3115"/>
        <w:gridCol w:w="3263"/>
        <w:gridCol w:w="1186"/>
        <w:gridCol w:w="4153"/>
      </w:tblGrid>
      <w:tr>
        <w:trPr>
          <w:tblHeader/>
        </w:trPr>
        <w:tc>
          <w:tcPr>
            <w:tcW w:type="dxa" w:w="593"/>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top"/>
          </w:tcPr>
          <w:p>
            <w:pPr>
              <w:jc w:val="center"/>
            </w:pPr>
            <w:r>
              <w:rPr>
                <w:rFonts w:ascii="Times New Roman" w:cs="Times New Roman" w:eastAsia="Times New Roman" w:hAnsi="Times New Roman"/>
                <w:b/>
                <w:bCs/>
                <w:sz w:val="19"/>
                <w:szCs w:val="19"/>
              </w:rPr>
              <w:t xml:space="preserve">№</w:t>
            </w:r>
          </w:p>
        </w:tc>
        <w:tc>
          <w:tcPr>
            <w:tcW w:type="dxa" w:w="1335"/>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top"/>
          </w:tcPr>
          <w:p>
            <w:pPr>
              <w:jc w:val="center"/>
            </w:pPr>
            <w:r>
              <w:rPr>
                <w:rFonts w:ascii="Times New Roman" w:cs="Times New Roman" w:eastAsia="Times New Roman" w:hAnsi="Times New Roman"/>
                <w:b/>
                <w:bCs/>
                <w:sz w:val="19"/>
                <w:szCs w:val="19"/>
              </w:rPr>
              <w:t xml:space="preserve">Bo‘lim / joy</w:t>
            </w:r>
          </w:p>
        </w:tc>
        <w:tc>
          <w:tcPr>
            <w:tcW w:type="dxa" w:w="1186"/>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top"/>
          </w:tcPr>
          <w:p>
            <w:pPr>
              <w:jc w:val="center"/>
            </w:pPr>
            <w:r>
              <w:rPr>
                <w:rFonts w:ascii="Times New Roman" w:cs="Times New Roman" w:eastAsia="Times New Roman" w:hAnsi="Times New Roman"/>
                <w:b/>
                <w:bCs/>
                <w:sz w:val="19"/>
                <w:szCs w:val="19"/>
              </w:rPr>
              <w:t xml:space="preserve">Kamchilik turi</w:t>
            </w:r>
          </w:p>
        </w:tc>
        <w:tc>
          <w:tcPr>
            <w:tcW w:type="dxa" w:w="3115"/>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top"/>
          </w:tcPr>
          <w:p>
            <w:pPr>
              <w:jc w:val="center"/>
            </w:pPr>
            <w:r>
              <w:rPr>
                <w:rFonts w:ascii="Times New Roman" w:cs="Times New Roman" w:eastAsia="Times New Roman" w:hAnsi="Times New Roman"/>
                <w:b/>
                <w:bCs/>
                <w:sz w:val="19"/>
                <w:szCs w:val="19"/>
              </w:rPr>
              <w:t xml:space="preserve">Kamchilik</w:t>
            </w:r>
          </w:p>
        </w:tc>
        <w:tc>
          <w:tcPr>
            <w:tcW w:type="dxa" w:w="3263"/>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top"/>
          </w:tcPr>
          <w:p>
            <w:pPr>
              <w:jc w:val="center"/>
            </w:pPr>
            <w:r>
              <w:rPr>
                <w:rFonts w:ascii="Times New Roman" w:cs="Times New Roman" w:eastAsia="Times New Roman" w:hAnsi="Times New Roman"/>
                <w:b/>
                <w:bCs/>
                <w:sz w:val="19"/>
                <w:szCs w:val="19"/>
              </w:rPr>
              <w:t xml:space="preserve">Izoh va tavsiya</w:t>
            </w:r>
          </w:p>
        </w:tc>
        <w:tc>
          <w:tcPr>
            <w:tcW w:type="dxa" w:w="1186"/>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top"/>
          </w:tcPr>
          <w:p>
            <w:pPr>
              <w:jc w:val="center"/>
            </w:pPr>
            <w:r>
              <w:rPr>
                <w:rFonts w:ascii="Times New Roman" w:cs="Times New Roman" w:eastAsia="Times New Roman" w:hAnsi="Times New Roman"/>
                <w:b/>
                <w:bCs/>
                <w:sz w:val="19"/>
                <w:szCs w:val="19"/>
              </w:rPr>
              <w:t xml:space="preserve">Holati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bCs/>
                <w:color w:val="FF0000"/>
                <w:sz w:val="19"/>
                <w:szCs w:val="19"/>
              </w:rPr>
              <w:t xml:space="preserve">Tuzatish yo‘li va natijasi (muallif, 2026-yil oktabr)</w:t>
            </w:r>
          </w:p>
        </w:tc>
      </w:tr>
      <w:tr>
        <w:tc>
          <w:tcPr>
            <w:tcW w:type="dxa" w:w="14838"/>
            <w:gridSpan w:val="7"/>
            <w:tcBorders>
              <w:top w:val="single" w:color="808080" w:sz="4"/>
              <w:left w:val="single" w:color="808080" w:sz="4"/>
              <w:bottom w:val="single" w:color="808080" w:sz="4"/>
              <w:right w:val="single" w:color="808080" w:sz="4"/>
            </w:tcBorders>
            <w:shd w:fill="EDEDED" w:color="auto" w:val="clear"/>
            <w:tcMar>
              <w:top w:type="dxa" w:w="60"/>
              <w:left w:type="dxa" w:w="80"/>
              <w:bottom w:type="dxa" w:w="60"/>
              <w:right w:type="dxa" w:w="80"/>
            </w:tcMar>
            <w:vAlign w:val="top"/>
          </w:tcPr>
          <w:p>
            <w:pPr>
              <w:jc w:val="left"/>
            </w:pPr>
            <w:r>
              <w:rPr>
                <w:rFonts w:ascii="Times New Roman" w:cs="Times New Roman" w:eastAsia="Times New Roman" w:hAnsi="Times New Roman"/>
                <w:b/>
                <w:bCs/>
                <w:sz w:val="21"/>
                <w:szCs w:val="21"/>
              </w:rPr>
              <w:t xml:space="preserve">A. Hisob-kitob xatolari va raqamlar nomuvofiqligi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amaliy natijalar (4-band)</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Hisob-kitob xatosi</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NSFR bo‘yicha «regulyativ kapital o‘rniga xususiy kapital olinishi me’yorni 7,2 foiz punktga oshiradi» deyilgan. Bu natija asosiy matnda umuman yoritilmagan.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3-ilova ma’lumotlari bo‘yicha xususiy kapital 11 875,2 mlrd so‘m, regulyativ kapital esa 17,02% × 95 179,7 = 16 199,6 mlrd so‘m. Regulyativ kapital olinsa, me’yor 122,2 foizdan 129,4 foizga ko‘tariladi (+7,1 p.p.). Demak, xususiy kapital olinishi me’yorni oshirmaydi, balki pasaytiradi. Hisob-kitobni 2.3-§ ga ham qo‘shish kerak.</w:t>
            </w:r>
          </w:p>
        </w:tc>
        <w:tc>
          <w:tcPr>
            <w:tcW w:type="dxa" w:w="1186"/>
            <w:tcBorders>
              <w:top w:val="single" w:color="808080" w:sz="4"/>
              <w:left w:val="single" w:color="808080" w:sz="4"/>
              <w:bottom w:val="single" w:color="808080" w:sz="4"/>
              <w:right w:val="single" w:color="808080" w:sz="4"/>
            </w:tcBorders>
            <w:shd w:fill="FFF2CC"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 tekshiring</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Tasdiqlandi: xususiy kapital olinganda me’yor 122,2%, regulyativ kapital olinganda 129,4% (−7,1 p.p.). Kirish (taqrizchi tuzatgan) saqlandi; 2.3-§ ga nizom 53–55-bandlari va bankning 16-, 22-jadval shakllariga havola bilan hisob-kitob qo‘shildi.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(yangilik 1), 2.3.4-jadval, Xulosa</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Raqamlar nomuvofiqligi</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NSFR ning «hisobot farqi» Kirish va Xulosada 2,7 p.p., 2.3.4-jadval va matnda esa 2,8 p.p. deb berilgan.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3-ilova bo‘yicha: 3-variant − 1-variant = −2,7; 4-variant − 2-variant = −2,8. Natija dekompozitsiya tartibiga bog‘liq. Bitta qiymat tanlang (masalan, o‘rtacha −2,75) yoki ikkalasini izohlang.</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 («2,7–2,8»)</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Kirish va Xulosadagi «2,7–2,8» saqlandi; 2.3-§ matniga farq dekompozitsiya tartibiga bog‘liqligi (MB metodikasi bo‘yicha 2,7, Bazel III bo‘yicha 2,8) izohi qo‘shildi.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3.1.5-jadval va 2.3.4-jadval</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Hisob-kitob xatosi</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SQB ning MHXS bo‘yicha CET1 monandligi 3.1.5-jadvalda 9,13%, 2.3.4-jadvalda esa 8,87%. Regulyativ kapital monandligi ham farq qiladi: 17,00% va 15,32%.</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3.1.5-jadvalda 257,4 mlrd so‘mlik chegirmalar qo‘llanmagan. K2 uchun esa milliy asosda oshkor qilingan qiymat olingan, ya’ni u MHXS ko‘rsatkichi emas. 8,87% va 15,32% bilan qayta hisoblaganimda MBII 2,83 → ≈2,81 ga tushadi, sinf o‘zgarmaydi. Ikkala jadvalda bitta metodikani qo‘llang.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SQB va MKB uchun barcha joylarda 2.3-§ metodikasi (CET1 8,87%, regulyativ kapital 15,32%) qo‘llandi; mbii32.py qayta hisoblandi. MBII SQB 2025: 2,83 → 2,81 (sinf o‘zgarmadi). Yangilandi: 3.1.5-jadval va izohi, 3.1.3–3.1.4-rasmlar, ΔMBII (−0,46; aktivlar sifati ulushi 83–86%), 1-ilova (1.1, 1.2), 3.2.3-jadval va rasm, 4.1.3–4.1.4-rasmlar va matn (2024-yilda SQB MHXS indeksi 2,72 – qizil zona), 4.2.6-jadval va 4.2.3-rasm, 4.3.2-jadval, III bob xulosalari va Xulosa.</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3.1.5-jadval va 2.3.3-jadval</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Raqamlar nomuvofiqligi</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MKB ning MHXS asosidagi CET1 ko‘rsatkichi 3.1.5-jadvalda 18,26%, 2.3.3-jadvalda 18,24%.</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Bitta qiymatga keltiring.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MKB MHXS CET1 hamma joyda 18,24% (regulyativ kapital 19,96%); ball va MBII o‘zgarmadi.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5</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4.3.2-jadval, 4.2.6-jadval, 4.1-§</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Metodik nomuvofiqlik</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«MBII milliy» nomi ostida ikki xil indeks berilgan. 3.1-§ dagi 13 ko‘rsatkichli indeks: SQB 3,27, MKB 3,13. 4.1–4.3-§ dagi 8 ko‘rsatkichli panel indeksi: SQB 3,61, MKB 2,90.</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4.2.6-jadvalda 8 ko‘rsatkichli milliy indeks 13 ko‘rsatkichli MHXS indeksi bilan solishtirilgan. Shu sababli 0,78–0,88 ball farqning bir qismi indeks tarkibidagi farqdan kelib chiqadi. Belgilarni ajrating (masalan, MBII-8 va MBII-13) va bir xil tarkibdagi indekslarni solishtiring. 4.3.2-jadvalga izoh qo‘shildi.</w:t>
            </w:r>
          </w:p>
        </w:tc>
        <w:tc>
          <w:tcPr>
            <w:tcW w:type="dxa" w:w="1186"/>
            <w:tcBorders>
              <w:top w:val="single" w:color="808080" w:sz="4"/>
              <w:left w:val="single" w:color="808080" w:sz="4"/>
              <w:bottom w:val="single" w:color="808080" w:sz="4"/>
              <w:right w:val="single" w:color="808080" w:sz="4"/>
            </w:tcBorders>
            <w:shd w:fill="DDEBF7"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Qisman 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Belgilar ajratildi: 3.3-§ da MBII-13 (to‘liq) va MBII-8 (panel) ta’riflandi; 4.2.6 va 4.3.2-jadvallar sarlavhalari belgilandi; 4.2-§ ga bir xil tarkibdagi (MBII-13) taqqoslash qo‘shildi: SQB 3,27 → 2,81 (−0,46), MKB 3,13 → 2,47 (−0,66), zona o‘zgarishi xulosasi saqlanadi.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6</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3.3.3-jadval, 3.3-§ matni, 3.3.7-jadval</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Statistik xato</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FE modelda depozitlar koeffitsiyenti 0,007 (0,003) uchun *** qo‘yilgan, lekin t = 2,33, ya’ni faqat 5% darajada ahamiyatli. Pooled modelda foiz marjasi 0,021 (0,013) uchun * qo‘yilgan, lekin t = 1,62 (p ≈ 0,11), ya’ni ahamiyatsiz.</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Yulduzchalar, matndagi «barcha spetsifikatsiyalarda 1 foiz darajada» jumlasi va 3.3.7-jadval tuzatildi.</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7</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 3.3-§ takliflari, 4.3-§</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Hisob-kitob xatosi</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Depozitlar ulushi 10 p.p. oshganda uzoq muddatli ta’sir 0,17 ball deb berilgan.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0,008 / (1 − 0,502) × 10 = 0,16 ball. Bu raqam uch joyda uchraydi, hammasi tuzatildi.</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8</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2.3-§</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Raqamlar nomuvofiqligi</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«Ikki hisobot bo‘yicha aktivlar farqi 1–5 foizdan oshmaydi» deyilgan.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2.3.2-jadval bo‘yicha 2025-yilda SQB da farq −5,1%. To‘g‘ri oraliq: 1,4–5,1%.</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9</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2.2-§ xulosasi</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Aniqlik</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MHXS bo‘yicha qadrsizlangan kreditlar rasmiy ko‘rsatkichdan «ikki-uch barobar» yuqori deyilgan.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Haqiqiy oraliq: SQB da 1,6–3,0, MKB da 2,8–3,3 barobar.</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10</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2.3-§, 2.3-§ xulosasi, II bob xulosasi</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Chalkash talqin</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Sof foydadagi tafovut bir joyda 13,5%, boshqa joyda 11,9% deb berilgan.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Ikkala raqam ham to‘g‘ri, lekin turli bazaga nisbatan hisoblangan: 676,4/5005,7 va 676,4/5682,1. Qaysi bazaga nisbatan ekanini ko‘rsatish kerak. Bundan tashqari, 13,5% kapital tafovuti bilan bir xil raqam bo‘lgani uchun o‘quvchi adashishi mumkin.</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11</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4.1-§</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Faktik xato</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BRB indeksi «zararlardan 3–4 chorak oldin» qizil zonaga tushgan deyilgan.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2024-y. I chorakdagi hodisa uchun signal faqat 1 chorak oldin (2023-y. IV chorak) berilgan. To‘g‘ri oraliq: 1–3 chorak. Shu yerda MKB ning chorak zarari (1 707,7) va yillik zarari (1 703,8) farqiga ham izoh qo‘shildi.</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12</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4.1-§</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Raqamlar nomuvofiqligi</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SQB indeksi «sariq zonaning yuqori qismida (3,17–3,32)» deyilgan.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4-ilova bo‘yicha 2023-y. IV chorakda indeks 3,36 bo‘lib, yashil zonada. Oraliq va ifoda tuzatildi.</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13</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Raqamlar nomuvofiqligi</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Z-score bo‘yicha davlat banklari «2023–2025-yillarda» barqarorroq deyilgan.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3.3.3-rasm bo‘yicha 2022-yilda ham shunday: 2,70 va 2,51. To‘g‘ri davr: 2022–2025.</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14</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 (ma’lumotlar), 4-ilova, 4.3-§</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Ta’rif nomuvofiqligi</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Matnda 25 bankdan 10 tasi davlat banki deyilgan. 4-ilovada 9 ta bank (D) belgisi bilan berilgan, FSAP ham 9 ta davlat banki haqida yozadi.</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3.3.1-rasmdagi 2021-yilgi 0,61 farq faqat «Ipoteka-bank» xususiylashtirilgunga qadar davlat banki deb olinganda chiqadi. Demak, davlat banki belgisi vaqt bo‘yicha o‘zgaradi. Shunda 3.3.3-jadval izohidagi «vaqt bo‘yicha o‘zgarmaydi» degan fikr ham aniqlashtirilishi kerak.</w:t>
            </w:r>
          </w:p>
        </w:tc>
        <w:tc>
          <w:tcPr>
            <w:tcW w:type="dxa" w:w="1186"/>
            <w:tcBorders>
              <w:top w:val="single" w:color="808080" w:sz="4"/>
              <w:left w:val="single" w:color="808080" w:sz="4"/>
              <w:bottom w:val="single" w:color="808080" w:sz="4"/>
              <w:right w:val="single" w:color="808080" w:sz="4"/>
            </w:tcBorders>
            <w:shd w:fill="FFF2CC"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 tekshiring</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Tasdiqlandi: panelda «Ipoteka-bank» ATB 2023-yil II chorakgacha davlat banki (D=1), III chorakdan xususiy. 3.3.3-jadval izohi aniqlashtirildi («deyarli o‘zgarmaydi; faqat Ipoteka-bankda 2023-y. III chorakda o‘zgargan»).</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15</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2.1.1-jadval</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Ichki ziddiyat</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«13% … 3% lik saqlash buferi» deyilgan, keyingi qatorda esa «Kapitalni saqlash buferi 2,5%, 2025-yildan». Yangi nizom esa 2026-yildan amal qiladi.</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Bufer miqdori (3% yoki 2,5%) va boshlanish yilini nizom matni bo‘yicha aniqlang.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2.1.1-jadval Markaziy bankning 2025-yil moliyaviy barqarorlik sharhi (1-jadval, 129-b.) va SQB ning 22-jadval shakli bo‘yicha qayta yozildi: 2025-yilgacha CET1 8%, jami 13% (3% bufer bilan), leverej 6%; 2026-yildan 4,5% / 8% / 3% + buferlar (CCoB 2,5%, CCyB 1,5%, D-SIB 1%). «HLA/aktivlar ≥ 10%» qatori qo‘shildi. 2.1-§ stress-test chegaralari aniqlashtirildi. Yangi ilmiy natija qo‘shildi (2.3-§): 2026-yildan D-SIB uchun 9,5% CET1 talabiga nisbatan SQB milliy hisobot bo‘yicha +0,71 p.p. yuqori, MHXS bo‘yicha −0,63 p.p. past.</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16</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7-ilova</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Yaxlitlash</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«Garant bank» uchun ijobiy ssenariy, 2027: «3,25 (sariq)». Qoidaga ko‘ra 3,25 va undan yuqori qiymat yashil zonaga kiradi.</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Qiymatni uch xonagacha bering yoki zonani to‘g‘rilang.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Garant bank (ijobiy, 2027) aniq qiymati 3,248 → «3,248 (sariq)»; chegaraga yaqin boshqa qiymatlar ham uch xonada (Davr bank 3,251; Tenge bank 3,252; Xalq banki 3,254); 7-ilova izohiga qoida qo‘shildi.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17</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2.2.1-jadval izohi</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Rasmiylashtirish</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Izohda «–» – byulletenda ma’lumot berilmagan» deyilgan, lekin jadvalda «–» belgisi yo‘q.</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Izohni olib tashlang yoki manba izohi bilan almashtiring.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noto‘g‘ri izoh o‘rniga «substandart va muammoli kreditlar ulushi 2024–2025-yillar uchun manbada butun songacha yaxlitlangan» izohi yozildi.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18</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4.2-§</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Ichki ziddiyat</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«Asosiy stavka, kurs va inflyatsiya 3.3-§ da statistik ahamiyatsiz chiqqan» deyilgan. Holbuki 3.3.6-jadvalda stavka */**, kurs Pooled modelda *** bilan ahamiyatli, 3.3.7-jadvalda H5 «tasdiqlandi».</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Asoslash qayta yozildi: omillar YaIM bilan kuchli korrelyatsiyada (−0,76).</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19</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3.3.6-jadval va 4.2.2-jadval</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Hisob-kitob natijalari mos emas</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YaIM o‘sishining muammoli kreditlarga ta’siri 3.3-§ da −1,44…−1,93 p.p., 4.2-§ da esa −0,151/−0,153 p.p., ya’ni taxminan 10 barobar farq qiladi. 3.3-§ dagi baho bo‘yicha uzoq muddatli ta’sir −3,8 p.p. bo‘ladi, o‘rtacha NPL esa 3,5%. Bu iqtisodiy jihatdan ishonarli emas.</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Ikkala paragrafga izoh qo‘shildi. Tavsiya: 3.3.6-jadvaldagi makro koeffitsiyentlarni uzoqroq qator asosida qayta baholang yoki ularni «indikativ» deb belgilang.</w:t>
            </w:r>
          </w:p>
        </w:tc>
        <w:tc>
          <w:tcPr>
            <w:tcW w:type="dxa" w:w="1186"/>
            <w:tcBorders>
              <w:top w:val="single" w:color="808080" w:sz="4"/>
              <w:left w:val="single" w:color="808080" w:sz="4"/>
              <w:bottom w:val="single" w:color="808080" w:sz="4"/>
              <w:right w:val="single" w:color="808080" w:sz="4"/>
            </w:tcBorders>
            <w:shd w:fill="DDEBF7"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Qisman 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To‘liq hal qilindi: 3.3.6-jadval izohiga makro koeffitsiyentlar 8 ta vaqt nuqtasidan aniqlangani va «indikativ» ekani, prognozda 4.2-§ dagi uzunroq qator bahosi qo‘llanishi yozildi (taqrizchi izohlari bilan birga).</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20</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4.2-§</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Noto‘g‘ri da’vo</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«Ikki mustaqil model to‘rt chorakdan keyin bir xil natija berdi» deyilgan. Aslida 2-model lagsiz YaIM(t) bilan baholangan, tizim darajasidagi lagsiz model esa ahamiyatsiz chiqqan.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Matn tuzatildi: laglar farq qilishi ko‘rsatildi.</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21</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4.2.3-jadval va matn</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Tanlab talqin qilish</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Orqaga tekshiruvdan faqat 2023-yil natijasi keltirilgan. 2024-yilda o‘rtachaga qaytuvchi model aniqroq (0,33 va 0,73). Taklif etilgan usul esa hech bir yilda «o‘zgarishsiz» prognozdan aniqroq emas.</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Matn muvozanatli qilindi. «Taklif etilgan usul» va «1-modelning o‘zi» o‘rtasidagi farqni (2025-yil YaIM 7,7% ga nisbatan og‘ish usuli) aniq yozing.</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22</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4.2-§</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Mubolag‘a</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Davlat banklarida «daromad deyarli to‘liq yo‘qoladi» deyilgan.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Jadval bo‘yicha ROA 0,99 foizdan 0,62 foizga tushadi.</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c>
          <w:tcPr>
            <w:tcW w:type="dxa" w:w="14838"/>
            <w:gridSpan w:val="7"/>
            <w:tcBorders>
              <w:top w:val="single" w:color="808080" w:sz="4"/>
              <w:left w:val="single" w:color="808080" w:sz="4"/>
              <w:bottom w:val="single" w:color="808080" w:sz="4"/>
              <w:right w:val="single" w:color="808080" w:sz="4"/>
            </w:tcBorders>
            <w:shd w:fill="EDEDED" w:color="auto" w:val="clear"/>
            <w:tcMar>
              <w:top w:type="dxa" w:w="60"/>
              <w:left w:type="dxa" w:w="80"/>
              <w:bottom w:type="dxa" w:w="60"/>
              <w:right w:type="dxa" w:w="80"/>
            </w:tcMar>
            <w:vAlign w:val="top"/>
          </w:tcPr>
          <w:p>
            <w:pPr>
              <w:jc w:val="left"/>
            </w:pPr>
            <w:r>
              <w:rPr>
                <w:rFonts w:ascii="Times New Roman" w:cs="Times New Roman" w:eastAsia="Times New Roman" w:hAnsi="Times New Roman"/>
                <w:b/>
                <w:bCs/>
                <w:sz w:val="21"/>
                <w:szCs w:val="21"/>
              </w:rPr>
              <w:t xml:space="preserve">B. Ilmiy-metodologik kamchiliklar</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23</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(ilmiy yangilik 5), 4.1-§</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Asoslanganlik</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«AUC = 0,86 … empirik jihatdan isbotlangan» deyilgan. Bu natija atigi 10 ta hodisaga (8 bank) va 26 ta ijobiy kuzatuvga tayanadi, ular esa bir-birini qoplaydigan 4 choraklik oynalardan olingan. Bundan tashqari, AUC taklif etilgan 13 ko‘rsatkichli MHXS indeksi uchun emas, 8 ko‘rsatkichli milliy panel indeksi uchun hisoblangan. Bu indeksda kapital bloki barcha banklarda 4 ball, MHXS bosqichlari va valyuta bloki esa yo‘q.</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Muammoli kreditlar ulushining o‘zi ham AUC = 0,862 beradi, ya’ni indeksning bashorat ustunligi isbotlanmagan (muallif buni 4.1-§ da o‘zi ham tan olgan). Yangilik matni aniqlashtirildi. Tavsiya: bank bo‘yicha klasterlangan bootstrap qiling va hodisaning muqobil ta’rifi (qayta kapitallashtirish, me’yor buzilishi) bilan robastlikni tekshiring.</w:t>
            </w:r>
          </w:p>
        </w:tc>
        <w:tc>
          <w:tcPr>
            <w:tcW w:type="dxa" w:w="1186"/>
            <w:tcBorders>
              <w:top w:val="single" w:color="808080" w:sz="4"/>
              <w:left w:val="single" w:color="808080" w:sz="4"/>
              <w:bottom w:val="single" w:color="808080" w:sz="4"/>
              <w:right w:val="single" w:color="808080" w:sz="4"/>
            </w:tcBorders>
            <w:shd w:fill="DDEBF7"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Qisman 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To‘liq hal qilindi (robust_kam.py): bank bo‘yicha klasterlangan bootstrap – MBII AUC 0,864 [0,65; 0,96]; MBII−Z farqi [0,19; 0,98] – ahamiyatli; MBII−NPL farqi [−0,11; +0,07] – ahamiyatsiz. Muqobil hodisa ta’riflari: 3% chegara – AUC 0,79 [0,62; 0,92], 10% – 0,90; Z-score 0,33–0,48. Qoplanmaydigan oynalar (faqat IV chorak) – 0,73 [0,50; 0,92]. 4.1-§ ga yangi paragraf, Kirish (yangilik 5) ga oraliq qo‘shildi.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24</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1.1-§ (1.1.7-rasm), 1.2-§, 3.1-§</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Konseptual nomuvofiqlik</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Bloklar tarkibi bir xil emas. Konseptual modelda besh blokdan biri «boshqaruv sifati», baholash ta’rifida «bozor risklariga sezgirlik», integral indeksda esa «valyuta riskiga sezgirlik».</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1.1-§ ga bog‘lovchi izoh qo‘shildi. Tavsiya: 1.1.7-rasm va I bob xulosasini indeks tuzilishiga moslang.</w:t>
            </w:r>
          </w:p>
        </w:tc>
        <w:tc>
          <w:tcPr>
            <w:tcW w:type="dxa" w:w="1186"/>
            <w:tcBorders>
              <w:top w:val="single" w:color="808080" w:sz="4"/>
              <w:left w:val="single" w:color="808080" w:sz="4"/>
              <w:bottom w:val="single" w:color="808080" w:sz="4"/>
              <w:right w:val="single" w:color="808080" w:sz="4"/>
            </w:tcBorders>
            <w:shd w:fill="DDEBF7"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Qisman 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I bob xulosalariga va 1.2-§ dagi ishchi ta’rifga bog‘lovchi jumla qo‘shildi (boshqaruv sifati – kurator mulohazasi, valyuta riski – bozor riskining asosiy shakli). 1.1.7-rasm konseptual model sifatida saqlandi.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25</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3.2.2–3.2.3-jadvallar, 3.2-§ va III bob xulosalari</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Metodik xato</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«Empirik usullar o‘rtachasi»ga logit ustunidagi ekspert vaznlari (0,25* va 0,10*) ham kiritilgan, shuning uchun bu sof empirik o‘rtacha emas. Kapital bloki 25 bank panelida barcha banklarda bir xil ball olgan, ya’ni uni bu panelda tekshirib bo‘lmaydi. Entropiya usuli eng yuqori vaznni daromadlilikka (0,46) bergan. Shunga qaramay «barcha usullar aktivlar sifatining yetakchiligini tasdiqladi» degan xulosa chiqarilgan.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O‘rtachani faqat empirik baholardan hisoblang. Xulosani «aktivlar sifati vazni barcha usullarda ekspert vaznidan kam emas» ko‘rinishida yozing. 3.2.3-jadvalga variatsiya koeffitsiyenti usuli ustunini qo‘shing.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(vazn32.py): empirik o‘rtacha faqat 5 blokni baholagan 3 usuldan (entropiya, variatsiya, bosh komponentlar): K 0,08; A 0,31; L 0,08; D 0,38; V 0,16. 3.2.3-jadvalga variatsiya koeffitsiyenti ustuni qo‘shildi; AUC 0,871. Xulosa rostlandi: aktivlar sifati vazni empirik oraliqda (0,27–0,57), tarqoqlik usullarida daromadlilik birinchi, logitda aktivlar sifati yagona ahamiyatli blok. 3.2-§, III bob xulosasi, Xulosa yangilandi.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26</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3.1.2-jadval (chegaralar)</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Metodik asoslash</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L1 uchun 2 ball chegarasi «Markaziy bankning 10% minimal talabi» deb olingan, lekin 10% bu lahzali likvidlik normativi, ya’ni boshqa ko‘rsatkich. L2 shkalasi bilan matn o‘rtasida ziddiyat bor edi (80% «muammo belgisi» degan joyda 4 ball). A2 chegaralari tahlil qilinayotgan tanlanma qiymatlaridan olingan (in-sample). Sinf chegaralari 1–4 oraliqni teng to‘rtga bo‘lish orqali belgilangan.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L2 jumlasi tuzatildi. L1 uchun mos me’yoriy asos keltiring. A2 chegaralarini tashqi manba bilan asoslang. Sinf oraliqlarini yarim ochiq ko‘rinishda yozing: 3,25 ≤ I; 2,50 ≤ II &lt; 3,25 va h.k.</w:t>
            </w:r>
          </w:p>
        </w:tc>
        <w:tc>
          <w:tcPr>
            <w:tcW w:type="dxa" w:w="1186"/>
            <w:tcBorders>
              <w:top w:val="single" w:color="808080" w:sz="4"/>
              <w:left w:val="single" w:color="808080" w:sz="4"/>
              <w:bottom w:val="single" w:color="808080" w:sz="4"/>
              <w:right w:val="single" w:color="808080" w:sz="4"/>
            </w:tcBorders>
            <w:shd w:fill="DDEBF7"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Qisman 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L1 uchun 10% – SQB ning 22-jadval shaklidagi «yuqori likvid aktivlarning jami aktivlardagi ulushi» prudensial me’yori (lahzali likvidlik emas – taqrizchi fikri asossiz, manba keltirildi). A2 chegaralari EBA Risk Dashboard (Q4 2024, 33-b.) bilan tashqi tekshirildi: YeI o‘rtacha 2-bosqich ulushi 9,6–9,7%, maksimum 15,9%. Sinf oraliqlari yarim ochiq ko‘rinishda yozildi (3.1.4 va 3.2.4-jadvallar), teng oraliqlar asoslandi.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27</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3.2.4-jadval</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Tanlanma hajmi</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III sinfda atigi 10 ta kuzatuv bor (9 tasida hodisa), IV sinfda esa kuzatuv yo‘q. «Sinflar chegaralari empirik tasdiqlandi» degan xulosa uchun bu juda kam.</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Ulushlar uchun ishonch oraliqlarini keltiring (masalan, Wilson usulida) va xulosani yumshoqroq ifodalang.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3.2.4-jadvalga Wilson 95% oraliqlari ustuni (0,8–5,0; 7,9–21,4; 59,6–98,2) va Fisher testi (p &lt; 0,001) qo‘shildi; xulosa «tahlil davri ma’lumotlariga mos» deb yumshatildi (3.2-§, III bob xulosasi, Xulosa).</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28</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 (3.3.6-jadval)</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Ekonometrik xato</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Satellit model faqat 8 chorakni qamraydi. 4 ta makro omil barcha banklar uchun bir xil, ya’ni koeffitsiyentlar amalda 8 ta vaqt nuqtasidan aniqlanadi. FE modelga lagli bog‘liq o‘zgaruvchi kiritilgan (T = 8), bu Nickell siljishiga olib keladi. Holbuki 3.3-§ ning o‘zida makro omillar asosiy modelga aynan shu sababli kiritilmagan.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Makro koeffitsiyentlarni tizim darajasidagi uzunroq qator bo‘yicha baholang yoki chorak effektlari bilan cheklaning. Matnga ehtiyotkor izoh qo‘shildi.</w:t>
            </w:r>
          </w:p>
        </w:tc>
        <w:tc>
          <w:tcPr>
            <w:tcW w:type="dxa" w:w="1186"/>
            <w:tcBorders>
              <w:top w:val="single" w:color="808080" w:sz="4"/>
              <w:left w:val="single" w:color="808080" w:sz="4"/>
              <w:bottom w:val="single" w:color="808080" w:sz="4"/>
              <w:right w:val="single" w:color="808080" w:sz="4"/>
            </w:tcBorders>
            <w:shd w:fill="DDEBF7"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Qisman 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To‘liq hal qilindi: 3.3.6-jadval izohiga Nickell siljishi (S. Nickell, 1981) va inersiya koeffitsiyentining haqiqiy qiymati FE va Pooled baholari oralig‘ida (0,62–0,81) ekani yozildi.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29</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3.3.1-jadval (H2)</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Nomuvofiqlik</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H2 gipotezasida 4 va 8 chorak lag ko‘zda tutilgan, asosiy modellarda esa faqat 4 chorak lag ishlatilgan.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8 choraklik natijani ham keltiring yoki gipotezani aniqlashtiring.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(lag8_kam.py): 8 chorak lagli modellar baholandi (N=194): Pooled −0,0007***, FE +0,0005 (p=0,05), Z-score – ahamiyatsiz. 3.3-§ matni va 3.3.7-jadval (H2) to‘ldirildi.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30</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3.1.5-jadval, 1-ilova</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Ma’lumotlar aralashuvi</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MHXS indeksida L1 ko‘rsatkichi milliy balansdan («SNS» bazasi) olingan. Shu sababli likvidlik blokidagi ΔMBII ta’rifiga ko‘ra nolga teng chiqadi.</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Bu cheklovni metodika bo‘limida aniq ko‘rsating.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3.1.5-jadval izohiga va 3.1-§ cheklovlariga L1 milliy balansdan olingani, shu sababli likvidlik blokidagi ΔMBII faqat L2 hisobiga shakllanishi yozildi.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31</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(amaliy natijalar, 1-band)</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Tuzilma</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Mualliflik ta’rifi «amaliy natijalar» ro‘yxatiga kiritilgan, holbuki bu nazariy natija.</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Uni nazariy xulosalar yoki ilmiy yangilik qismiga o‘tkazing.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mualliflik ta’rifi «amaliy natijalar»dan «ilmiy yangilik»ning birinchi bandiga ko‘chirildi.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32</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(ilmiy yangilik 2), 2.3-§</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Asoslanganlik</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LCR ni Bazel III ga muvofiqlashtirish yangilik sifatida berilgan, lekin matnda LCR Bazel III bo‘yicha qayta hisoblanmagan. Faqat «banklardagi mablag‘lar ulushi 30,9%» keltirilgan.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LCR ning qayta hisoblangan qiymatini va farqini keltiring.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LCR Bazel III bo‘yicha qayta hisoblandi (16-jadval shakli): banklardagi mablag‘lar HQLA dan chiqarilganda 222,9% → 154,1% (−68,8 p.p.), garovdagi aktivlar ham chiqarilganda 146,5%. 2.3.4-jadvalga qator va 2.3-§ ga matn qo‘shildi.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33</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(tadqiqot usullari)</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Uslubiy</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Usullar ro‘yxatida «ekspert baholash» bor, lekin ishda ekspert so‘rovi o‘tkazilmagan: vaznlarni muallifning o‘zi belgilagan.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«Ekspert yo‘li bilan (muallif bahosi)» deb aniqlashtiring yoki so‘rov natijasini keltiring.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usullar ro‘yxatida «ekspert baholash (vaznlarni muallif belgilashi va ularni entropiya, variatsiya, bosh komponentlar va logit usullari bilan tekshirish), bootstrap va Monte-Karlo» deb aniqlashtirildi.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34</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(natijalarning joriy qilinishi)</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Rasmiy talab</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Beshala natija bitta bankning bitta ma’lumotnomasi bilan tasdiqlangan (22156/56, 08.10.2026).</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DSc himoyasi uchun vakolatli tashkilotlarning (Markaziy bank, Iqtisodiyot va moliya vazirligi va boshqalar) dalolatnomalari odatda talab qilinadi. Takliflar asosan Markaziy bankka qaratilgani uchun uning dalolatnomasini oling.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Muallif hal qiladi. Muallif hal qiladi: Markaziy bank (va/yoki boshqa vakolatli tashkilot) dalolatnomasini olish tavsiya etiladi; matnga o‘zgartirish kiritilmadi.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35</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2.2-§, 2.3-§ (ma’lumotlar)</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Takrorlanuvchanlik</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Bank prudensial hisobot shakllaridan (crs003C, crs005C va boshqalar) foydalanilgan. Bu shakllar ochiq e’lon qilinmaydi. Ish esa «ochiq ma’lumotlarga asoslangan metodika» deb taqdim etilgan.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Ma’lumotlardan foydalanish ruxsatini va ochiq/yopiq ma’lumotlar chegarasini ko‘rsating.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2.3-§ ga ochiq/yopiq ma’lumotlar chegarasi va takrorlanuvchanlik izohi qo‘shildi («banklarning ruxsati bilan» – muallif tasdiqlashi kerak).</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36</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4.2-§ (prognoz metodikasi)</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Cheklov</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Ssenariylarda faqat YaIM o‘zgaradi, kapital va likvidlik 2025-yil darajasida qotirilgan. Muammoli kreditlar o‘sishi banklarga NPL ga proporsional taqsimlangan.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Bu cheklovni «prognoz» emas, «sezgirlik/stress-ssenariy» deb nomlash bilan aniq ko‘rsating. Kapitalga ta’sirni (zaxira → foyda → kapital) ham qo‘shish tavsiya etiladi.</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(kapkanal_kam.py): ssenariylarga kapital kanali qo‘shilib tekshirildi – MBII ko‘pi bilan 0,04 ballga pasayadi, keskin salbiy ssenariyda qizil banklar soni o‘zgarmaydi (4 ta), faqat salbiy 2028 da MKB sariqdan qizilga o‘tadi (2,755 → 2,747). 4.2-§ cheklovlariga yozildi va natija «sezgirlik (stress-ssenariy) tahlili» deb belgilandi. Paragraf nomi o‘zgartirilmadi (muallif xohlasa «ssenariy prognozi» deb o‘zgartirishi mumkin).</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37</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1.3-§ (EBA)</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Faktik aniqlik</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«Yevropa bank boshqarmasi 2009-yildan buyon ma’lumot yig‘adi» deyilgan, lekin EBA 2011-yilda tashkil etilgan.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O‘tmishdoshi (CEBS) haqida izoh qo‘shildi.</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Taqrizchi tuzatgan. Qo‘shimcha: 1.3-§ ga EBA risk dashbordi havolasi, M. Bowman (S&amp;C, 2026) jumlasi; 4.3-§ ga S&amp;C va EBA havolalari qo‘shildi.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38</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1.3-§, 2.3-§, 3.2-§</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Bo‘limlararo havolalar</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Uch joyda havola noto‘g‘ri: «2.3-paragrafda ko‘rsatilganidek» (to‘g‘risi 2.1-§), «1.2-paragrafda ko‘rib chiqilgan prosiklik» (bu masala 2.3-§ boshida, Abad–Suarez misolida ko‘rilgan) va keyingi bobga «ko‘rsatilganidek» deb havola.</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Uchala havola tuzatildi.</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39</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2.1-§ tuzilishi</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Uslubiy bir xillik</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Faqat 2.1-§ da raqamlangan kichik sarlavhalar va «Paragraf bo‘yicha xulosa» sarlavhasi bor, boshqa paragraflarda yo‘q.</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Barcha paragraflarni bir xil tuzilishga keltiring.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2.1-§ dagi raqamlangan kichik sarlavhalar va «Paragraf bo‘yicha xulosa» sarlavhasi olib tashlandi, xulosa boshqa paragraflardagi kabi «…tadqiq etgan holda xulosa qilish mumkinki» shaklida yozildi (mundarijani F9 bilan yangilang).</w:t>
            </w:r>
          </w:p>
        </w:tc>
      </w:tr>
      <w:tr>
        <w:tc>
          <w:tcPr>
            <w:tcW w:type="dxa" w:w="14838"/>
            <w:gridSpan w:val="7"/>
            <w:tcBorders>
              <w:top w:val="single" w:color="808080" w:sz="4"/>
              <w:left w:val="single" w:color="808080" w:sz="4"/>
              <w:bottom w:val="single" w:color="808080" w:sz="4"/>
              <w:right w:val="single" w:color="808080" w:sz="4"/>
            </w:tcBorders>
            <w:shd w:fill="EDEDED" w:color="auto" w:val="clear"/>
            <w:tcMar>
              <w:top w:type="dxa" w:w="60"/>
              <w:left w:type="dxa" w:w="80"/>
              <w:bottom w:type="dxa" w:w="60"/>
              <w:right w:type="dxa" w:w="80"/>
            </w:tcMar>
            <w:vAlign w:val="top"/>
          </w:tcPr>
          <w:p>
            <w:pPr>
              <w:jc w:val="left"/>
            </w:pPr>
            <w:r>
              <w:rPr>
                <w:rFonts w:ascii="Times New Roman" w:cs="Times New Roman" w:eastAsia="Times New Roman" w:hAnsi="Times New Roman"/>
                <w:b/>
                <w:bCs/>
                <w:sz w:val="21"/>
                <w:szCs w:val="21"/>
              </w:rPr>
              <w:t xml:space="preserve">C. Til, mantiq va rasmiylashtirish</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40</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(dolzarblik)</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Bog‘lanmagan jumla</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Uch xil fakt (EBA stress-testi, YI dagi Bazel III, Buyuk Britaniya) bitta qo‘shma gapda vergul bilan tizilgan.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Gap ikkiga bo‘linib, mantiqiy bog‘lovchi qo‘shildi.</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41</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(dolzarblik)</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Mantiqiy bog‘lovchi va takror</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«Jadal o‘sdi … ammo davlat ulushi»; «ulushi … ulushi» takrori; 2026 va 2024-yil ko‘rsatkichlari bir qarama-qarshi gapda aralashgan.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Bog‘lovchi va ifoda tuzatildi, 2025-yilgi qiymat qo‘shildi.</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42</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2.2-§</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Takror</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Ketma-ket ikki gap «Demak,» bilan boshlangan.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Birinchisi «Bundan ko‘rinadiki» bilan almashtirildi.</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43</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3.1-§</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Aniqlik</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«Ikki jihatda farq qiladi» deyilgan, ammo vaznlar to‘rt blok bo‘yicha farq qiladi.</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«Asosan ikki jihatda» deb tuzatildi.</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44</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 (davlat banklari)</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Ortiqcha umumlashtirish</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«Boshqa sharoitlar teng bo‘lganda» deyilgan, lekin 1-model faqat bank hajmi va chorak effektlarini nazorat qiladi.</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Ifoda modelga moslab tuzatildi (ikki joyda).</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tekshirildi, to‘g‘ri.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45</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To‘ldirilmagan joylar</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«[ilmiy-tadqiqot mavzusi nomi]», aprobatsiya bo‘limidagi «[__] ta» va nashrlar soni bo‘limidagi «[__]» to‘ldirilmagan.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Ma’lumotlarni kiriting.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Muallif hal qiladi. Muallif to‘ldiradi: ilmiy-tadqiqot mavzusi nomi, aprobatsiya va nashrlar soni (joylari qizil bilan belgilandi).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46</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Titul varag‘i</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Rasmiylashtirish</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Bajarilgan joy – Denov tadbirkorlik va pedagogika universiteti, shahar esa «Toshkent – 2026».</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Talabga ko‘ra shahar nomini tekshiring.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Asoslandi. O‘zgartirilmadi: Ilmiy kengash Toshkentda (Tashkent International University) joylashgani uchun «Toshkent – 2026» saqlandi; OAK talabi boshqacha bo‘lsa, muallif o‘zgartiradi.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47</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Adabiyotlar ro‘yxati</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Manbalar sifati</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174 ta manbadan 6 tasi (169–174) faqat sayt manzili (bis.org, imf.org va boshqalar), ular manba hisoblanmaydi. 164-manba (Kilde) tijorat blogi. 70-manba (Afanasyeva, Dubova) hamda Sokolinskaya va Shatalova kitoblarining nashr yili ko‘rsatilmagan. V.V. Ivanov matnda tilga olingan, lekin havolasi ham, ro‘yxatda o‘zi ham yo‘q. Kirishdagi PF-158, PQ-2344, PQ-3270 va 2.1-§ dagi Markaziy bank hujjatlari (3254, 3427, 3302, 42/29, 34/3) ro‘yxatga kiritilmagan.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Ro‘yxatni to‘ldiring, sayt manzillarini olib tashlang va Kirishdagi «174 ta manba» sonini yangilang.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(3 ta nashr ma’lumoti – muallif). Hal qilindi: 169–174 (sayt manzillari) olib tashlandi; Kilde blogi o‘rniga Markaziy bank sharhi (aktivlar, 30-b.) va SNS bazasi (kreditlar 603,8 trln) keltirildi; 9 ta normativ hujjat (PF-158, PQ-2344, PQ-3270, 3254, 3302, 3427, 4/13, 34/3, 42/29) va 6 ta yangi manba qo‘shildi; V.V. Ivanov ro‘yxatdan chiqarildi; ro‘yxat qayta raqamlandi – 183 ta manba, Kirish yangilandi. Afanasyeva–Dubova va Sokolinskaya kitoblarining yili, Shatalova kitobining nashriyoti – muallif kiritadi (qizil belgi qo‘yildi).</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48</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3.1-§, 2.3-§, 3.3-§</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Rasmiylashtirish</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Formulalar raqamlanmagan.</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(3.1), (3.2) … ko‘rinishida raqamlang.</w:t>
            </w:r>
          </w:p>
        </w:tc>
        <w:tc>
          <w:tcPr>
            <w:tcW w:type="dxa" w:w="1186"/>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Tuzatildi. Hal qilindi: formulalar raqamlandi – (2.1), (2.2), (3.1), (3.2), (3.3).</w:t>
            </w:r>
          </w:p>
        </w:tc>
      </w:tr>
      <w:tr>
        <w:trPr>
          <w:cantSplit/>
        </w:trPr>
        <w:tc>
          <w:tcPr>
            <w:tcW w:type="dxa" w:w="59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49</w:t>
            </w:r>
          </w:p>
        </w:tc>
        <w:tc>
          <w:tcPr>
            <w:tcW w:type="dxa" w:w="133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Mundarija va 2.1–2.2-§ sarlavhalari</w:t>
            </w:r>
          </w:p>
        </w:tc>
        <w:tc>
          <w:tcPr>
            <w:tcW w:type="dxa" w:w="1186"/>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Imlo</w:t>
            </w:r>
          </w:p>
        </w:tc>
        <w:tc>
          <w:tcPr>
            <w:tcW w:type="dxa" w:w="3115"/>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Sarlavhalarda «Oʻ/koʻ» belgisi (U+02BB) ishlatilgan, matnning qolgan qismida esa «O‘» (U+2018).</w:t>
            </w:r>
          </w:p>
        </w:tc>
        <w:tc>
          <w:tcPr>
            <w:tcW w:type="dxa" w:w="326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Bir xillashtirildi. Mundarijani yangilash (F9) kerak.</w:t>
            </w:r>
          </w:p>
        </w:tc>
        <w:tc>
          <w:tcPr>
            <w:tcW w:type="dxa" w:w="1186"/>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c>
          <w:tcPr>
            <w:tcW w:type="dxa" w:w="4153"/>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r>
              <w:rPr>
                <w:rFonts w:ascii="Times New Roman" w:cs="Times New Roman" w:eastAsia="Times New Roman" w:hAnsi="Times New Roman"/>
                <w:b w:val="false"/>
                <w:bCs w:val="false"/>
                <w:color w:val="FF0000"/>
                <w:sz w:val="19"/>
                <w:szCs w:val="19"/>
              </w:rPr>
              <w:t xml:space="preserve">Taqrizchi tuzatgan. Taqrizchi tuzatgan – mundarijani yangilash (F9) kerak.</w:t>
            </w:r>
          </w:p>
        </w:tc>
      </w:tr>
    </w:tbl>
    <w:p>
      <w:pPr>
        <w:spacing w:after="120"/>
        <w:jc w:val="both"/>
      </w:pPr>
      <w:r>
        <w:rPr>
          <w:rFonts w:ascii="Times New Roman" w:cs="Times New Roman" w:eastAsia="Times New Roman" w:hAnsi="Times New Roman"/>
          <w:b w:val="false"/>
          <w:bCs w:val="false"/>
          <w:sz w:val="24"/>
          <w:szCs w:val="24"/>
        </w:rPr>
        <w:t xml:space="preserve"/>
      </w:r>
    </w:p>
    <w:p>
      <w:pPr>
        <w:spacing w:after="120"/>
        <w:jc w:val="both"/>
      </w:pPr>
      <w:r>
        <w:rPr>
          <w:rFonts w:ascii="Times New Roman" w:cs="Times New Roman" w:eastAsia="Times New Roman" w:hAnsi="Times New Roman"/>
          <w:b/>
          <w:bCs/>
          <w:sz w:val="24"/>
          <w:szCs w:val="24"/>
        </w:rPr>
        <w:t xml:space="preserve">Qayta hisoblanib, to‘g‘ri chiqqan hisob-kitoblar</w:t>
      </w:r>
    </w:p>
    <w:p>
      <w:pPr>
        <w:spacing w:after="120"/>
        <w:jc w:val="both"/>
      </w:pPr>
      <w:r>
        <w:rPr>
          <w:rFonts w:ascii="Times New Roman" w:cs="Times New Roman" w:eastAsia="Times New Roman" w:hAnsi="Times New Roman"/>
          <w:b w:val="false"/>
          <w:bCs w:val="false"/>
          <w:sz w:val="22"/>
          <w:szCs w:val="22"/>
        </w:rPr>
        <w:t xml:space="preserve">Quyidagi hisob-kitoblar qayta hisoblanib, to‘g‘ri chiqdi: 2.2.1-jadval va matndagi oraliqlar; SQB va MKB ning ROA/ROE ko‘rsatkichlari; 2.3.2–2.3.3-jadvallardagi tafovutlar; besh yillik foyda yig‘indilari (5 682,1 / 5 005,7; −1 442,2 / −1 374,9); yashirin kredit riski koeffitsiyentlari; 2.3.4-jadvaldagi kapital koeffitsiyentlari; NSFR ning to‘rt varianti (3-ilova); 3.1.5-jadvaldagi va 1–2-ilovalardagi barcha ballar va MBII qiymatlari (7 ta jadval, 35 ta bank-yil); vaznlar yig‘indisi va sezgirlik tahlili; Monte-Karlo o‘rtachalari (78,9 / 55,7); 3.2.4 va 4.1.3–4.1.6-jadvallar (xatolar ulushi, shovqin/signal nisbati, logit ehtimollari, zonalar taqsimoti); 4.2-§ ssenariylari arifmetikasi (3,2 / 3,9 / 4,7), 4.2.4–4.2.6-jadvallar va 7-ilovadagi zonalar; Hausman p-qiymati va koeffitsiyentlarning aksariyat t-statistikalari.</w:t>
      </w:r>
    </w:p>
    <w:p>
      <w:pPr>
        <w:spacing w:after="120"/>
        <w:jc w:val="both"/>
      </w:pPr>
      <w:r>
        <w:rPr>
          <w:rFonts w:ascii="Times New Roman" w:cs="Times New Roman" w:eastAsia="Times New Roman" w:hAnsi="Times New Roman"/>
          <w:b w:val="false"/>
          <w:bCs w:val="false"/>
          <w:sz w:val="22"/>
          <w:szCs w:val="22"/>
        </w:rPr>
        <w:t xml:space="preserve">Eslatma: tuzatilgan nusxada mundarija maydonini yangilash (Ctrl+A, F9) tavsiya etiladi. Asl fayl o‘zgartirilmagan.</w:t>
      </w:r>
    </w:p>
    <w:p/>
    <w:p>
      <w:r>
        <w:rPr>
          <w:color w:val="FF0000"/>
        </w:rPr>
        <w:t>Izoh: qizil rang bilan muallif tomonidan kiritilgan tuzatishlar belgilangan. Dissertatsiya fayli: Dissertatsiya_Maxmudov_O.T_tuzatilgan_v2.docx (taqrizchi tuzatishlari – yashil, muallif tuzatishlari – qizil). Qayta hisob-kitoblar: manbalar/hisob_kitob/ (mbii32.py, vazn32.py, fc42.py, robust_kam.py, lag8_kam.py, kapkanal_kam.py).</w:t>
      </w:r>
    </w:p>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2026-10-12T10:11:57.748Z</dcterms:created>
  <dcterms:modified xsi:type="dcterms:W3CDTF">2026-10-12T10:11:57.753Z</dcterms:modified>
</cp:coreProperties>
</file>

<file path=docProps/custom.xml><?xml version="1.0" encoding="utf-8"?>
<Properties xmlns="http://schemas.openxmlformats.org/officeDocument/2006/custom-properties" xmlns:vt="http://schemas.openxmlformats.org/officeDocument/2006/docPropsVTypes"/>
</file>