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162</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246</w:t>
      </w:r>
    </w:p>
    <w:p w:rsidR="005603EC" w:rsidRDefault="00AB61AC">
      <w:pPr>
        <w:tabs>
          <w:tab w:val="right" w:leader="dot" w:pos="9354"/>
        </w:tabs>
        <w:spacing w:after="80" w:line="240" w:lineRule="auto"/>
      </w:pPr>
      <w:r>
        <w:rPr>
          <w:b/>
          <w:sz w:val="26"/>
        </w:rPr>
        <w:t>ILOVALAR</w:t>
      </w:r>
      <w:r>
        <w:rPr>
          <w:b/>
          <w:sz w:val="26"/>
        </w:rPr>
        <w:tab/>
        <w:t>266</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242</w:t>
      </w:r>
      <w:r>
        <w:rPr/>
        <w:t xml:space="preserve">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3.1.3-rasm</w:t>
      </w:r>
      <w:r>
        <w:rPr>
          <w:b/>
        </w:rPr>
        <w:t xml:space="preserve">.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rPr>
        <w:t xml:space="preserve">tayanch va empirik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t xml:space="preserve">tayanch vaznlar</w:t>
      </w:r>
      <w:r>
        <w:t xml:space="preserve">dan biroz ustun (AUC 0,864–0,907), biroq farq katta emas, </w:t>
      </w:r>
      <w:r>
        <w:rPr/>
        <w:t xml:space="preserve">tayanch vaznlar</w:t>
      </w:r>
      <w:r>
        <w:t xml:space="preserve">ning bashorat kuchi esa bosh komponentlar usuli bilan 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e</w:t>
      </w:r>
      <w:r>
        <w:t xml:space="preserv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