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3.1.1-rasm (namuna)</w:t>
      </w:r>
    </w:p>
    <w:p w:rsidR="005603EC" w:rsidRDefault="00AB61AC">
      <w:pPr>
        <w:pStyle w:val="af"/>
        <w:keepNext/>
        <w:spacing w:after="0" w:line="240" w:lineRule="auto"/>
        <w:jc w:val="center"/>
      </w:pPr>
      <w:r>
        <w:rPr>
          <w:noProof/>
          <w:lang w:val="ru-RU" w:eastAsia="ru-RU"/>
        </w:rPr>
        <w:lastRenderedPageBreak/>
        <mc:AlternateContent>
          <mc:Choice Requires="wpg">
            <w:drawing>
              <wp:inline distT="0" distB="0" distL="0" distR="0" wp14:anchorId="1EABDA6D" wp14:editId="41E7383A">
                <wp:extent cx="5940000" cy="1944000"/>
                <wp:effectExtent l="0" t="0" r="0" b="0"/>
                <wp:docPr id="1542369358" name="3.1.1-ras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1944000"/>
                          <a:chOff x="0" y="0"/>
                          <a:chExt cx="5940000" cy="1944000"/>
                        </a:xfrm>
                      </wpg:grpSpPr>
                      <wps:wsp>
                        <wps:cNvPr id="49837138" name="Shape 2"/>
                        <wps:cNvSpPr/>
                        <wps:spPr>
                          <a:xfrm>
                            <a:off x="36000" y="72000"/>
                            <a:ext cx="1296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1F4E79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1. Ma’lumotlar: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milliy hisobot /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MHXS hisoboti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84890251" name="Shape 3"/>
                        <wps:cNvSpPr/>
                        <wps:spPr>
                          <a:xfrm>
                            <a:off x="1548000" y="72000"/>
                            <a:ext cx="1296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B6834"/>
                          </a:solidFill>
                          <a:ln w="12700">
                            <a:solidFill>
                              <a:srgbClr val="EB6834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2. MHXS yo‘q bo‘lsa: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tuzatish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koeffitsiyentlari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313770471" name="Shape 4"/>
                        <wps:cNvSpPr/>
                        <wps:spPr>
                          <a:xfrm>
                            <a:off x="3060000" y="72000"/>
                            <a:ext cx="1296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2A78D6"/>
                          </a:solidFill>
                          <a:ln w="12700">
                            <a:solidFill>
                              <a:srgbClr val="2A78D6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3. 13 ta ko‘rsatkichni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hisoblash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940459383" name="Shape 5"/>
                        <wps:cNvSpPr/>
                        <wps:spPr>
                          <a:xfrm>
                            <a:off x="4572000" y="72000"/>
                            <a:ext cx="1296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2A78D6"/>
                          </a:solidFill>
                          <a:ln w="12700">
                            <a:solidFill>
                              <a:srgbClr val="2A78D6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4. Uzluksiz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shkalada ballash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(1–4)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748348116" name="Shape 6"/>
                        <wps:cNvSpPr/>
                        <wps:spPr>
                          <a:xfrm>
                            <a:off x="4572000" y="1152000"/>
                            <a:ext cx="1296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70AD47"/>
                          </a:solidFill>
                          <a:ln w="12700">
                            <a:solidFill>
                              <a:srgbClr val="70AD47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5. Bloklar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ballari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454187945" name="Shape 7"/>
                        <wps:cNvSpPr/>
                        <wps:spPr>
                          <a:xfrm>
                            <a:off x="3060000" y="1152000"/>
                            <a:ext cx="1296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70AD47"/>
                          </a:solidFill>
                          <a:ln w="12700">
                            <a:solidFill>
                              <a:srgbClr val="70AD47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6. Vaznlash: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K 0,25; A 0,30;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L 0,20; D 0,15;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V 0,10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787060" name="Shape 8"/>
                        <wps:cNvSpPr/>
                        <wps:spPr>
                          <a:xfrm>
                            <a:off x="1548000" y="1152000"/>
                            <a:ext cx="1296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7030A0"/>
                          </a:solidFill>
                          <a:ln w="12700">
                            <a:solidFill>
                              <a:srgbClr val="7030A0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7. MBII va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barqarorlik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sinfi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1674967485" name="Shape 9"/>
                        <wps:cNvSpPr/>
                        <wps:spPr>
                          <a:xfrm>
                            <a:off x="36000" y="1152000"/>
                            <a:ext cx="1296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C00000"/>
                          </a:solidFill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txbx>
                          <w:txbxContent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8. Nazorat choralari,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ΔMBII, erta</w:t>
                              </w:r>
                            </w:p>
                            <w:p w:rsidR="00AB61AC" w:rsidRDefault="00AB61AC">
                              <w:pPr>
                                <w:spacing w:after="0" w:line="228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  <w:szCs w:val="20"/>
                                </w:rPr>
                                <w:t>ogohlantirish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882799494" name="Connector 10"/>
                        <wps:cNvCnPr/>
                        <wps:spPr>
                          <a:xfrm>
                            <a:off x="1339200" y="432000"/>
                            <a:ext cx="2016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6378166" name="Connector 11"/>
                        <wps:cNvCnPr/>
                        <wps:spPr>
                          <a:xfrm>
                            <a:off x="2851200" y="432000"/>
                            <a:ext cx="2016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62053537" name="Connector 12"/>
                        <wps:cNvCnPr/>
                        <wps:spPr>
                          <a:xfrm>
                            <a:off x="4363200" y="432000"/>
                            <a:ext cx="2016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47137777" name="Connector 13"/>
                        <wps:cNvCnPr/>
                        <wps:spPr>
                          <a:xfrm>
                            <a:off x="5220000" y="799200"/>
                            <a:ext cx="0" cy="345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7952214" name="Connector 14"/>
                        <wps:cNvCnPr/>
                        <wps:spPr>
                          <a:xfrm flipH="1">
                            <a:off x="4363200" y="1512000"/>
                            <a:ext cx="2016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72157686" name="Connector 15"/>
                        <wps:cNvCnPr/>
                        <wps:spPr>
                          <a:xfrm flipH="1">
                            <a:off x="2851200" y="1512000"/>
                            <a:ext cx="2016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81944653" name="Connector 16"/>
                        <wps:cNvCnPr/>
                        <wps:spPr>
                          <a:xfrm flipH="1">
                            <a:off x="1339200" y="1512000"/>
                            <a:ext cx="2016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ABDA6D" id="3.1.1-rasm" o:spid="_x0000_s1306" style="width:467.7pt;height:153.05pt;mso-position-horizontal-relative:char;mso-position-vertical-relative:line" coordsize="594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">
                <v:roundrect id="Shape 2" o:spid="_x0000_s1307" style="position:absolute;left:360;top:720;width:12960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" fillcolor="#1f4e79" strokecolor="#1f4e79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1. Ma’lumotlar: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milliy hisobot /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MHXS hisoboti</w:t>
                        </w:r>
                      </w:p>
                    </w:txbxContent>
                  </v:textbox>
                </v:roundrect>
                <v:roundrect id="Shape 3" o:spid="_x0000_s1308" style="position:absolute;left:15480;top:720;width:12960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" fillcolor="#eb6834" strokecolor="#eb6834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2. MHXS yo‘q bo‘lsa: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tuzatish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koeffitsiyentlari</w:t>
                        </w:r>
                      </w:p>
                    </w:txbxContent>
                  </v:textbox>
                </v:roundrect>
                <v:roundrect id="Shape 4" o:spid="_x0000_s1309" style="position:absolute;left:30600;top:720;width:12960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" fillcolor="#2a78d6" strokecolor="#2a78d6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3. 13 ta ko‘rsatkichni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hisoblash</w:t>
                        </w:r>
                      </w:p>
                    </w:txbxContent>
                  </v:textbox>
                </v:roundrect>
                <v:roundrect id="Shape 5" o:spid="_x0000_s1310" style="position:absolute;left:45720;top:720;width:12960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" fillcolor="#2a78d6" strokecolor="#2a78d6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4. Uzluksiz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shkalada ballash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(1–4)</w:t>
                        </w:r>
                      </w:p>
                    </w:txbxContent>
                  </v:textbox>
                </v:roundrect>
                <v:roundrect id="Shape 6" o:spid="_x0000_s1311" style="position:absolute;left:45720;top:11520;width:12960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" fillcolor="#70ad47" strokecolor="#70ad47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5. Bloklar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ballari</w:t>
                        </w:r>
                      </w:p>
                    </w:txbxContent>
                  </v:textbox>
                </v:roundrect>
                <v:roundrect id="Shape 7" o:spid="_x0000_s1312" style="position:absolute;left:30600;top:11520;width:12960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" fillcolor="#70ad47" strokecolor="#70ad47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6. Vaznlash: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K 0,25; A 0,30;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L 0,20; D 0,15;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V 0,10</w:t>
                        </w:r>
                      </w:p>
                    </w:txbxContent>
                  </v:textbox>
                </v:roundrect>
                <v:roundrect id="Shape 8" o:spid="_x0000_s1313" style="position:absolute;left:15480;top:11520;width:12960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" fillcolor="#7030a0" strokecolor="#7030a0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7. MBII va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barqarorlik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sinfi</w:t>
                        </w:r>
                      </w:p>
                    </w:txbxContent>
                  </v:textbox>
                </v:roundrect>
                <v:roundrect id="Shape 9" o:spid="_x0000_s1314" style="position:absolute;left:360;top:11520;width:12960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" fillcolor="#c00000" strokecolor="#c00000" strokeweight="1pt">
                  <v:textbox inset="1mm,.5mm,1mm,.5mm">
                    <w:txbxContent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8. Nazorat choralari,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ΔMBII, erta</w:t>
                        </w:r>
                      </w:p>
                      <w:p w:rsidR="00AB61AC" w:rsidRDefault="00AB61AC">
                        <w:pPr>
                          <w:spacing w:after="0" w:line="228" w:lineRule="auto"/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  <w:szCs w:val="20"/>
                          </w:rPr>
                          <w:t>ogohlantirish</w:t>
                        </w:r>
                      </w:p>
                    </w:txbxContent>
                  </v:textbox>
                </v:roundrect>
                <v:shape id="Connector 10" o:spid="_x0000_s1315" type="#_x0000_t32" style="position:absolute;left:13392;top:4320;width:20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" strokecolor="#404040" strokeweight="1.5pt">
                  <v:stroke endarrow="block"/>
                </v:shape>
                <v:shape id="Connector 11" o:spid="_x0000_s1316" type="#_x0000_t32" style="position:absolute;left:28512;top:4320;width:20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" strokecolor="#404040" strokeweight="1.5pt">
                  <v:stroke endarrow="block"/>
                </v:shape>
                <v:shape id="Connector 12" o:spid="_x0000_s1317" type="#_x0000_t32" style="position:absolute;left:43632;top:4320;width:20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" strokecolor="#404040" strokeweight="1.5pt">
                  <v:stroke endarrow="block"/>
                </v:shape>
                <v:shape id="Connector 13" o:spid="_x0000_s1318" type="#_x0000_t32" style="position:absolute;left:52200;top:7992;width:0;height:34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" strokecolor="#404040" strokeweight="1.5pt">
                  <v:stroke endarrow="block"/>
                </v:shape>
                <v:shape id="Connector 14" o:spid="_x0000_s1319" type="#_x0000_t32" style="position:absolute;left:43632;top:15120;width:201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" strokecolor="#404040" strokeweight="1.5pt">
                  <v:stroke endarrow="block"/>
                </v:shape>
                <v:shape id="Connector 15" o:spid="_x0000_s1320" type="#_x0000_t32" style="position:absolute;left:28512;top:15120;width:201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" strokecolor="#404040" strokeweight="1.5pt">
                  <v:stroke endarrow="block"/>
                </v:shape>
                <v:shape id="Connector 16" o:spid="_x0000_s1321" type="#_x0000_t32" style="position:absolute;left:13392;top:15120;width:201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" strokecolor="#404040" strokeweight="1.5pt">
                  <v:stroke endarrow="block"/>
                </v:shape>
                <w10:anchorlock/>
              </v:group>
            </w:pict>
          </mc:Fallback>
        </mc:AlternateContent>
      </w:r>
    </w:p>
    <w:p>
      <w:pPr>
        <w:jc w:val="center"/>
      </w:pPr>
      <w:r>
        <w:rPr>
          <w:b/>
          <w:sz w:val="28"/>
        </w:rPr>
        <w:t>3.1.1-rasm. Moliyaviy barqarorlikning integral indeksini hisoblash algoritmi</w:t>
      </w:r>
    </w:p>
    <w:p>
      <w:pPr>
        <w:jc w:val="both"/>
      </w:pPr>
      <w:r>
        <w:rPr>
          <w:b w:val="0"/>
          <w:color w:val="FF0000"/>
          <w:sz w:val="24"/>
        </w:rPr>
        <w:t>6-bosqich: hozir – “0,25; 0,30; 0,20; 0,15; 0,10”; yangi – “K 0,25; A 0,30; L 0,20; D 0,15; V 0,10” (K – kapital yetarliligi, A – aktivlar sifati, L – likvidlik, D – daromadlilik, V – valyuta riskiga sezgirlik; harflar 3.1.2-jadvaldagi ko‘rsatkichlar belgilariga mos).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