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2021–2023-yillarda 2,65–2,82 ballni tashkil etib, deyarli barcha choraklarda 2,75 ballik chegaradan pastda bo‘lgan, 2024-yil II–III choraklarida esa 2,36–2,38 ballgacha keskin pasaygan, ya’ni zarar tan olinishidan ikki chorak oldin qo‘shimcha signal bergan. «Biznesni rivojlantirish banki» ATB ning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A2B28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082366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4C9B37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Sheet1!$D$2:$D$18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6"/>
          <c:min val="2021.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