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2021–2025-yillar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2021–2023-yillarda 2,65–2,82 ballni tashkil etib, deyarli barcha choraklarda 2,75 ballik chegaradan pastda bo‘lgan, 2024-yil II–III choraklarida esa 2,36–2,38 ballgacha keskin pasaygan, ya’ni zarar tan olinishidan ikki chorak oldin qo‘shimcha signal bergan. «Biznesni rivojlantirish banki» ATB ning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4">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Sheet1!$B$2:$B$22</c:f>
              <c:numCache>
                <c:formatCode>General</c:formatCode>
                <c:ptCount val="21"/>
                <c:pt idx="0">
                  <c:v>0.077</c:v>
                </c:pt>
                <c:pt idx="1">
                  <c:v>0.615</c:v>
                </c:pt>
                <c:pt idx="2">
                  <c:v>0.731</c:v>
                </c:pt>
                <c:pt idx="3">
                  <c:v>0.731</c:v>
                </c:pt>
                <c:pt idx="4">
                  <c:v>0.769</c:v>
                </c:pt>
                <c:pt idx="5">
                  <c:v>0.846</c:v>
                </c:pt>
                <c:pt idx="6">
                  <c:v>0.846</c:v>
                </c:pt>
                <c:pt idx="7">
                  <c:v>0.846</c:v>
                </c:pt>
                <c:pt idx="8">
                  <c:v>0.846</c:v>
                </c:pt>
                <c:pt idx="9">
                  <c:v>0.846</c:v>
                </c:pt>
                <c:pt idx="10">
                  <c:v>0.846</c:v>
                </c:pt>
                <c:pt idx="11">
                  <c:v>0.885</c:v>
                </c:pt>
                <c:pt idx="12">
                  <c:v>0.885</c:v>
                </c:pt>
                <c:pt idx="13">
                  <c:v>0.923</c:v>
                </c:pt>
                <c:pt idx="14">
                  <c:v>0.962</c:v>
                </c:pt>
                <c:pt idx="15">
                  <c:v>1.0</c:v>
                </c:pt>
                <c:pt idx="16">
                  <c:v>1.0</c:v>
                </c:pt>
                <c:pt idx="17">
                  <c:v>1.0</c:v>
                </c:pt>
                <c:pt idx="18">
                  <c:v>1.0</c:v>
                </c:pt>
                <c:pt idx="19">
                  <c:v>1.0</c:v>
                </c:pt>
                <c:pt idx="20">
                  <c:v>1.0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Sheet1!$D$2:$D$22</c:f>
              <c:numCache>
                <c:formatCode>General</c:formatCode>
                <c:ptCount val="21"/>
                <c:pt idx="0">
                  <c:v>0.077</c:v>
                </c:pt>
                <c:pt idx="1">
                  <c:v>0.5</c:v>
                </c:pt>
                <c:pt idx="2">
                  <c:v>0.654</c:v>
                </c:pt>
                <c:pt idx="3">
                  <c:v>0.769</c:v>
                </c:pt>
                <c:pt idx="4">
                  <c:v>0.846</c:v>
                </c:pt>
                <c:pt idx="5">
                  <c:v>0.885</c:v>
                </c:pt>
                <c:pt idx="6">
                  <c:v>0.885</c:v>
                </c:pt>
                <c:pt idx="7">
                  <c:v>0.885</c:v>
                </c:pt>
                <c:pt idx="8">
                  <c:v>0.885</c:v>
                </c:pt>
                <c:pt idx="9">
                  <c:v>0.885</c:v>
                </c:pt>
                <c:pt idx="10">
                  <c:v>0.885</c:v>
                </c:pt>
                <c:pt idx="11">
                  <c:v>0.885</c:v>
                </c:pt>
                <c:pt idx="12">
                  <c:v>0.885</c:v>
                </c:pt>
                <c:pt idx="13">
                  <c:v>0.923</c:v>
                </c:pt>
                <c:pt idx="14">
                  <c:v>0.923</c:v>
                </c:pt>
                <c:pt idx="15">
                  <c:v>0.962</c:v>
                </c:pt>
                <c:pt idx="16">
                  <c:v>0.962</c:v>
                </c:pt>
                <c:pt idx="17">
                  <c:v>1.0</c:v>
                </c:pt>
                <c:pt idx="18">
                  <c:v>1.0</c:v>
                </c:pt>
                <c:pt idx="19">
                  <c:v>1.0</c:v>
                </c:pt>
                <c:pt idx="20">
                  <c:v>1.0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Sheet1!$F$2:$F$22</c:f>
              <c:numCache>
                <c:formatCode>General</c:formatCode>
                <c:ptCount val="21"/>
                <c:pt idx="0">
                  <c:v>0.0</c:v>
                </c:pt>
                <c:pt idx="1">
                  <c:v>0.0</c:v>
                </c:pt>
                <c:pt idx="2">
                  <c:v>0.111</c:v>
                </c:pt>
                <c:pt idx="3">
                  <c:v>0.111</c:v>
                </c:pt>
                <c:pt idx="4">
                  <c:v>0.111</c:v>
                </c:pt>
                <c:pt idx="5">
                  <c:v>0.278</c:v>
                </c:pt>
                <c:pt idx="6">
                  <c:v>0.444</c:v>
                </c:pt>
                <c:pt idx="7">
                  <c:v>0.5</c:v>
                </c:pt>
                <c:pt idx="8">
                  <c:v>0.5</c:v>
                </c:pt>
                <c:pt idx="9">
                  <c:v>0.5</c:v>
                </c:pt>
                <c:pt idx="10">
                  <c:v>0.5</c:v>
                </c:pt>
                <c:pt idx="11">
                  <c:v>0.5</c:v>
                </c:pt>
                <c:pt idx="12">
                  <c:v>0.5</c:v>
                </c:pt>
                <c:pt idx="13">
                  <c:v>0.5</c:v>
                </c:pt>
                <c:pt idx="14">
                  <c:v>0.5</c:v>
                </c:pt>
                <c:pt idx="15">
                  <c:v>0.5</c:v>
                </c:pt>
                <c:pt idx="16">
                  <c:v>0.5</c:v>
                </c:pt>
                <c:pt idx="17">
                  <c:v>0.5</c:v>
                </c:pt>
                <c:pt idx="18">
                  <c:v>0.667</c:v>
                </c:pt>
                <c:pt idx="19">
                  <c:v>0.778</c:v>
                </c:pt>
                <c:pt idx="20">
                  <c:v>1.0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Sheet1!$H$2:$H$22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yVal>
          <c:smooth val="0"/>
        </c:ser>
        <c:axId val="333"/>
        <c:axId val="444"/>
      </c:scatterChart>
      <c:valAx>
        <c:axId val="333"/>
        <c:scaling>
          <c:orientation val="minMax"/>
          <c:max val="1"/>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
      </c:valAx>
      <c:valAx>
        <c:axId val="444"/>
        <c:scaling>
          <c:orientation val="minMax"/>
          <c:max val="1"/>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ulushi</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Sheet1!$D$2:$D$18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6"/>
          <c:min val="2021.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2026-10-11T20:05:32Z</dcterms:created>
  <dcterms:modified xsi:type="dcterms:W3CDTF">2026-10-11T20:05:32Z</dcterms:modified>
</cp:coreProperties>
</file>

<file path=docProps/custom.xml><?xml version="1.0" encoding="utf-8"?>
<Properties xmlns="http://schemas.openxmlformats.org/officeDocument/2006/custom-properties" xmlns:vt="http://schemas.openxmlformats.org/officeDocument/2006/docPropsVTypes"/>
</file>