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267</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rStyle w:val="aff8"/>
        </w:rPr>
        <w:footnoteReference w:id="427"/>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color w:val="FF0000"/>
                <w:sz w:val="22"/>
              </w:rPr>
              <w:t xml:space="preserve">Bank / 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w:t>
      </w:r>
      <w:r>
        <w:rPr>
          <w:color w:val="FF0000"/>
        </w:rPr>
        <w:t xml:space="preserve">AUC 0,865–0,907, tayanch vaznlarda – 0,864)</w:t>
      </w:r>
      <w:r>
        <w:t xml:space="preserve">, biroq farq katta emas, </w:t>
      </w:r>
      <w:r>
        <w:rPr/>
        <w:t xml:space="preserve">tayanch vaznlar</w:t>
      </w:r>
      <w:r>
        <w:t xml:space="preserve">ning bashorat kuchi esa bosh komponentlar usuli bilan </w:t>
      </w:r>
      <w:r>
        <w:rPr>
          <w:color w:val="FF0000"/>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color w:val="FF0000"/>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e</w:t>
      </w:r>
      <w:r>
        <w:t xml:space="preserve">mpirik asoslangan indeks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