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ulosa"/>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XULOSA</w:t>
      </w:r>
    </w:p>
    <w:p>
      <w:pPr>
        <w:pStyle w:val="FirstParagraph"/>
        <w:spacing w:line="360" w:lineRule="auto" w:before="0" w:after="0"/>
        <w:ind w:firstLine="709"/>
        <w:jc w:val="both"/>
      </w:pPr>
      <w:r>
        <w:rPr>
          <w:rFonts w:ascii="Times New Roman" w:hAnsi="Times New Roman" w:cs="Times New Roman" w:eastAsia="Times New Roman"/>
          <w:sz w:val="28"/>
        </w:rPr>
        <w:t xml:space="preserve">«Tijorat banklari moliyaviy barqarorligini xalqaro standartlar asosida baholash metodologiyasini takomillashtirish» mavzusidagi dissertatsiya tadqiqoti natijasida quyidagi ilmiy-nazariy xulosalar, metodik natijalar va amaliy takliflar shakllantirildi.</w:t>
      </w:r>
    </w:p>
    <w:p>
      <w:pPr>
        <w:pStyle w:val="BodyText"/>
        <w:spacing w:line="360" w:lineRule="auto" w:before="0" w:after="0"/>
        <w:ind w:firstLine="709"/>
        <w:jc w:val="both"/>
      </w:pPr>
      <w:r>
        <w:rPr>
          <w:bCs/>
          <w:rFonts w:ascii="Times New Roman" w:hAnsi="Times New Roman" w:cs="Times New Roman" w:eastAsia="Times New Roman"/>
          <w:b/>
          <w:sz w:val="28"/>
        </w:rPr>
        <w:t xml:space="preserve">I. Ilmiy-nazariy xulosalar</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Tijorat banki moliyaviy barqarorligi stabillik, ishonchlilik va muvozanat kabi yaqin tushunchalardan farqli o‘laroq, dinamik va kompleks xususiyat bo‘lib, u bankning ichki va tashqi shoklar sharoitida o‘z funksiyalarini uzluksiz bajarish, kapital, aktivlar sifati, likvidlik va daromadlilik o‘rtasidagi muvozanatni saqlash hamda xalqaro standartlarda belgilangan chegaralarga nisbatan yetarli zaxiraga ega bo‘lish qobiliyatini ifodalaydi. Mavjud nazariy modellar – likvidlik yaratish, moliyaviy beqarorlik, kapital-bufer, Z-score va makroprudensial modellar barqarorlikning alohida tomonlarini tushuntiradi, biroq ularning birortasi alohida olinganda tijorat banki barqarorligini to‘liq tavsiflay olmaydi, bu esa integral baholash zaruratini asoslaydi.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Bazel III kapital va likvidlik bo‘yicha aniq mezonlar va pog‘onali baholash namunasini, MHXS 9 aktivlar sifatini kutilgan kredit zararlari orqali kelajakka yo‘naltirilgan holda baholash tamoyilini, Xalqaro valyuta jamg‘armasining moliyaviy barqarorlik ko‘rsatkichlari esa xalqaro taqqoslanadigan ko‘rsatkichlar tizimini beradi. Xorijiy tajriba – AQShdagi reyting tizimi va tezkor tuzatish choralari, Yevropa Ittifoqidagi nazorat tekshiruvi va baholash jarayoni, Rossiyadagi ballik tizim va Xitoy amaliyoti – baholash natijalarini nazorat choralari bilan bog‘lash, statistik modellarning bashorat aniqligini muntazam tekshirish va davlat ishtirokidagi kreditlash sharoitida rasmiy ko‘rsatkichlar haqiqiy riskni kamsitib ko‘rsatishi mumkinligini hisobga olish zarurligini ko‘rsatdi.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 prudensial me’yorlar, risklarga asoslangan nazorat va makroprudensial monitoring orqali amalga oshiriladi va 2025-yilda kapital monandligi talablarining yangilanishi bilan me’yoriy baza Bazel III ga sezilarli yaqinlashdi. Biroq amaldagi tizimda bankning moliyaviy barqarorligini ochiq ma’lumotlar asosida, yagona integral ko‘rsatkich orqali va bashorat elementi bilan baholaydigan vosita mavjud emas, aktivlar sifatini tasniflash qoidalari esa MHXS 9 dan sezilarli farq qiladi.</w:t>
      </w:r>
    </w:p>
    <w:p>
      <w:pPr>
        <w:pStyle w:val="FirstParagraph"/>
        <w:spacing w:line="360" w:lineRule="auto" w:before="0" w:after="0"/>
        <w:ind w:firstLine="709"/>
        <w:jc w:val="both"/>
      </w:pPr>
      <w:r>
        <w:rPr>
          <w:bCs/>
          <w:rFonts w:ascii="Times New Roman" w:hAnsi="Times New Roman" w:cs="Times New Roman" w:eastAsia="Times New Roman"/>
          <w:b/>
          <w:sz w:val="28"/>
        </w:rPr>
        <w:t xml:space="preserve">II. Tahliliy va metodik natijalar</w:t>
      </w:r>
    </w:p>
    <w:p>
      <w:pPr>
        <w:numPr>
          <w:ilvl w:val="0"/>
          <w:numId w:val="1002"/>
        </w:numPr>
        <w:spacing w:line="360" w:lineRule="auto" w:before="0" w:after="0"/>
        <w:ind w:firstLine="709"/>
        <w:jc w:val="both"/>
      </w:pPr>
      <w:r>
        <w:rPr>
          <w:rFonts w:ascii="Times New Roman" w:hAnsi="Times New Roman" w:cs="Times New Roman" w:eastAsia="Times New Roman"/>
          <w:sz w:val="28"/>
        </w:rPr>
        <w:t xml:space="preserve">2021–2025-yillarda O‘zbekiston bank tizimi jadal o‘sdi, davlat banklarining aktivlardagi ulushi 81,5 foizdan 63,5 foizgacha kamaydi, rasmiy kapital monandligi 17,4–18,3 foiz darajasida saqlandi. Biroq aktivlar sifati bank tizimining eng zaif bo‘g‘ini bo‘lib qolmoqda: rasmiy muammoli kreditlar ulushi 3 foizgacha pasaygan bo‘lsa-da, substandart va muammoli kreditlarning birgalikdagi ulushi 2024-yilda 21 foizga yetgan.</w:t>
      </w:r>
    </w:p>
    <w:p>
      <w:pPr>
        <w:numPr>
          <w:ilvl w:val="0"/>
          <w:numId w:val="1002"/>
        </w:numPr>
        <w:spacing w:line="360" w:lineRule="auto" w:before="0" w:after="0"/>
        <w:ind w:firstLine="709"/>
        <w:jc w:val="both"/>
      </w:pPr>
      <w:r>
        <w:rPr>
          <w:rFonts w:ascii="Times New Roman" w:hAnsi="Times New Roman" w:cs="Times New Roman" w:eastAsia="Times New Roman"/>
          <w:sz w:val="28"/>
        </w:rPr>
        <w:t xml:space="preserve">Milliy prudensial hisobot va MHXS bo‘yicha hisobot o‘rtasidagi tafovut muntazam xususiyatga ega. «O‘zsanoatqurilishbank» ATB da MHXS bo‘yicha xususiy kapital milliy hisobotdagidan 3,2–13,5 foiz kam, kredit zaxiralari 1,3–2,2 barobar ko‘p bo‘lib, 2025-yil yakunida MHXS 9 bo‘yicha qadrsizlangan kreditlarning 57,2 foizi milliy tasnifda «standart» yoki «substandart» toifasida aks etgan. «Mikrokreditbank» ATB da zarar milliy hisobotda MHXS ga nisbatan bir yil kechikib tan olingan. MHXS ma’lumotlari asosida qayta hisoblangan birinchi darajali asosiy kapital monandligi «O‘zsanoatqurilishbank» ATB da 8,87 foizgacha pasayib, minimal talabga yaqinlashadi.</w:t>
      </w:r>
    </w:p>
    <w:p>
      <w:pPr>
        <w:numPr>
          <w:ilvl w:val="0"/>
          <w:numId w:val="1002"/>
        </w:numPr>
        <w:spacing w:line="360" w:lineRule="auto" w:before="0" w:after="0"/>
        <w:ind w:firstLine="709"/>
        <w:jc w:val="both"/>
      </w:pPr>
      <w:r>
        <w:rPr>
          <w:rFonts w:ascii="Times New Roman" w:hAnsi="Times New Roman" w:cs="Times New Roman" w:eastAsia="Times New Roman"/>
          <w:sz w:val="28"/>
        </w:rPr>
        <w:t xml:space="preserve">Milliy hisobotdagi muammoli kreditlar ko‘rsatkichining kredit riskini kamsitib ko‘rsatish darajasini o‘lchash uchun yashirin kredit riski koeffitsiyenti taklif etildi. U tahlil qilingan banklarda 1,7–5,6 ni, «O‘zsanoatqurilishbank» ATB da 1,65–2,96 ni, «Mikrokreditbank» ATB da 2,77–3,30 ni tashkil etdi. Koeffitsiyentning banklar o‘rtasida keskin farq qilishi uni tizim bo‘yicha yagona qiymat sifatida emas, balki har bir bank uchun alohida hisoblash zarurligini ko‘rsatadi. Sof barqaror moliyalashtirish me’yorini to‘rt variantda hisoblash metodika farqi me’yorni 5,4 foiz punktga oshirishini, MHXS tuzatishlari esa 2,7 foiz punktga pasaytirishini ko‘rsatdi.</w:t>
      </w:r>
    </w:p>
    <w:p>
      <w:pPr>
        <w:numPr>
          <w:ilvl w:val="0"/>
          <w:numId w:val="1002"/>
        </w:numPr>
        <w:spacing w:line="360" w:lineRule="auto" w:before="0" w:after="0"/>
        <w:ind w:firstLine="709"/>
        <w:jc w:val="both"/>
      </w:pPr>
      <w:r>
        <w:rPr>
          <w:rFonts w:ascii="Times New Roman" w:hAnsi="Times New Roman" w:cs="Times New Roman" w:eastAsia="Times New Roman"/>
          <w:sz w:val="28"/>
        </w:rPr>
        <w:t xml:space="preserve">Bazel III, MHXS 9 va Xalqaro valyuta jamg‘armasi standartlariga asoslangan moliyaviy barqarorlikning integral indeksi ishlab chiqildi. U besh blok – kapital yetarliligi, aktivlar sifati, likvidlik, daromadlilik va valyuta riskiga sezgirlik bo‘yicha 13 ta ko‘rsatkichni 1–4 ballik uzluksiz shkalada baholab, yagona bahoga keltiradi va banklarni to‘rtta barqarorlik sinfiga ajratadi. Indeksning milliy va MHXS hisobotlari asosidagi variantlari o‘rtasidagi farq (ΔMBII) «O‘zsanoatqurilishbank» ATB da −0,44, «Mikrokreditbank» ATB da −0,66 ballni tashkil etib, uning 86–87 foizi aktivlar sifati blokiga to‘g‘ri keladi, ya’ni milliy hisobot banklar barqarorligini bir sinfga oshirib ko‘rsatadi.</w:t>
      </w:r>
    </w:p>
    <w:p>
      <w:pPr>
        <w:numPr>
          <w:ilvl w:val="0"/>
          <w:numId w:val="1002"/>
        </w:numPr>
        <w:spacing w:line="360" w:lineRule="auto" w:before="0" w:after="0"/>
        <w:ind w:firstLine="709"/>
        <w:jc w:val="both"/>
      </w:pPr>
      <w:r>
        <w:rPr>
          <w:rFonts w:ascii="Times New Roman" w:hAnsi="Times New Roman" w:cs="Times New Roman" w:eastAsia="Times New Roman"/>
          <w:sz w:val="28"/>
        </w:rPr>
        <w:t xml:space="preserve">Indeks vaznlari va sinflar chegaralari empirik jihatdan asoslandi: entropiya, variatsiya koeffitsiyenti, bosh komponentlar va logit usullarining barchasi aktivlar sifati blokining yetakchi ahamiyatini tasdiqladi, banklar tartibi esa vaznlarning oqilona o‘zgarishlariga barqaror (tartib korrelyatsiyasi 0,95–0,99). I, II va III sinflardagi banklarda keyingi bir yil ichida jiddiy zarar yuz berish ehtimoli mos ravishda 2,0; 13,3 va 90,0 foizni tashkil etdi.</w:t>
      </w:r>
    </w:p>
    <w:p>
      <w:pPr>
        <w:numPr>
          <w:ilvl w:val="0"/>
          <w:numId w:val="1002"/>
        </w:numPr>
        <w:spacing w:line="360" w:lineRule="auto" w:before="0" w:after="0"/>
        <w:ind w:firstLine="709"/>
        <w:jc w:val="both"/>
      </w:pPr>
      <w:r>
        <w:rPr>
          <w:rFonts w:ascii="Times New Roman" w:hAnsi="Times New Roman" w:cs="Times New Roman" w:eastAsia="Times New Roman"/>
          <w:sz w:val="28"/>
        </w:rPr>
        <w:t xml:space="preserve">25 ta tijorat bankining 2021–2025-yillardagi choraklik panel ma’lumotlari asosidagi ekonometrik tahlil depozit bazasi va sof foiz marjasi moliyaviy barqarorlikni oshirishini, davlat banklarining integral indeksi esa xususiy banklarnikidan 0,69 ballga pastligini va bu farqning qariyb yarmi moliyalashtirish modeli bilan izohlanishini ko‘rsatdi. Davlat ko‘magi chiqarib tashlangan holda «Mikrokreditbank» ATB ning indeksi 2,47 balldan 1,72 ballgacha, ya’ni nobarqaror sinfgacha pasayadi. An’anaviy Z-score ko‘rsatkichi davlat banklarining zaifligini aniqlamaydi, chunki davlat ko‘magi ularning daromadliligini barqarorlashtiradi.</w:t>
      </w:r>
    </w:p>
    <w:p>
      <w:pPr>
        <w:numPr>
          <w:ilvl w:val="0"/>
          <w:numId w:val="1002"/>
        </w:numPr>
        <w:spacing w:line="360" w:lineRule="auto" w:before="0" w:after="0"/>
        <w:ind w:firstLine="709"/>
        <w:jc w:val="both"/>
      </w:pPr>
      <w:r>
        <w:rPr>
          <w:rFonts w:ascii="Times New Roman" w:hAnsi="Times New Roman" w:cs="Times New Roman" w:eastAsia="Times New Roman"/>
          <w:sz w:val="28"/>
        </w:rPr>
        <w:t xml:space="preserve">Integral indeks bankda jiddiy zarar yuzaga kelishini to‘rt chorak oldin yuqori aniqlik bilan bashorat qiladi: uning bashorat kuchi (AUC) 0,86 ni, vaqtdan tashqari sinovda 0,95 ni tashkil etdi, Z-score niki esa 0,42 ga teng. Indeks asosida uch zonali erta ogohlantirish tizimi taklif etildi: yashil (3,25 ball va undan yuqori), sariq (2,75–3,25 ball) va qizil (2,75 balldan past) zonalar. Tahlil davrida qizil zonadagi banklarning 50 foizida bir yil ichida muammo yuz bergan, yashil zonada esa bu ko‘rsatkich 2 foizni tashkil etgan.</w:t>
      </w:r>
    </w:p>
    <w:p>
      <w:pPr>
        <w:numPr>
          <w:ilvl w:val="0"/>
          <w:numId w:val="1002"/>
        </w:numPr>
        <w:spacing w:line="360" w:lineRule="auto" w:before="0" w:after="0"/>
        <w:ind w:firstLine="709"/>
        <w:jc w:val="both"/>
      </w:pPr>
      <w:r>
        <w:rPr>
          <w:rFonts w:ascii="Times New Roman" w:hAnsi="Times New Roman" w:cs="Times New Roman" w:eastAsia="Times New Roman"/>
          <w:sz w:val="28"/>
        </w:rPr>
        <w:t xml:space="preserve">2020 va 2022-yillarda kuzatilgan iqtisodiy shoklar asosida tuzilgan 2026–2028-yillarga shartli ssenariy prognozi asosiy va ijobiy ssenariylarda bank tizimi barqaror qolishini, keskin salbiy ssenariyda esa 2027-yilda muammoli kreditlar ulushi 2,9 foizdan 4,6 foizgacha oshib, tizim aktivlarining 24,3 foizini tashkil etuvchi to‘rtta davlat banki qizil zonaga tushishini ko‘rsatdi. «O‘zsanoatqurilishbank» ATB keskin salbiy ssenariyda milliy hisobot bo‘yicha yashil zonada qolsa, MHXS bo‘yicha qizil zonaga tushadi, bu esa milliy ma’lumotlar asosidagi stress-test bankning bardoshliligini oshirib ko‘rsatishini isbotlaydi.</w:t>
      </w:r>
    </w:p>
    <w:p>
      <w:pPr>
        <w:pStyle w:val="FirstParagraph"/>
        <w:spacing w:line="360" w:lineRule="auto" w:before="0" w:after="0"/>
        <w:ind w:firstLine="709"/>
        <w:jc w:val="both"/>
      </w:pPr>
      <w:r>
        <w:rPr>
          <w:bCs/>
          <w:rFonts w:ascii="Times New Roman" w:hAnsi="Times New Roman" w:cs="Times New Roman" w:eastAsia="Times New Roman"/>
          <w:b/>
          <w:sz w:val="28"/>
        </w:rPr>
        <w:t xml:space="preserve">III. Amaliy taklif va tavsiyalar</w:t>
      </w:r>
    </w:p>
    <w:p>
      <w:pPr>
        <w:numPr>
          <w:ilvl w:val="0"/>
          <w:numId w:val="1003"/>
        </w:numPr>
        <w:pStyle w:val="Compact"/>
        <w:spacing w:line="360" w:lineRule="auto" w:before="0" w:after="0"/>
        <w:ind w:firstLine="0"/>
        <w:jc w:val="both"/>
      </w:pPr>
      <w:r>
        <w:rPr>
          <w:rFonts w:ascii="Times New Roman" w:hAnsi="Times New Roman" w:cs="Times New Roman" w:eastAsia="Times New Roman"/>
          <w:sz w:val="28"/>
        </w:rPr>
        <w:t xml:space="preserve">O‘zbekiston Respublikasi Markaziy bankiga:</w:t>
      </w:r>
    </w:p>
    <w:p>
      <w:pPr>
        <w:pStyle w:val="FirstParagraph"/>
        <w:spacing w:line="360" w:lineRule="auto" w:before="0" w:after="0"/>
        <w:ind w:firstLine="709"/>
        <w:jc w:val="both"/>
      </w:pPr>
      <w:r>
        <w:rPr>
          <w:rFonts w:ascii="Times New Roman" w:hAnsi="Times New Roman" w:cs="Times New Roman" w:eastAsia="Times New Roman"/>
          <w:sz w:val="28"/>
        </w:rPr>
        <w:t xml:space="preserve">integral indeksni prudensial hisobotlar asosida har chorakda hisoblash va uni risklarga asoslangan nazoratda masofaviy monitoring vositasi sifatida qo‘llash;</w:t>
      </w:r>
    </w:p>
    <w:p>
      <w:pPr>
        <w:pStyle w:val="BodyText"/>
        <w:spacing w:line="360" w:lineRule="auto" w:before="0" w:after="0"/>
        <w:ind w:firstLine="709"/>
        <w:jc w:val="both"/>
      </w:pPr>
      <w:r>
        <w:rPr>
          <w:rFonts w:ascii="Times New Roman" w:hAnsi="Times New Roman" w:cs="Times New Roman" w:eastAsia="Times New Roman"/>
          <w:sz w:val="28"/>
        </w:rPr>
        <w:t xml:space="preserve">«yo‘l xaritasi»da nazarda tutilgan erta ogohlantirish va tezkor tuzatish choralari tizimini integral indeksning uch zonali shkalasi asosida shakllantirish va har bir zona uchun nazorat choralarini belgilash;</w:t>
      </w:r>
    </w:p>
    <w:p>
      <w:pPr>
        <w:pStyle w:val="BodyText"/>
        <w:spacing w:line="360" w:lineRule="auto" w:before="0" w:after="0"/>
        <w:ind w:firstLine="709"/>
        <w:jc w:val="both"/>
      </w:pPr>
      <w:r>
        <w:rPr>
          <w:rFonts w:ascii="Times New Roman" w:hAnsi="Times New Roman" w:cs="Times New Roman" w:eastAsia="Times New Roman"/>
          <w:sz w:val="28"/>
        </w:rPr>
        <w:t xml:space="preserve">aktivlarni tasniflashning MHXS 9 ga asoslangan yangi qoidalari to‘liq joriy etilgunga qadar milliy muammoli kreditlar ko‘rsatkichini yashirin kredit riski koeffitsiyenti bilan tuzatgan holda baholashda qo‘llash;</w:t>
      </w:r>
    </w:p>
    <w:p>
      <w:pPr>
        <w:pStyle w:val="BodyText"/>
        <w:spacing w:line="360" w:lineRule="auto" w:before="0" w:after="0"/>
        <w:ind w:firstLine="709"/>
        <w:jc w:val="both"/>
      </w:pPr>
      <w:r>
        <w:rPr>
          <w:rFonts w:ascii="Times New Roman" w:hAnsi="Times New Roman" w:cs="Times New Roman" w:eastAsia="Times New Roman"/>
          <w:sz w:val="28"/>
        </w:rPr>
        <w:t xml:space="preserve">oshkor qilish talablariga milliy tasnif va MHXS 9 bosqichlari kesishma jadvalini hamda bank kesimidagi asosiy prudensial koeffitsiyentlarning choraklik qiymatlarini kiritish;</w:t>
      </w:r>
    </w:p>
    <w:p>
      <w:pPr>
        <w:pStyle w:val="BodyText"/>
        <w:spacing w:line="360" w:lineRule="auto" w:before="0" w:after="0"/>
        <w:ind w:firstLine="709"/>
        <w:jc w:val="both"/>
      </w:pPr>
      <w:r>
        <w:rPr>
          <w:rFonts w:ascii="Times New Roman" w:hAnsi="Times New Roman" w:cs="Times New Roman" w:eastAsia="Times New Roman"/>
          <w:sz w:val="28"/>
        </w:rPr>
        <w:t xml:space="preserve">makro stress-testlarni MHXS 9 bosqichlari asosidagi ma’lumotlar bilan o‘tkazish va natijalarini erta ogohlantirish zonalari ko‘rinishida ifodalash;</w:t>
      </w:r>
    </w:p>
    <w:p>
      <w:pPr>
        <w:pStyle w:val="BodyText"/>
        <w:spacing w:line="360" w:lineRule="auto" w:before="0" w:after="0"/>
        <w:ind w:firstLine="709"/>
        <w:jc w:val="both"/>
      </w:pPr>
      <w:r>
        <w:rPr>
          <w:rFonts w:ascii="Times New Roman" w:hAnsi="Times New Roman" w:cs="Times New Roman" w:eastAsia="Times New Roman"/>
          <w:sz w:val="28"/>
        </w:rPr>
        <w:t xml:space="preserve">kreditlari tizim o‘rtachasidan sezilarli darajada tez o‘sayotgan banklarga nisbatan kredit portfeli sifatini qo‘shimcha tekshirish va ikkinchi ustun doirasida qo‘shimcha kapital talablarini qo‘llash.</w:t>
      </w:r>
    </w:p>
    <w:p>
      <w:pPr>
        <w:numPr>
          <w:ilvl w:val="0"/>
          <w:numId w:val="1004"/>
        </w:numPr>
        <w:spacing w:line="360" w:lineRule="auto" w:before="0" w:after="0"/>
        <w:ind w:firstLine="709"/>
        <w:jc w:val="both"/>
      </w:pPr>
      <w:r>
        <w:rPr>
          <w:rFonts w:ascii="Times New Roman" w:hAnsi="Times New Roman" w:cs="Times New Roman" w:eastAsia="Times New Roman"/>
          <w:sz w:val="28"/>
        </w:rPr>
        <w:t xml:space="preserve">Iqtisodiyot va moliya vazirligi hamda davlat ishtirokidagi banklarga: davlat banklari uchun integral indeksni davlat ko‘magisiz variantda ham hisoblash va qayta kapitallashtirish qarorlarini restrukturizatsiya rejasi hamda indeks bloklari bo‘yicha maqsadli ko‘rsatkichlarga bog‘lash; davlat dasturlari bo‘yicha imtiyozli kreditlashni alohida rivojlanish institutiga o‘tkazish va davlat banklarining resurs bazasini depozitlar hisobiga diversifikatsiya qilish.</w:t>
      </w:r>
    </w:p>
    <w:p>
      <w:pPr>
        <w:numPr>
          <w:ilvl w:val="0"/>
          <w:numId w:val="1004"/>
        </w:numPr>
        <w:spacing w:line="360" w:lineRule="auto" w:before="0" w:after="0"/>
        <w:ind w:firstLine="709"/>
        <w:jc w:val="both"/>
      </w:pPr>
      <w:r>
        <w:rPr>
          <w:rFonts w:ascii="Times New Roman" w:hAnsi="Times New Roman" w:cs="Times New Roman" w:eastAsia="Times New Roman"/>
          <w:sz w:val="28"/>
        </w:rPr>
        <w:t xml:space="preserve">Tijorat banklariga: integral indeks bloklarini kapital yetarliligini ichki baholash jarayoniga va risk-appetit tizimiga kiritish, likvidlik bloki bo‘yicha, xususan, kreditlarning depozitlarga nisbati bo‘yicha ichki limitlar belgilash; MHXS 9 bosqichlari va milliy tasnif o‘rtasidagi tafovutni muntazam monitoring qilish.</w:t>
      </w:r>
    </w:p>
    <w:p>
      <w:pPr>
        <w:numPr>
          <w:ilvl w:val="0"/>
          <w:numId w:val="1004"/>
        </w:numPr>
        <w:spacing w:line="360" w:lineRule="auto" w:before="0" w:after="0"/>
        <w:ind w:firstLine="709"/>
        <w:jc w:val="both"/>
      </w:pPr>
      <w:r>
        <w:rPr>
          <w:rFonts w:ascii="Times New Roman" w:hAnsi="Times New Roman" w:cs="Times New Roman" w:eastAsia="Times New Roman"/>
          <w:sz w:val="28"/>
        </w:rPr>
        <w:t xml:space="preserve">Reyting agentliklari va axborot iste’molchilariga: banklar reytingida milliy hisobot ko‘rsatkichlari bilan bir qatorda MHXS ko‘rsatkichlari va davlat ko‘magisiz bahoni alohida aks ettirish.</w:t>
      </w:r>
    </w:p>
    <w:p>
      <w:pPr>
        <w:pStyle w:val="FirstParagraph"/>
        <w:spacing w:line="360" w:lineRule="auto" w:before="0" w:after="0"/>
        <w:ind w:firstLine="709"/>
        <w:jc w:val="both"/>
      </w:pPr>
      <w:r>
        <w:rPr>
          <w:rFonts w:ascii="Times New Roman" w:hAnsi="Times New Roman" w:cs="Times New Roman" w:eastAsia="Times New Roman"/>
          <w:sz w:val="28"/>
        </w:rPr>
        <w:t xml:space="preserve">Taklif etilgan metodika va takliflar Xalqaro valyuta jamg‘armasi va Jahon bankining moliya sektorini baholash dasturi tavsiyalari hamda Markaziy bankning 2025–2028-yillarga mo‘ljallangan «yo‘l xaritasi» bilan muvofiq bo‘lib, ularni amaliy metodika bilan ta’minlaydi. Ularning bosqichma-bosqich amalga oshirilishi O‘zbekiston bank tizimida yashirin risklarni o‘z vaqtida aniqlash, davlat ko‘magiga bog‘liqlikni kamaytirish va tijorat banklari moliyaviy barqarorligini baholash amaliyotini xalqaro standartlarga muvofiqlashtirish imkonini beradi.</w:t>
      </w:r>
    </w:p>
    <w:bookmarkEnd w:id="20"/>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2026-10-12T02:26:54Z</dcterms:created>
  <dcterms:modified xsi:type="dcterms:W3CDTF">2026-10-12T02:26:54Z</dcterms:modified>
</cp:coreProperties>
</file>

<file path=docProps/custom.xml><?xml version="1.0" encoding="utf-8"?>
<Properties xmlns="http://schemas.openxmlformats.org/officeDocument/2006/custom-properties" xmlns:vt="http://schemas.openxmlformats.org/officeDocument/2006/docPropsVTypes"/>
</file>