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i w:val="0"/>
          <w:sz w:val="28"/>
        </w:rPr>
        <w:t>2.2-§: uch bank bo‘yicha alohida jadvallar va tahlil (namuna)</w:t>
      </w:r>
    </w:p>
    <w:p>
      <w:pPr>
        <w:ind w:firstLine="0"/>
        <w:jc w:val="both"/>
      </w:pPr>
      <w:r>
        <w:rPr>
          <w:b w:val="0"/>
          <w:i/>
          <w:color w:val="595959"/>
          <w:sz w:val="24"/>
        </w:rPr>
        <w:t>Qizil – yangi yoki o‘zgartirilgan matn; ko‘k – “Aloqabank” ATB bo‘yicha qo‘shimchalar. Hozirgi bitta 2.2.2-jadval uchta jadvalga ajratiladi.</w:t>
      </w:r>
    </w:p>
    <w:p>
      <w:pPr>
        <w:ind w:firstLine="709"/>
        <w:jc w:val="both"/>
      </w:pPr>
      <w:r>
        <w:rPr>
          <w:b w:val="0"/>
          <w:i w:val="0"/>
          <w:color w:val="FF0000"/>
          <w:sz w:val="28"/>
        </w:rPr>
        <w:t>Tizim darajasidagi agregat ko‘rsatkichlar alohida banklar o‘rtasidagi farqlarni yashiradi. Shu sababli tahlilni uchta davlat banki – yirik korporativ va infratuzilma loyihalarini moliyalashtiruvchi tizimli ahamiyatga molik “O‘zsanoatqurilishbank” ATB, davlat dasturlari doirasida mikrokreditlash bilan shug‘ullanuvchi “Mikrokreditbank” ATB va tizimli ahamiyatga molik banklar qatoriga kirmaydigan “Aloqabank” ATB misolida chuqurlashtirish maqsadga muvofiq. Avval har bir bankning 2021–2025-yillardagi asosiy ko‘rsatkichlari alohida (2.2.2–2.2.4-jadvallar), so‘ngra ular o‘zaro qiyosiy tahlil qilinadi.</w:t>
      </w:r>
    </w:p>
    <w:p>
      <w:pPr>
        <w:ind w:firstLine="0"/>
        <w:jc w:val="right"/>
      </w:pPr>
      <w:r>
        <w:rPr>
          <w:b w:val="0"/>
          <w:i/>
          <w:color w:val="FF0000"/>
          <w:sz w:val="28"/>
        </w:rPr>
        <w:t>2.2.2-jadval</w:t>
      </w:r>
    </w:p>
    <w:p>
      <w:pPr>
        <w:spacing w:line="240" w:lineRule="auto"/>
        <w:ind w:firstLine="0"/>
        <w:jc w:val="center"/>
      </w:pPr>
      <w:r>
        <w:rPr>
          <w:b/>
          <w:i w:val="0"/>
          <w:color w:val="FF0000"/>
          <w:sz w:val="28"/>
        </w:rPr>
        <w:t>“O‘zsanoatqurilishbank” ATB ning moliyaviy barqarorlik ko‘rsatkichlari [1]</w:t>
      </w:r>
    </w:p>
    <w:tbl>
      <w:tblPr>
        <w:tblStyle w:val="TableGrid"/>
        <w:tblW w:type="auto" w:w="0"/>
        <w:tblLayout w:type="fixed"/>
        <w:tblLook w:firstColumn="1" w:firstRow="1" w:lastColumn="0" w:lastRow="0" w:noHBand="0" w:noVBand="1" w:val="04A0"/>
      </w:tblPr>
      <w:tblGrid>
        <w:gridCol w:w="3402"/>
        <w:gridCol w:w="1191"/>
        <w:gridCol w:w="1191"/>
        <w:gridCol w:w="1191"/>
        <w:gridCol w:w="1191"/>
        <w:gridCol w:w="1191"/>
      </w:tblGrid>
      <w:tr>
        <w:tc>
          <w:tcPr>
            <w:tcW w:type="dxa" w:w="3402"/>
          </w:tcPr>
          <w:p>
            <w:pPr>
              <w:spacing w:line="240" w:lineRule="auto"/>
              <w:jc w:val="center"/>
            </w:pPr>
            <w:r>
              <w:rPr>
                <w:b/>
                <w:sz w:val="24"/>
              </w:rPr>
              <w:t>Ko‘rsatkich</w:t>
            </w:r>
          </w:p>
        </w:tc>
        <w:tc>
          <w:tcPr>
            <w:tcW w:type="dxa" w:w="1191"/>
          </w:tcPr>
          <w:p>
            <w:pPr>
              <w:spacing w:line="240" w:lineRule="auto"/>
              <w:jc w:val="center"/>
            </w:pPr>
            <w:r>
              <w:rPr>
                <w:b/>
                <w:sz w:val="24"/>
              </w:rPr>
              <w:t>2021</w:t>
            </w:r>
          </w:p>
        </w:tc>
        <w:tc>
          <w:tcPr>
            <w:tcW w:type="dxa" w:w="1191"/>
          </w:tcPr>
          <w:p>
            <w:pPr>
              <w:spacing w:line="240" w:lineRule="auto"/>
              <w:jc w:val="center"/>
            </w:pPr>
            <w:r>
              <w:rPr>
                <w:b/>
                <w:sz w:val="24"/>
              </w:rPr>
              <w:t>2022</w:t>
            </w:r>
          </w:p>
        </w:tc>
        <w:tc>
          <w:tcPr>
            <w:tcW w:type="dxa" w:w="1191"/>
          </w:tcPr>
          <w:p>
            <w:pPr>
              <w:spacing w:line="240" w:lineRule="auto"/>
              <w:jc w:val="center"/>
            </w:pPr>
            <w:r>
              <w:rPr>
                <w:b/>
                <w:sz w:val="24"/>
              </w:rPr>
              <w:t>2023</w:t>
            </w:r>
          </w:p>
        </w:tc>
        <w:tc>
          <w:tcPr>
            <w:tcW w:type="dxa" w:w="1191"/>
          </w:tcPr>
          <w:p>
            <w:pPr>
              <w:spacing w:line="240" w:lineRule="auto"/>
              <w:jc w:val="center"/>
            </w:pPr>
            <w:r>
              <w:rPr>
                <w:b/>
                <w:sz w:val="24"/>
              </w:rPr>
              <w:t>2024</w:t>
            </w:r>
          </w:p>
        </w:tc>
        <w:tc>
          <w:tcPr>
            <w:tcW w:type="dxa" w:w="1191"/>
          </w:tcPr>
          <w:p>
            <w:pPr>
              <w:spacing w:line="240" w:lineRule="auto"/>
              <w:jc w:val="center"/>
            </w:pPr>
            <w:r>
              <w:rPr>
                <w:b/>
                <w:sz w:val="24"/>
              </w:rPr>
              <w:t>2025</w:t>
            </w:r>
          </w:p>
        </w:tc>
      </w:tr>
      <w:tr>
        <w:tc>
          <w:tcPr>
            <w:tcW w:type="dxa" w:w="3402"/>
          </w:tcPr>
          <w:p>
            <w:pPr>
              <w:spacing w:line="240" w:lineRule="auto"/>
            </w:pPr>
            <w:r>
              <w:rPr>
                <w:color w:val="FF0000"/>
                <w:sz w:val="24"/>
              </w:rPr>
              <w:t>Jami aktivlar, trln so‘m</w:t>
            </w:r>
          </w:p>
        </w:tc>
        <w:tc>
          <w:tcPr>
            <w:tcW w:type="dxa" w:w="1191"/>
          </w:tcPr>
          <w:p>
            <w:pPr>
              <w:spacing w:line="240" w:lineRule="auto"/>
              <w:jc w:val="center"/>
            </w:pPr>
            <w:r>
              <w:rPr>
                <w:color w:val="FF0000"/>
                <w:sz w:val="24"/>
              </w:rPr>
              <w:t>56,5</w:t>
            </w:r>
          </w:p>
        </w:tc>
        <w:tc>
          <w:tcPr>
            <w:tcW w:type="dxa" w:w="1191"/>
          </w:tcPr>
          <w:p>
            <w:pPr>
              <w:spacing w:line="240" w:lineRule="auto"/>
              <w:jc w:val="center"/>
            </w:pPr>
            <w:r>
              <w:rPr>
                <w:color w:val="FF0000"/>
                <w:sz w:val="24"/>
              </w:rPr>
              <w:t>64,3</w:t>
            </w:r>
          </w:p>
        </w:tc>
        <w:tc>
          <w:tcPr>
            <w:tcW w:type="dxa" w:w="1191"/>
          </w:tcPr>
          <w:p>
            <w:pPr>
              <w:spacing w:line="240" w:lineRule="auto"/>
              <w:jc w:val="center"/>
            </w:pPr>
            <w:r>
              <w:rPr>
                <w:color w:val="FF0000"/>
                <w:sz w:val="24"/>
              </w:rPr>
              <w:t>74,6</w:t>
            </w:r>
          </w:p>
        </w:tc>
        <w:tc>
          <w:tcPr>
            <w:tcW w:type="dxa" w:w="1191"/>
          </w:tcPr>
          <w:p>
            <w:pPr>
              <w:spacing w:line="240" w:lineRule="auto"/>
              <w:jc w:val="center"/>
            </w:pPr>
            <w:r>
              <w:rPr>
                <w:color w:val="FF0000"/>
                <w:sz w:val="24"/>
              </w:rPr>
              <w:t>87,6</w:t>
            </w:r>
          </w:p>
        </w:tc>
        <w:tc>
          <w:tcPr>
            <w:tcW w:type="dxa" w:w="1191"/>
          </w:tcPr>
          <w:p>
            <w:pPr>
              <w:spacing w:line="240" w:lineRule="auto"/>
              <w:jc w:val="center"/>
            </w:pPr>
            <w:r>
              <w:rPr>
                <w:color w:val="FF0000"/>
                <w:sz w:val="24"/>
              </w:rPr>
              <w:t>102,4</w:t>
            </w:r>
          </w:p>
        </w:tc>
      </w:tr>
      <w:tr>
        <w:tc>
          <w:tcPr>
            <w:tcW w:type="dxa" w:w="3402"/>
          </w:tcPr>
          <w:p>
            <w:pPr>
              <w:spacing w:line="240" w:lineRule="auto"/>
            </w:pPr>
            <w:r>
              <w:rPr>
                <w:color w:val="FF0000"/>
                <w:sz w:val="24"/>
              </w:rPr>
              <w:t>Regulyativ kapital monandligi, %</w:t>
            </w:r>
          </w:p>
        </w:tc>
        <w:tc>
          <w:tcPr>
            <w:tcW w:type="dxa" w:w="1191"/>
          </w:tcPr>
          <w:p>
            <w:pPr>
              <w:spacing w:line="240" w:lineRule="auto"/>
              <w:jc w:val="center"/>
            </w:pPr>
            <w:r>
              <w:rPr>
                <w:color w:val="FF0000"/>
                <w:sz w:val="24"/>
              </w:rPr>
              <w:t>15,8</w:t>
            </w:r>
          </w:p>
        </w:tc>
        <w:tc>
          <w:tcPr>
            <w:tcW w:type="dxa" w:w="1191"/>
          </w:tcPr>
          <w:p>
            <w:pPr>
              <w:spacing w:line="240" w:lineRule="auto"/>
              <w:jc w:val="center"/>
            </w:pPr>
            <w:r>
              <w:rPr>
                <w:color w:val="FF0000"/>
                <w:sz w:val="24"/>
              </w:rPr>
              <w:t>15,3</w:t>
            </w:r>
          </w:p>
        </w:tc>
        <w:tc>
          <w:tcPr>
            <w:tcW w:type="dxa" w:w="1191"/>
          </w:tcPr>
          <w:p>
            <w:pPr>
              <w:spacing w:line="240" w:lineRule="auto"/>
              <w:jc w:val="center"/>
            </w:pPr>
            <w:r>
              <w:rPr>
                <w:color w:val="FF0000"/>
                <w:sz w:val="24"/>
              </w:rPr>
              <w:t>16,1</w:t>
            </w:r>
          </w:p>
        </w:tc>
        <w:tc>
          <w:tcPr>
            <w:tcW w:type="dxa" w:w="1191"/>
          </w:tcPr>
          <w:p>
            <w:pPr>
              <w:spacing w:line="240" w:lineRule="auto"/>
              <w:jc w:val="center"/>
            </w:pPr>
            <w:r>
              <w:rPr>
                <w:color w:val="FF0000"/>
                <w:sz w:val="24"/>
              </w:rPr>
              <w:t>15,6</w:t>
            </w:r>
          </w:p>
        </w:tc>
        <w:tc>
          <w:tcPr>
            <w:tcW w:type="dxa" w:w="1191"/>
          </w:tcPr>
          <w:p>
            <w:pPr>
              <w:spacing w:line="240" w:lineRule="auto"/>
              <w:jc w:val="center"/>
            </w:pPr>
            <w:r>
              <w:rPr>
                <w:color w:val="FF0000"/>
                <w:sz w:val="24"/>
              </w:rPr>
              <w:t>17,0</w:t>
            </w:r>
          </w:p>
        </w:tc>
      </w:tr>
      <w:tr>
        <w:tc>
          <w:tcPr>
            <w:tcW w:type="dxa" w:w="3402"/>
          </w:tcPr>
          <w:p>
            <w:pPr>
              <w:spacing w:line="240" w:lineRule="auto"/>
            </w:pPr>
            <w:r>
              <w:rPr>
                <w:color w:val="FF0000"/>
                <w:sz w:val="24"/>
              </w:rPr>
              <w:t>Asosiy kapital (CET1) monandligi, %</w:t>
            </w:r>
          </w:p>
        </w:tc>
        <w:tc>
          <w:tcPr>
            <w:tcW w:type="dxa" w:w="1191"/>
          </w:tcPr>
          <w:p>
            <w:pPr>
              <w:spacing w:line="240" w:lineRule="auto"/>
              <w:jc w:val="center"/>
            </w:pPr>
            <w:r>
              <w:rPr>
                <w:color w:val="FF0000"/>
                <w:sz w:val="24"/>
              </w:rPr>
              <w:t>11,9</w:t>
            </w:r>
          </w:p>
        </w:tc>
        <w:tc>
          <w:tcPr>
            <w:tcW w:type="dxa" w:w="1191"/>
          </w:tcPr>
          <w:p>
            <w:pPr>
              <w:spacing w:line="240" w:lineRule="auto"/>
              <w:jc w:val="center"/>
            </w:pPr>
            <w:r>
              <w:rPr>
                <w:color w:val="FF0000"/>
                <w:sz w:val="24"/>
              </w:rPr>
              <w:t>12,1</w:t>
            </w:r>
          </w:p>
        </w:tc>
        <w:tc>
          <w:tcPr>
            <w:tcW w:type="dxa" w:w="1191"/>
          </w:tcPr>
          <w:p>
            <w:pPr>
              <w:spacing w:line="240" w:lineRule="auto"/>
              <w:jc w:val="center"/>
            </w:pPr>
            <w:r>
              <w:rPr>
                <w:color w:val="FF0000"/>
                <w:sz w:val="24"/>
              </w:rPr>
              <w:t>11,0</w:t>
            </w:r>
          </w:p>
        </w:tc>
        <w:tc>
          <w:tcPr>
            <w:tcW w:type="dxa" w:w="1191"/>
          </w:tcPr>
          <w:p>
            <w:pPr>
              <w:spacing w:line="240" w:lineRule="auto"/>
              <w:jc w:val="center"/>
            </w:pPr>
            <w:r>
              <w:rPr>
                <w:color w:val="FF0000"/>
                <w:sz w:val="24"/>
              </w:rPr>
              <w:t>10,6</w:t>
            </w:r>
          </w:p>
        </w:tc>
        <w:tc>
          <w:tcPr>
            <w:tcW w:type="dxa" w:w="1191"/>
          </w:tcPr>
          <w:p>
            <w:pPr>
              <w:spacing w:line="240" w:lineRule="auto"/>
              <w:jc w:val="center"/>
            </w:pPr>
            <w:r>
              <w:rPr>
                <w:color w:val="FF0000"/>
                <w:sz w:val="24"/>
              </w:rPr>
              <w:t>10,2</w:t>
            </w:r>
          </w:p>
        </w:tc>
      </w:tr>
      <w:tr>
        <w:tc>
          <w:tcPr>
            <w:tcW w:type="dxa" w:w="3402"/>
          </w:tcPr>
          <w:p>
            <w:pPr>
              <w:spacing w:line="240" w:lineRule="auto"/>
            </w:pPr>
            <w:r>
              <w:rPr>
                <w:color w:val="FF0000"/>
                <w:sz w:val="24"/>
              </w:rPr>
              <w:t>Muammoli kreditlar ulushi, %</w:t>
            </w:r>
          </w:p>
        </w:tc>
        <w:tc>
          <w:tcPr>
            <w:tcW w:type="dxa" w:w="1191"/>
          </w:tcPr>
          <w:p>
            <w:pPr>
              <w:spacing w:line="240" w:lineRule="auto"/>
              <w:jc w:val="center"/>
            </w:pPr>
            <w:r>
              <w:rPr>
                <w:color w:val="FF0000"/>
                <w:sz w:val="24"/>
              </w:rPr>
              <w:t>3,8</w:t>
            </w:r>
          </w:p>
        </w:tc>
        <w:tc>
          <w:tcPr>
            <w:tcW w:type="dxa" w:w="1191"/>
          </w:tcPr>
          <w:p>
            <w:pPr>
              <w:spacing w:line="240" w:lineRule="auto"/>
              <w:jc w:val="center"/>
            </w:pPr>
            <w:r>
              <w:rPr>
                <w:color w:val="FF0000"/>
                <w:sz w:val="24"/>
              </w:rPr>
              <w:t>2,8</w:t>
            </w:r>
          </w:p>
        </w:tc>
        <w:tc>
          <w:tcPr>
            <w:tcW w:type="dxa" w:w="1191"/>
          </w:tcPr>
          <w:p>
            <w:pPr>
              <w:spacing w:line="240" w:lineRule="auto"/>
              <w:jc w:val="center"/>
            </w:pPr>
            <w:r>
              <w:rPr>
                <w:color w:val="FF0000"/>
                <w:sz w:val="24"/>
              </w:rPr>
              <w:t>2,2</w:t>
            </w:r>
          </w:p>
        </w:tc>
        <w:tc>
          <w:tcPr>
            <w:tcW w:type="dxa" w:w="1191"/>
          </w:tcPr>
          <w:p>
            <w:pPr>
              <w:spacing w:line="240" w:lineRule="auto"/>
              <w:jc w:val="center"/>
            </w:pPr>
            <w:r>
              <w:rPr>
                <w:color w:val="FF0000"/>
                <w:sz w:val="24"/>
              </w:rPr>
              <w:t>2,8</w:t>
            </w:r>
          </w:p>
        </w:tc>
        <w:tc>
          <w:tcPr>
            <w:tcW w:type="dxa" w:w="1191"/>
          </w:tcPr>
          <w:p>
            <w:pPr>
              <w:spacing w:line="240" w:lineRule="auto"/>
              <w:jc w:val="center"/>
            </w:pPr>
            <w:r>
              <w:rPr>
                <w:color w:val="FF0000"/>
                <w:sz w:val="24"/>
              </w:rPr>
              <w:t>2,5</w:t>
            </w:r>
          </w:p>
        </w:tc>
      </w:tr>
      <w:tr>
        <w:tc>
          <w:tcPr>
            <w:tcW w:type="dxa" w:w="3402"/>
          </w:tcPr>
          <w:p>
            <w:pPr>
              <w:spacing w:line="240" w:lineRule="auto"/>
            </w:pPr>
            <w:r>
              <w:rPr>
                <w:color w:val="FF0000"/>
                <w:sz w:val="24"/>
              </w:rPr>
              <w:t>Substandart kreditlar ulushi, %</w:t>
            </w:r>
          </w:p>
        </w:tc>
        <w:tc>
          <w:tcPr>
            <w:tcW w:type="dxa" w:w="1191"/>
          </w:tcPr>
          <w:p>
            <w:pPr>
              <w:spacing w:line="240" w:lineRule="auto"/>
              <w:jc w:val="center"/>
            </w:pPr>
            <w:r>
              <w:rPr>
                <w:color w:val="FF0000"/>
                <w:sz w:val="24"/>
              </w:rPr>
              <w:t>6,2</w:t>
            </w:r>
          </w:p>
        </w:tc>
        <w:tc>
          <w:tcPr>
            <w:tcW w:type="dxa" w:w="1191"/>
          </w:tcPr>
          <w:p>
            <w:pPr>
              <w:spacing w:line="240" w:lineRule="auto"/>
              <w:jc w:val="center"/>
            </w:pPr>
            <w:r>
              <w:rPr>
                <w:color w:val="FF0000"/>
                <w:sz w:val="24"/>
              </w:rPr>
              <w:t>5,3</w:t>
            </w:r>
          </w:p>
        </w:tc>
        <w:tc>
          <w:tcPr>
            <w:tcW w:type="dxa" w:w="1191"/>
          </w:tcPr>
          <w:p>
            <w:pPr>
              <w:spacing w:line="240" w:lineRule="auto"/>
              <w:jc w:val="center"/>
            </w:pPr>
            <w:r>
              <w:rPr>
                <w:color w:val="FF0000"/>
                <w:sz w:val="24"/>
              </w:rPr>
              <w:t>11,0</w:t>
            </w:r>
          </w:p>
        </w:tc>
        <w:tc>
          <w:tcPr>
            <w:tcW w:type="dxa" w:w="1191"/>
          </w:tcPr>
          <w:p>
            <w:pPr>
              <w:spacing w:line="240" w:lineRule="auto"/>
              <w:jc w:val="center"/>
            </w:pPr>
            <w:r>
              <w:rPr>
                <w:color w:val="FF0000"/>
                <w:sz w:val="24"/>
              </w:rPr>
              <w:t>14,8</w:t>
            </w:r>
          </w:p>
        </w:tc>
        <w:tc>
          <w:tcPr>
            <w:tcW w:type="dxa" w:w="1191"/>
          </w:tcPr>
          <w:p>
            <w:pPr>
              <w:spacing w:line="240" w:lineRule="auto"/>
              <w:jc w:val="center"/>
            </w:pPr>
            <w:r>
              <w:rPr>
                <w:color w:val="FF0000"/>
                <w:sz w:val="24"/>
              </w:rPr>
              <w:t>18,4</w:t>
            </w:r>
          </w:p>
        </w:tc>
      </w:tr>
      <w:tr>
        <w:tc>
          <w:tcPr>
            <w:tcW w:type="dxa" w:w="3402"/>
          </w:tcPr>
          <w:p>
            <w:pPr>
              <w:spacing w:line="240" w:lineRule="auto"/>
            </w:pPr>
            <w:r>
              <w:rPr>
                <w:color w:val="FF0000"/>
                <w:sz w:val="24"/>
              </w:rPr>
              <w:t>ROA, %</w:t>
            </w:r>
          </w:p>
        </w:tc>
        <w:tc>
          <w:tcPr>
            <w:tcW w:type="dxa" w:w="1191"/>
          </w:tcPr>
          <w:p>
            <w:pPr>
              <w:spacing w:line="240" w:lineRule="auto"/>
              <w:jc w:val="center"/>
            </w:pPr>
            <w:r>
              <w:rPr>
                <w:color w:val="FF0000"/>
                <w:sz w:val="24"/>
              </w:rPr>
              <w:t>1,9</w:t>
            </w:r>
          </w:p>
        </w:tc>
        <w:tc>
          <w:tcPr>
            <w:tcW w:type="dxa" w:w="1191"/>
          </w:tcPr>
          <w:p>
            <w:pPr>
              <w:spacing w:line="240" w:lineRule="auto"/>
              <w:jc w:val="center"/>
            </w:pPr>
            <w:r>
              <w:rPr>
                <w:color w:val="FF0000"/>
                <w:sz w:val="24"/>
              </w:rPr>
              <w:t>1,0</w:t>
            </w:r>
          </w:p>
        </w:tc>
        <w:tc>
          <w:tcPr>
            <w:tcW w:type="dxa" w:w="1191"/>
          </w:tcPr>
          <w:p>
            <w:pPr>
              <w:spacing w:line="240" w:lineRule="auto"/>
              <w:jc w:val="center"/>
            </w:pPr>
            <w:r>
              <w:rPr>
                <w:color w:val="FF0000"/>
                <w:sz w:val="24"/>
              </w:rPr>
              <w:t>1,3</w:t>
            </w:r>
          </w:p>
        </w:tc>
        <w:tc>
          <w:tcPr>
            <w:tcW w:type="dxa" w:w="1191"/>
          </w:tcPr>
          <w:p>
            <w:pPr>
              <w:spacing w:line="240" w:lineRule="auto"/>
              <w:jc w:val="center"/>
            </w:pPr>
            <w:r>
              <w:rPr>
                <w:color w:val="FF0000"/>
                <w:sz w:val="24"/>
              </w:rPr>
              <w:t>1,6</w:t>
            </w:r>
          </w:p>
        </w:tc>
        <w:tc>
          <w:tcPr>
            <w:tcW w:type="dxa" w:w="1191"/>
          </w:tcPr>
          <w:p>
            <w:pPr>
              <w:spacing w:line="240" w:lineRule="auto"/>
              <w:jc w:val="center"/>
            </w:pPr>
            <w:r>
              <w:rPr>
                <w:color w:val="FF0000"/>
                <w:sz w:val="24"/>
              </w:rPr>
              <w:t>2,0</w:t>
            </w:r>
          </w:p>
        </w:tc>
      </w:tr>
      <w:tr>
        <w:tc>
          <w:tcPr>
            <w:tcW w:type="dxa" w:w="3402"/>
          </w:tcPr>
          <w:p>
            <w:pPr>
              <w:spacing w:line="240" w:lineRule="auto"/>
            </w:pPr>
            <w:r>
              <w:rPr>
                <w:color w:val="FF0000"/>
                <w:sz w:val="24"/>
              </w:rPr>
              <w:t>ROE, %</w:t>
            </w:r>
          </w:p>
        </w:tc>
        <w:tc>
          <w:tcPr>
            <w:tcW w:type="dxa" w:w="1191"/>
          </w:tcPr>
          <w:p>
            <w:pPr>
              <w:spacing w:line="240" w:lineRule="auto"/>
              <w:jc w:val="center"/>
            </w:pPr>
            <w:r>
              <w:rPr>
                <w:color w:val="FF0000"/>
                <w:sz w:val="24"/>
              </w:rPr>
              <w:t>13,9</w:t>
            </w:r>
          </w:p>
        </w:tc>
        <w:tc>
          <w:tcPr>
            <w:tcW w:type="dxa" w:w="1191"/>
          </w:tcPr>
          <w:p>
            <w:pPr>
              <w:spacing w:line="240" w:lineRule="auto"/>
              <w:jc w:val="center"/>
            </w:pPr>
            <w:r>
              <w:rPr>
                <w:color w:val="FF0000"/>
                <w:sz w:val="24"/>
              </w:rPr>
              <w:t>7,6</w:t>
            </w:r>
          </w:p>
        </w:tc>
        <w:tc>
          <w:tcPr>
            <w:tcW w:type="dxa" w:w="1191"/>
          </w:tcPr>
          <w:p>
            <w:pPr>
              <w:spacing w:line="240" w:lineRule="auto"/>
              <w:jc w:val="center"/>
            </w:pPr>
            <w:r>
              <w:rPr>
                <w:color w:val="FF0000"/>
                <w:sz w:val="24"/>
              </w:rPr>
              <w:t>11,0</w:t>
            </w:r>
          </w:p>
        </w:tc>
        <w:tc>
          <w:tcPr>
            <w:tcW w:type="dxa" w:w="1191"/>
          </w:tcPr>
          <w:p>
            <w:pPr>
              <w:spacing w:line="240" w:lineRule="auto"/>
              <w:jc w:val="center"/>
            </w:pPr>
            <w:r>
              <w:rPr>
                <w:color w:val="FF0000"/>
                <w:sz w:val="24"/>
              </w:rPr>
              <w:t>13,9</w:t>
            </w:r>
          </w:p>
        </w:tc>
        <w:tc>
          <w:tcPr>
            <w:tcW w:type="dxa" w:w="1191"/>
          </w:tcPr>
          <w:p>
            <w:pPr>
              <w:spacing w:line="240" w:lineRule="auto"/>
              <w:jc w:val="center"/>
            </w:pPr>
            <w:r>
              <w:rPr>
                <w:color w:val="FF0000"/>
                <w:sz w:val="24"/>
              </w:rPr>
              <w:t>17,2</w:t>
            </w:r>
          </w:p>
        </w:tc>
      </w:tr>
      <w:tr>
        <w:tc>
          <w:tcPr>
            <w:tcW w:type="dxa" w:w="3402"/>
          </w:tcPr>
          <w:p>
            <w:pPr>
              <w:spacing w:line="240" w:lineRule="auto"/>
            </w:pPr>
            <w:r>
              <w:rPr>
                <w:color w:val="FF0000"/>
                <w:sz w:val="24"/>
              </w:rPr>
              <w:t>LCR, %</w:t>
            </w:r>
          </w:p>
        </w:tc>
        <w:tc>
          <w:tcPr>
            <w:tcW w:type="dxa" w:w="1191"/>
          </w:tcPr>
          <w:p>
            <w:pPr>
              <w:spacing w:line="240" w:lineRule="auto"/>
              <w:jc w:val="center"/>
            </w:pPr>
            <w:r>
              <w:rPr>
                <w:color w:val="FF0000"/>
                <w:sz w:val="24"/>
              </w:rPr>
              <w:t>164,5</w:t>
            </w:r>
          </w:p>
        </w:tc>
        <w:tc>
          <w:tcPr>
            <w:tcW w:type="dxa" w:w="1191"/>
          </w:tcPr>
          <w:p>
            <w:pPr>
              <w:spacing w:line="240" w:lineRule="auto"/>
              <w:jc w:val="center"/>
            </w:pPr>
            <w:r>
              <w:rPr>
                <w:color w:val="FF0000"/>
                <w:sz w:val="24"/>
              </w:rPr>
              <w:t>200,1</w:t>
            </w:r>
          </w:p>
        </w:tc>
        <w:tc>
          <w:tcPr>
            <w:tcW w:type="dxa" w:w="1191"/>
          </w:tcPr>
          <w:p>
            <w:pPr>
              <w:spacing w:line="240" w:lineRule="auto"/>
              <w:jc w:val="center"/>
            </w:pPr>
            <w:r>
              <w:rPr>
                <w:color w:val="FF0000"/>
                <w:sz w:val="24"/>
              </w:rPr>
              <w:t>177,3</w:t>
            </w:r>
          </w:p>
        </w:tc>
        <w:tc>
          <w:tcPr>
            <w:tcW w:type="dxa" w:w="1191"/>
          </w:tcPr>
          <w:p>
            <w:pPr>
              <w:spacing w:line="240" w:lineRule="auto"/>
              <w:jc w:val="center"/>
            </w:pPr>
            <w:r>
              <w:rPr>
                <w:color w:val="FF0000"/>
                <w:sz w:val="24"/>
              </w:rPr>
              <w:t>148,4</w:t>
            </w:r>
          </w:p>
        </w:tc>
        <w:tc>
          <w:tcPr>
            <w:tcW w:type="dxa" w:w="1191"/>
          </w:tcPr>
          <w:p>
            <w:pPr>
              <w:spacing w:line="240" w:lineRule="auto"/>
              <w:jc w:val="center"/>
            </w:pPr>
            <w:r>
              <w:rPr>
                <w:color w:val="FF0000"/>
                <w:sz w:val="24"/>
              </w:rPr>
              <w:t>222,9</w:t>
            </w:r>
          </w:p>
        </w:tc>
      </w:tr>
      <w:tr>
        <w:tc>
          <w:tcPr>
            <w:tcW w:type="dxa" w:w="3402"/>
          </w:tcPr>
          <w:p>
            <w:pPr>
              <w:spacing w:line="240" w:lineRule="auto"/>
            </w:pPr>
            <w:r>
              <w:rPr>
                <w:color w:val="FF0000"/>
                <w:sz w:val="24"/>
              </w:rPr>
              <w:t>NSFR, %</w:t>
            </w:r>
          </w:p>
        </w:tc>
        <w:tc>
          <w:tcPr>
            <w:tcW w:type="dxa" w:w="1191"/>
          </w:tcPr>
          <w:p>
            <w:pPr>
              <w:spacing w:line="240" w:lineRule="auto"/>
              <w:jc w:val="center"/>
            </w:pPr>
            <w:r>
              <w:rPr>
                <w:color w:val="FF0000"/>
                <w:sz w:val="24"/>
              </w:rPr>
              <w:t>115,0</w:t>
            </w:r>
          </w:p>
        </w:tc>
        <w:tc>
          <w:tcPr>
            <w:tcW w:type="dxa" w:w="1191"/>
          </w:tcPr>
          <w:p>
            <w:pPr>
              <w:spacing w:line="240" w:lineRule="auto"/>
              <w:jc w:val="center"/>
            </w:pPr>
            <w:r>
              <w:rPr>
                <w:color w:val="FF0000"/>
                <w:sz w:val="24"/>
              </w:rPr>
              <w:t>110,4</w:t>
            </w:r>
          </w:p>
        </w:tc>
        <w:tc>
          <w:tcPr>
            <w:tcW w:type="dxa" w:w="1191"/>
          </w:tcPr>
          <w:p>
            <w:pPr>
              <w:spacing w:line="240" w:lineRule="auto"/>
              <w:jc w:val="center"/>
            </w:pPr>
            <w:r>
              <w:rPr>
                <w:color w:val="FF0000"/>
                <w:sz w:val="24"/>
              </w:rPr>
              <w:t>104,2</w:t>
            </w:r>
          </w:p>
        </w:tc>
        <w:tc>
          <w:tcPr>
            <w:tcW w:type="dxa" w:w="1191"/>
          </w:tcPr>
          <w:p>
            <w:pPr>
              <w:spacing w:line="240" w:lineRule="auto"/>
              <w:jc w:val="center"/>
            </w:pPr>
            <w:r>
              <w:rPr>
                <w:color w:val="FF0000"/>
                <w:sz w:val="24"/>
              </w:rPr>
              <w:t>113,1</w:t>
            </w:r>
          </w:p>
        </w:tc>
        <w:tc>
          <w:tcPr>
            <w:tcW w:type="dxa" w:w="1191"/>
          </w:tcPr>
          <w:p>
            <w:pPr>
              <w:spacing w:line="240" w:lineRule="auto"/>
              <w:jc w:val="center"/>
            </w:pPr>
            <w:r>
              <w:rPr>
                <w:color w:val="FF0000"/>
                <w:sz w:val="24"/>
              </w:rPr>
              <w:t>122,2</w:t>
            </w:r>
          </w:p>
        </w:tc>
      </w:tr>
      <w:tr>
        <w:tc>
          <w:tcPr>
            <w:tcW w:type="dxa" w:w="3402"/>
          </w:tcPr>
          <w:p>
            <w:pPr>
              <w:spacing w:line="240" w:lineRule="auto"/>
            </w:pPr>
            <w:r>
              <w:rPr>
                <w:color w:val="FF0000"/>
                <w:sz w:val="24"/>
              </w:rPr>
              <w:t>Kreditlar / depozitlar, %</w:t>
            </w:r>
          </w:p>
        </w:tc>
        <w:tc>
          <w:tcPr>
            <w:tcW w:type="dxa" w:w="1191"/>
          </w:tcPr>
          <w:p>
            <w:pPr>
              <w:spacing w:line="240" w:lineRule="auto"/>
              <w:jc w:val="center"/>
            </w:pPr>
            <w:r>
              <w:rPr>
                <w:color w:val="FF0000"/>
                <w:sz w:val="24"/>
              </w:rPr>
              <w:t>342,2</w:t>
            </w:r>
          </w:p>
        </w:tc>
        <w:tc>
          <w:tcPr>
            <w:tcW w:type="dxa" w:w="1191"/>
          </w:tcPr>
          <w:p>
            <w:pPr>
              <w:spacing w:line="240" w:lineRule="auto"/>
              <w:jc w:val="center"/>
            </w:pPr>
            <w:r>
              <w:rPr>
                <w:color w:val="FF0000"/>
                <w:sz w:val="24"/>
              </w:rPr>
              <w:t>323,0</w:t>
            </w:r>
          </w:p>
        </w:tc>
        <w:tc>
          <w:tcPr>
            <w:tcW w:type="dxa" w:w="1191"/>
          </w:tcPr>
          <w:p>
            <w:pPr>
              <w:spacing w:line="240" w:lineRule="auto"/>
              <w:jc w:val="center"/>
            </w:pPr>
            <w:r>
              <w:rPr>
                <w:color w:val="FF0000"/>
                <w:sz w:val="24"/>
              </w:rPr>
              <w:t>414,0</w:t>
            </w:r>
          </w:p>
        </w:tc>
        <w:tc>
          <w:tcPr>
            <w:tcW w:type="dxa" w:w="1191"/>
          </w:tcPr>
          <w:p>
            <w:pPr>
              <w:spacing w:line="240" w:lineRule="auto"/>
              <w:jc w:val="center"/>
            </w:pPr>
            <w:r>
              <w:rPr>
                <w:color w:val="FF0000"/>
                <w:sz w:val="24"/>
              </w:rPr>
              <w:t>315,7</w:t>
            </w:r>
          </w:p>
        </w:tc>
        <w:tc>
          <w:tcPr>
            <w:tcW w:type="dxa" w:w="1191"/>
          </w:tcPr>
          <w:p>
            <w:pPr>
              <w:spacing w:line="240" w:lineRule="auto"/>
              <w:jc w:val="center"/>
            </w:pPr>
            <w:r>
              <w:rPr>
                <w:color w:val="FF0000"/>
                <w:sz w:val="24"/>
              </w:rPr>
              <w:t>206,5</w:t>
            </w:r>
          </w:p>
        </w:tc>
      </w:tr>
    </w:tbl>
    <w:p>
      <w:pPr>
        <w:spacing w:line="240" w:lineRule="auto"/>
        <w:ind w:firstLine="0"/>
        <w:jc w:val="both"/>
      </w:pPr>
      <w:r>
        <w:rPr>
          <w:b w:val="0"/>
          <w:i/>
          <w:color w:val="FF0000"/>
          <w:sz w:val="24"/>
        </w:rPr>
        <w:t>Izoh: muammoli kreditlar – qoniqarsiz, shubhali va umidsiz deb tasniflangan kreditlar; ROA va ROE sof foydaning aktivlar va kapitalning o‘rtacha yillik qiymatiga nisbati sifatida hisoblandi.</w:t>
      </w:r>
    </w:p>
    <w:p>
      <w:pPr>
        <w:ind w:firstLine="709"/>
        <w:jc w:val="both"/>
      </w:pPr>
      <w:r>
        <w:rPr>
          <w:b w:val="0"/>
          <w:i w:val="0"/>
          <w:color w:val="FF0000"/>
          <w:sz w:val="28"/>
        </w:rPr>
        <w:t>“O‘zsanoatqurilishbank” ATB ning aktivlari 2021–2025-yillarda 56,5 trln so‘mdan 102,4 trln so‘mga, ya’ni 1,8 barobar o‘sgan. Jadvaldan ko‘rinadiki, bankning asosiy muammosi kapital va aktivlar sifati o‘rtasidagi nomutanosiblikdir: regulyativ kapital monandligi 15,3–17,0 foiz oralig‘ida barqaror bo‘lsa-da, asosiy kapital monandligi 12,1 foizdan 10,2 foizgacha izchil pasaygan, substandart kreditlar ulushi esa 6,2 foizdan 18,4 foizgacha oshgan. Daromadlilik 2022-yildagi pasayishdan keyin tiklanib, ROE 2025-yilda 17,2 foizga yetgan, likvidlik koeffitsiyentlari esa Bazel III talablaridan yuqori. Biroq kreditlarning depozitlarga nisbati 206,5–414,0 foiz bo‘lib, bank kreditlarni asosan qarz mablag‘lari hisobiga moliyalashtiradi.</w:t>
      </w:r>
    </w:p>
    <w:p>
      <w:pPr>
        <w:ind w:firstLine="0"/>
        <w:jc w:val="right"/>
      </w:pPr>
      <w:r>
        <w:rPr>
          <w:b w:val="0"/>
          <w:i/>
          <w:color w:val="FF0000"/>
          <w:sz w:val="28"/>
        </w:rPr>
        <w:t>2.2.3-jadval</w:t>
      </w:r>
    </w:p>
    <w:p>
      <w:pPr>
        <w:spacing w:line="240" w:lineRule="auto"/>
        <w:ind w:firstLine="0"/>
        <w:jc w:val="center"/>
      </w:pPr>
      <w:r>
        <w:rPr>
          <w:b/>
          <w:i w:val="0"/>
          <w:color w:val="FF0000"/>
          <w:sz w:val="28"/>
        </w:rPr>
        <w:t>“Mikrokreditbank” ATB ning moliyaviy barqarorlik ko‘rsatkichlari [2]</w:t>
      </w:r>
    </w:p>
    <w:tbl>
      <w:tblPr>
        <w:tblStyle w:val="TableGrid"/>
        <w:tblW w:type="auto" w:w="0"/>
        <w:tblLayout w:type="fixed"/>
        <w:tblLook w:firstColumn="1" w:firstRow="1" w:lastColumn="0" w:lastRow="0" w:noHBand="0" w:noVBand="1" w:val="04A0"/>
      </w:tblPr>
      <w:tblGrid>
        <w:gridCol w:w="3402"/>
        <w:gridCol w:w="1191"/>
        <w:gridCol w:w="1191"/>
        <w:gridCol w:w="1191"/>
        <w:gridCol w:w="1191"/>
        <w:gridCol w:w="1191"/>
      </w:tblGrid>
      <w:tr>
        <w:tc>
          <w:tcPr>
            <w:tcW w:type="dxa" w:w="3402"/>
          </w:tcPr>
          <w:p>
            <w:pPr>
              <w:spacing w:line="240" w:lineRule="auto"/>
              <w:jc w:val="center"/>
            </w:pPr>
            <w:r>
              <w:rPr>
                <w:b/>
                <w:sz w:val="24"/>
              </w:rPr>
              <w:t>Ko‘rsatkich</w:t>
            </w:r>
          </w:p>
        </w:tc>
        <w:tc>
          <w:tcPr>
            <w:tcW w:type="dxa" w:w="1191"/>
          </w:tcPr>
          <w:p>
            <w:pPr>
              <w:spacing w:line="240" w:lineRule="auto"/>
              <w:jc w:val="center"/>
            </w:pPr>
            <w:r>
              <w:rPr>
                <w:b/>
                <w:sz w:val="24"/>
              </w:rPr>
              <w:t>2021</w:t>
            </w:r>
          </w:p>
        </w:tc>
        <w:tc>
          <w:tcPr>
            <w:tcW w:type="dxa" w:w="1191"/>
          </w:tcPr>
          <w:p>
            <w:pPr>
              <w:spacing w:line="240" w:lineRule="auto"/>
              <w:jc w:val="center"/>
            </w:pPr>
            <w:r>
              <w:rPr>
                <w:b/>
                <w:sz w:val="24"/>
              </w:rPr>
              <w:t>2022</w:t>
            </w:r>
          </w:p>
        </w:tc>
        <w:tc>
          <w:tcPr>
            <w:tcW w:type="dxa" w:w="1191"/>
          </w:tcPr>
          <w:p>
            <w:pPr>
              <w:spacing w:line="240" w:lineRule="auto"/>
              <w:jc w:val="center"/>
            </w:pPr>
            <w:r>
              <w:rPr>
                <w:b/>
                <w:sz w:val="24"/>
              </w:rPr>
              <w:t>2023</w:t>
            </w:r>
          </w:p>
        </w:tc>
        <w:tc>
          <w:tcPr>
            <w:tcW w:type="dxa" w:w="1191"/>
          </w:tcPr>
          <w:p>
            <w:pPr>
              <w:spacing w:line="240" w:lineRule="auto"/>
              <w:jc w:val="center"/>
            </w:pPr>
            <w:r>
              <w:rPr>
                <w:b/>
                <w:sz w:val="24"/>
              </w:rPr>
              <w:t>2024</w:t>
            </w:r>
          </w:p>
        </w:tc>
        <w:tc>
          <w:tcPr>
            <w:tcW w:type="dxa" w:w="1191"/>
          </w:tcPr>
          <w:p>
            <w:pPr>
              <w:spacing w:line="240" w:lineRule="auto"/>
              <w:jc w:val="center"/>
            </w:pPr>
            <w:r>
              <w:rPr>
                <w:b/>
                <w:sz w:val="24"/>
              </w:rPr>
              <w:t>2025</w:t>
            </w:r>
          </w:p>
        </w:tc>
      </w:tr>
      <w:tr>
        <w:tc>
          <w:tcPr>
            <w:tcW w:type="dxa" w:w="3402"/>
          </w:tcPr>
          <w:p>
            <w:pPr>
              <w:spacing w:line="240" w:lineRule="auto"/>
            </w:pPr>
            <w:r>
              <w:rPr>
                <w:color w:val="FF0000"/>
                <w:sz w:val="24"/>
              </w:rPr>
              <w:t>Jami aktivlar, trln so‘m</w:t>
            </w:r>
          </w:p>
        </w:tc>
        <w:tc>
          <w:tcPr>
            <w:tcW w:type="dxa" w:w="1191"/>
          </w:tcPr>
          <w:p>
            <w:pPr>
              <w:spacing w:line="240" w:lineRule="auto"/>
              <w:jc w:val="center"/>
            </w:pPr>
            <w:r>
              <w:rPr>
                <w:color w:val="FF0000"/>
                <w:sz w:val="24"/>
              </w:rPr>
              <w:t>13,5</w:t>
            </w:r>
          </w:p>
        </w:tc>
        <w:tc>
          <w:tcPr>
            <w:tcW w:type="dxa" w:w="1191"/>
          </w:tcPr>
          <w:p>
            <w:pPr>
              <w:spacing w:line="240" w:lineRule="auto"/>
              <w:jc w:val="center"/>
            </w:pPr>
            <w:r>
              <w:rPr>
                <w:color w:val="FF0000"/>
                <w:sz w:val="24"/>
              </w:rPr>
              <w:t>16,8</w:t>
            </w:r>
          </w:p>
        </w:tc>
        <w:tc>
          <w:tcPr>
            <w:tcW w:type="dxa" w:w="1191"/>
          </w:tcPr>
          <w:p>
            <w:pPr>
              <w:spacing w:line="240" w:lineRule="auto"/>
              <w:jc w:val="center"/>
            </w:pPr>
            <w:r>
              <w:rPr>
                <w:color w:val="FF0000"/>
                <w:sz w:val="24"/>
              </w:rPr>
              <w:t>19,1</w:t>
            </w:r>
          </w:p>
        </w:tc>
        <w:tc>
          <w:tcPr>
            <w:tcW w:type="dxa" w:w="1191"/>
          </w:tcPr>
          <w:p>
            <w:pPr>
              <w:spacing w:line="240" w:lineRule="auto"/>
              <w:jc w:val="center"/>
            </w:pPr>
            <w:r>
              <w:rPr>
                <w:color w:val="FF0000"/>
                <w:sz w:val="24"/>
              </w:rPr>
              <w:t>23,5</w:t>
            </w:r>
          </w:p>
        </w:tc>
        <w:tc>
          <w:tcPr>
            <w:tcW w:type="dxa" w:w="1191"/>
          </w:tcPr>
          <w:p>
            <w:pPr>
              <w:spacing w:line="240" w:lineRule="auto"/>
              <w:jc w:val="center"/>
            </w:pPr>
            <w:r>
              <w:rPr>
                <w:color w:val="FF0000"/>
                <w:sz w:val="24"/>
              </w:rPr>
              <w:t>30,7</w:t>
            </w:r>
          </w:p>
        </w:tc>
      </w:tr>
      <w:tr>
        <w:tc>
          <w:tcPr>
            <w:tcW w:type="dxa" w:w="3402"/>
          </w:tcPr>
          <w:p>
            <w:pPr>
              <w:spacing w:line="240" w:lineRule="auto"/>
            </w:pPr>
            <w:r>
              <w:rPr>
                <w:color w:val="FF0000"/>
                <w:sz w:val="24"/>
              </w:rPr>
              <w:t>Regulyativ kapital monandligi, %</w:t>
            </w:r>
          </w:p>
        </w:tc>
        <w:tc>
          <w:tcPr>
            <w:tcW w:type="dxa" w:w="1191"/>
          </w:tcPr>
          <w:p>
            <w:pPr>
              <w:spacing w:line="240" w:lineRule="auto"/>
              <w:jc w:val="center"/>
            </w:pPr>
            <w:r>
              <w:rPr>
                <w:color w:val="FF0000"/>
                <w:sz w:val="24"/>
              </w:rPr>
              <w:t>13,8</w:t>
            </w:r>
          </w:p>
        </w:tc>
        <w:tc>
          <w:tcPr>
            <w:tcW w:type="dxa" w:w="1191"/>
          </w:tcPr>
          <w:p>
            <w:pPr>
              <w:spacing w:line="240" w:lineRule="auto"/>
              <w:jc w:val="center"/>
            </w:pPr>
            <w:r>
              <w:rPr>
                <w:color w:val="FF0000"/>
                <w:sz w:val="24"/>
              </w:rPr>
              <w:t>20,7</w:t>
            </w:r>
          </w:p>
        </w:tc>
        <w:tc>
          <w:tcPr>
            <w:tcW w:type="dxa" w:w="1191"/>
          </w:tcPr>
          <w:p>
            <w:pPr>
              <w:spacing w:line="240" w:lineRule="auto"/>
              <w:jc w:val="center"/>
            </w:pPr>
            <w:r>
              <w:rPr>
                <w:color w:val="FF0000"/>
                <w:sz w:val="24"/>
              </w:rPr>
              <w:t>18,6</w:t>
            </w:r>
          </w:p>
        </w:tc>
        <w:tc>
          <w:tcPr>
            <w:tcW w:type="dxa" w:w="1191"/>
          </w:tcPr>
          <w:p>
            <w:pPr>
              <w:spacing w:line="240" w:lineRule="auto"/>
              <w:jc w:val="center"/>
            </w:pPr>
            <w:r>
              <w:rPr>
                <w:color w:val="FF0000"/>
                <w:sz w:val="24"/>
              </w:rPr>
              <w:t>15,4</w:t>
            </w:r>
          </w:p>
        </w:tc>
        <w:tc>
          <w:tcPr>
            <w:tcW w:type="dxa" w:w="1191"/>
          </w:tcPr>
          <w:p>
            <w:pPr>
              <w:spacing w:line="240" w:lineRule="auto"/>
              <w:jc w:val="center"/>
            </w:pPr>
            <w:r>
              <w:rPr>
                <w:color w:val="FF0000"/>
                <w:sz w:val="24"/>
              </w:rPr>
              <w:t>18,5</w:t>
            </w:r>
          </w:p>
        </w:tc>
      </w:tr>
      <w:tr>
        <w:tc>
          <w:tcPr>
            <w:tcW w:type="dxa" w:w="3402"/>
          </w:tcPr>
          <w:p>
            <w:pPr>
              <w:spacing w:line="240" w:lineRule="auto"/>
            </w:pPr>
            <w:r>
              <w:rPr>
                <w:color w:val="FF0000"/>
                <w:sz w:val="24"/>
              </w:rPr>
              <w:t>Asosiy kapital (CET1) monandligi, %</w:t>
            </w:r>
          </w:p>
        </w:tc>
        <w:tc>
          <w:tcPr>
            <w:tcW w:type="dxa" w:w="1191"/>
          </w:tcPr>
          <w:p>
            <w:pPr>
              <w:spacing w:line="240" w:lineRule="auto"/>
              <w:jc w:val="center"/>
            </w:pPr>
            <w:r>
              <w:rPr>
                <w:color w:val="FF0000"/>
                <w:sz w:val="24"/>
              </w:rPr>
              <w:t>13,2</w:t>
            </w:r>
          </w:p>
        </w:tc>
        <w:tc>
          <w:tcPr>
            <w:tcW w:type="dxa" w:w="1191"/>
          </w:tcPr>
          <w:p>
            <w:pPr>
              <w:spacing w:line="240" w:lineRule="auto"/>
              <w:jc w:val="center"/>
            </w:pPr>
            <w:r>
              <w:rPr>
                <w:color w:val="FF0000"/>
                <w:sz w:val="24"/>
              </w:rPr>
              <w:t>20,0</w:t>
            </w:r>
          </w:p>
        </w:tc>
        <w:tc>
          <w:tcPr>
            <w:tcW w:type="dxa" w:w="1191"/>
          </w:tcPr>
          <w:p>
            <w:pPr>
              <w:spacing w:line="240" w:lineRule="auto"/>
              <w:jc w:val="center"/>
            </w:pPr>
            <w:r>
              <w:rPr>
                <w:color w:val="FF0000"/>
                <w:sz w:val="24"/>
              </w:rPr>
              <w:t>17,6</w:t>
            </w:r>
          </w:p>
        </w:tc>
        <w:tc>
          <w:tcPr>
            <w:tcW w:type="dxa" w:w="1191"/>
          </w:tcPr>
          <w:p>
            <w:pPr>
              <w:spacing w:line="240" w:lineRule="auto"/>
              <w:jc w:val="center"/>
            </w:pPr>
            <w:r>
              <w:rPr>
                <w:color w:val="FF0000"/>
                <w:sz w:val="24"/>
              </w:rPr>
              <w:t>13,0</w:t>
            </w:r>
          </w:p>
        </w:tc>
        <w:tc>
          <w:tcPr>
            <w:tcW w:type="dxa" w:w="1191"/>
          </w:tcPr>
          <w:p>
            <w:pPr>
              <w:spacing w:line="240" w:lineRule="auto"/>
              <w:jc w:val="center"/>
            </w:pPr>
            <w:r>
              <w:rPr>
                <w:color w:val="FF0000"/>
                <w:sz w:val="24"/>
              </w:rPr>
              <w:t>16,4</w:t>
            </w:r>
          </w:p>
        </w:tc>
      </w:tr>
      <w:tr>
        <w:tc>
          <w:tcPr>
            <w:tcW w:type="dxa" w:w="3402"/>
          </w:tcPr>
          <w:p>
            <w:pPr>
              <w:spacing w:line="240" w:lineRule="auto"/>
            </w:pPr>
            <w:r>
              <w:rPr>
                <w:color w:val="FF0000"/>
                <w:sz w:val="24"/>
              </w:rPr>
              <w:t>Muammoli kreditlar ulushi, %</w:t>
            </w:r>
          </w:p>
        </w:tc>
        <w:tc>
          <w:tcPr>
            <w:tcW w:type="dxa" w:w="1191"/>
          </w:tcPr>
          <w:p>
            <w:pPr>
              <w:spacing w:line="240" w:lineRule="auto"/>
              <w:jc w:val="center"/>
            </w:pPr>
            <w:r>
              <w:rPr>
                <w:color w:val="FF0000"/>
                <w:sz w:val="24"/>
              </w:rPr>
              <w:t>5,9</w:t>
            </w:r>
          </w:p>
        </w:tc>
        <w:tc>
          <w:tcPr>
            <w:tcW w:type="dxa" w:w="1191"/>
          </w:tcPr>
          <w:p>
            <w:pPr>
              <w:spacing w:line="240" w:lineRule="auto"/>
              <w:jc w:val="center"/>
            </w:pPr>
            <w:r>
              <w:rPr>
                <w:color w:val="FF0000"/>
                <w:sz w:val="24"/>
              </w:rPr>
              <w:t>4,8</w:t>
            </w:r>
          </w:p>
        </w:tc>
        <w:tc>
          <w:tcPr>
            <w:tcW w:type="dxa" w:w="1191"/>
          </w:tcPr>
          <w:p>
            <w:pPr>
              <w:spacing w:line="240" w:lineRule="auto"/>
              <w:jc w:val="center"/>
            </w:pPr>
            <w:r>
              <w:rPr>
                <w:color w:val="FF0000"/>
                <w:sz w:val="24"/>
              </w:rPr>
              <w:t>6,0</w:t>
            </w:r>
          </w:p>
        </w:tc>
        <w:tc>
          <w:tcPr>
            <w:tcW w:type="dxa" w:w="1191"/>
          </w:tcPr>
          <w:p>
            <w:pPr>
              <w:spacing w:line="240" w:lineRule="auto"/>
              <w:jc w:val="center"/>
            </w:pPr>
            <w:r>
              <w:rPr>
                <w:color w:val="FF0000"/>
                <w:sz w:val="24"/>
              </w:rPr>
              <w:t>4,6</w:t>
            </w:r>
          </w:p>
        </w:tc>
        <w:tc>
          <w:tcPr>
            <w:tcW w:type="dxa" w:w="1191"/>
          </w:tcPr>
          <w:p>
            <w:pPr>
              <w:spacing w:line="240" w:lineRule="auto"/>
              <w:jc w:val="center"/>
            </w:pPr>
            <w:r>
              <w:rPr>
                <w:color w:val="FF0000"/>
                <w:sz w:val="24"/>
              </w:rPr>
              <w:t>4,4</w:t>
            </w:r>
          </w:p>
        </w:tc>
      </w:tr>
      <w:tr>
        <w:tc>
          <w:tcPr>
            <w:tcW w:type="dxa" w:w="3402"/>
          </w:tcPr>
          <w:p>
            <w:pPr>
              <w:spacing w:line="240" w:lineRule="auto"/>
            </w:pPr>
            <w:r>
              <w:rPr>
                <w:color w:val="FF0000"/>
                <w:sz w:val="24"/>
              </w:rPr>
              <w:t>Substandart kreditlar ulushi, %</w:t>
            </w:r>
          </w:p>
        </w:tc>
        <w:tc>
          <w:tcPr>
            <w:tcW w:type="dxa" w:w="1191"/>
          </w:tcPr>
          <w:p>
            <w:pPr>
              <w:spacing w:line="240" w:lineRule="auto"/>
              <w:jc w:val="center"/>
            </w:pPr>
            <w:r>
              <w:rPr>
                <w:color w:val="FF0000"/>
                <w:sz w:val="24"/>
              </w:rPr>
              <w:t>9,1</w:t>
            </w:r>
          </w:p>
        </w:tc>
        <w:tc>
          <w:tcPr>
            <w:tcW w:type="dxa" w:w="1191"/>
          </w:tcPr>
          <w:p>
            <w:pPr>
              <w:spacing w:line="240" w:lineRule="auto"/>
              <w:jc w:val="center"/>
            </w:pPr>
            <w:r>
              <w:rPr>
                <w:color w:val="FF0000"/>
                <w:sz w:val="24"/>
              </w:rPr>
              <w:t>19,3</w:t>
            </w:r>
          </w:p>
        </w:tc>
        <w:tc>
          <w:tcPr>
            <w:tcW w:type="dxa" w:w="1191"/>
          </w:tcPr>
          <w:p>
            <w:pPr>
              <w:spacing w:line="240" w:lineRule="auto"/>
              <w:jc w:val="center"/>
            </w:pPr>
            <w:r>
              <w:rPr>
                <w:color w:val="FF0000"/>
                <w:sz w:val="24"/>
              </w:rPr>
              <w:t>24,5</w:t>
            </w:r>
          </w:p>
        </w:tc>
        <w:tc>
          <w:tcPr>
            <w:tcW w:type="dxa" w:w="1191"/>
          </w:tcPr>
          <w:p>
            <w:pPr>
              <w:spacing w:line="240" w:lineRule="auto"/>
              <w:jc w:val="center"/>
            </w:pPr>
            <w:r>
              <w:rPr>
                <w:color w:val="FF0000"/>
                <w:sz w:val="24"/>
              </w:rPr>
              <w:t>21,3</w:t>
            </w:r>
          </w:p>
        </w:tc>
        <w:tc>
          <w:tcPr>
            <w:tcW w:type="dxa" w:w="1191"/>
          </w:tcPr>
          <w:p>
            <w:pPr>
              <w:spacing w:line="240" w:lineRule="auto"/>
              <w:jc w:val="center"/>
            </w:pPr>
            <w:r>
              <w:rPr>
                <w:color w:val="FF0000"/>
                <w:sz w:val="24"/>
              </w:rPr>
              <w:t>9,0</w:t>
            </w:r>
          </w:p>
        </w:tc>
      </w:tr>
      <w:tr>
        <w:tc>
          <w:tcPr>
            <w:tcW w:type="dxa" w:w="3402"/>
          </w:tcPr>
          <w:p>
            <w:pPr>
              <w:spacing w:line="240" w:lineRule="auto"/>
            </w:pPr>
            <w:r>
              <w:rPr>
                <w:color w:val="FF0000"/>
                <w:sz w:val="24"/>
              </w:rPr>
              <w:t>ROA, %</w:t>
            </w:r>
          </w:p>
        </w:tc>
        <w:tc>
          <w:tcPr>
            <w:tcW w:type="dxa" w:w="1191"/>
          </w:tcPr>
          <w:p>
            <w:pPr>
              <w:spacing w:line="240" w:lineRule="auto"/>
              <w:jc w:val="center"/>
            </w:pPr>
            <w:r>
              <w:rPr>
                <w:color w:val="FF0000"/>
                <w:sz w:val="24"/>
              </w:rPr>
              <w:t>0,3</w:t>
            </w:r>
          </w:p>
        </w:tc>
        <w:tc>
          <w:tcPr>
            <w:tcW w:type="dxa" w:w="1191"/>
          </w:tcPr>
          <w:p>
            <w:pPr>
              <w:spacing w:line="240" w:lineRule="auto"/>
              <w:jc w:val="center"/>
            </w:pPr>
            <w:r>
              <w:rPr>
                <w:color w:val="FF0000"/>
                <w:sz w:val="24"/>
              </w:rPr>
              <w:t>0,1</w:t>
            </w:r>
          </w:p>
        </w:tc>
        <w:tc>
          <w:tcPr>
            <w:tcW w:type="dxa" w:w="1191"/>
          </w:tcPr>
          <w:p>
            <w:pPr>
              <w:spacing w:line="240" w:lineRule="auto"/>
              <w:jc w:val="center"/>
            </w:pPr>
            <w:r>
              <w:rPr>
                <w:color w:val="FF0000"/>
                <w:sz w:val="24"/>
              </w:rPr>
              <w:t>0,2</w:t>
            </w:r>
          </w:p>
        </w:tc>
        <w:tc>
          <w:tcPr>
            <w:tcW w:type="dxa" w:w="1191"/>
          </w:tcPr>
          <w:p>
            <w:pPr>
              <w:spacing w:line="240" w:lineRule="auto"/>
              <w:jc w:val="center"/>
            </w:pPr>
            <w:r>
              <w:rPr>
                <w:color w:val="FF0000"/>
                <w:sz w:val="24"/>
              </w:rPr>
              <w:t>−8,0</w:t>
            </w:r>
          </w:p>
        </w:tc>
        <w:tc>
          <w:tcPr>
            <w:tcW w:type="dxa" w:w="1191"/>
          </w:tcPr>
          <w:p>
            <w:pPr>
              <w:spacing w:line="240" w:lineRule="auto"/>
              <w:jc w:val="center"/>
            </w:pPr>
            <w:r>
              <w:rPr>
                <w:color w:val="FF0000"/>
                <w:sz w:val="24"/>
              </w:rPr>
              <w:t>0,6</w:t>
            </w:r>
          </w:p>
        </w:tc>
      </w:tr>
      <w:tr>
        <w:tc>
          <w:tcPr>
            <w:tcW w:type="dxa" w:w="3402"/>
          </w:tcPr>
          <w:p>
            <w:pPr>
              <w:spacing w:line="240" w:lineRule="auto"/>
            </w:pPr>
            <w:r>
              <w:rPr>
                <w:color w:val="FF0000"/>
                <w:sz w:val="24"/>
              </w:rPr>
              <w:t>ROE, %</w:t>
            </w:r>
          </w:p>
        </w:tc>
        <w:tc>
          <w:tcPr>
            <w:tcW w:type="dxa" w:w="1191"/>
          </w:tcPr>
          <w:p>
            <w:pPr>
              <w:spacing w:line="240" w:lineRule="auto"/>
              <w:jc w:val="center"/>
            </w:pPr>
            <w:r>
              <w:rPr>
                <w:color w:val="FF0000"/>
                <w:sz w:val="24"/>
              </w:rPr>
              <w:t>1,9</w:t>
            </w:r>
          </w:p>
        </w:tc>
        <w:tc>
          <w:tcPr>
            <w:tcW w:type="dxa" w:w="1191"/>
          </w:tcPr>
          <w:p>
            <w:pPr>
              <w:spacing w:line="240" w:lineRule="auto"/>
              <w:jc w:val="center"/>
            </w:pPr>
            <w:r>
              <w:rPr>
                <w:color w:val="FF0000"/>
                <w:sz w:val="24"/>
              </w:rPr>
              <w:t>0,7</w:t>
            </w:r>
          </w:p>
        </w:tc>
        <w:tc>
          <w:tcPr>
            <w:tcW w:type="dxa" w:w="1191"/>
          </w:tcPr>
          <w:p>
            <w:pPr>
              <w:spacing w:line="240" w:lineRule="auto"/>
              <w:jc w:val="center"/>
            </w:pPr>
            <w:r>
              <w:rPr>
                <w:color w:val="FF0000"/>
                <w:sz w:val="24"/>
              </w:rPr>
              <w:t>1,1</w:t>
            </w:r>
          </w:p>
        </w:tc>
        <w:tc>
          <w:tcPr>
            <w:tcW w:type="dxa" w:w="1191"/>
          </w:tcPr>
          <w:p>
            <w:pPr>
              <w:spacing w:line="240" w:lineRule="auto"/>
              <w:jc w:val="center"/>
            </w:pPr>
            <w:r>
              <w:rPr>
                <w:color w:val="FF0000"/>
                <w:sz w:val="24"/>
              </w:rPr>
              <w:t>−45,5</w:t>
            </w:r>
          </w:p>
        </w:tc>
        <w:tc>
          <w:tcPr>
            <w:tcW w:type="dxa" w:w="1191"/>
          </w:tcPr>
          <w:p>
            <w:pPr>
              <w:spacing w:line="240" w:lineRule="auto"/>
              <w:jc w:val="center"/>
            </w:pPr>
            <w:r>
              <w:rPr>
                <w:color w:val="FF0000"/>
                <w:sz w:val="24"/>
              </w:rPr>
              <w:t>3,5</w:t>
            </w:r>
          </w:p>
        </w:tc>
      </w:tr>
      <w:tr>
        <w:tc>
          <w:tcPr>
            <w:tcW w:type="dxa" w:w="3402"/>
          </w:tcPr>
          <w:p>
            <w:pPr>
              <w:spacing w:line="240" w:lineRule="auto"/>
            </w:pPr>
            <w:r>
              <w:rPr>
                <w:color w:val="FF0000"/>
                <w:sz w:val="24"/>
              </w:rPr>
              <w:t>LCR, %</w:t>
            </w:r>
          </w:p>
        </w:tc>
        <w:tc>
          <w:tcPr>
            <w:tcW w:type="dxa" w:w="1191"/>
          </w:tcPr>
          <w:p>
            <w:pPr>
              <w:spacing w:line="240" w:lineRule="auto"/>
              <w:jc w:val="center"/>
            </w:pPr>
            <w:r>
              <w:rPr>
                <w:color w:val="FF0000"/>
                <w:sz w:val="24"/>
              </w:rPr>
              <w:t>165,2</w:t>
            </w:r>
          </w:p>
        </w:tc>
        <w:tc>
          <w:tcPr>
            <w:tcW w:type="dxa" w:w="1191"/>
          </w:tcPr>
          <w:p>
            <w:pPr>
              <w:spacing w:line="240" w:lineRule="auto"/>
              <w:jc w:val="center"/>
            </w:pPr>
            <w:r>
              <w:rPr>
                <w:color w:val="FF0000"/>
                <w:sz w:val="24"/>
              </w:rPr>
              <w:t>156,4</w:t>
            </w:r>
          </w:p>
        </w:tc>
        <w:tc>
          <w:tcPr>
            <w:tcW w:type="dxa" w:w="1191"/>
          </w:tcPr>
          <w:p>
            <w:pPr>
              <w:spacing w:line="240" w:lineRule="auto"/>
              <w:jc w:val="center"/>
            </w:pPr>
            <w:r>
              <w:rPr>
                <w:color w:val="FF0000"/>
                <w:sz w:val="24"/>
              </w:rPr>
              <w:t>131,7</w:t>
            </w:r>
          </w:p>
        </w:tc>
        <w:tc>
          <w:tcPr>
            <w:tcW w:type="dxa" w:w="1191"/>
          </w:tcPr>
          <w:p>
            <w:pPr>
              <w:spacing w:line="240" w:lineRule="auto"/>
              <w:jc w:val="center"/>
            </w:pPr>
            <w:r>
              <w:rPr>
                <w:color w:val="FF0000"/>
                <w:sz w:val="24"/>
              </w:rPr>
              <w:t>169,0</w:t>
            </w:r>
          </w:p>
        </w:tc>
        <w:tc>
          <w:tcPr>
            <w:tcW w:type="dxa" w:w="1191"/>
          </w:tcPr>
          <w:p>
            <w:pPr>
              <w:spacing w:line="240" w:lineRule="auto"/>
              <w:jc w:val="center"/>
            </w:pPr>
            <w:r>
              <w:rPr>
                <w:color w:val="FF0000"/>
                <w:sz w:val="24"/>
              </w:rPr>
              <w:t>231,9</w:t>
            </w:r>
          </w:p>
        </w:tc>
      </w:tr>
      <w:tr>
        <w:tc>
          <w:tcPr>
            <w:tcW w:type="dxa" w:w="3402"/>
          </w:tcPr>
          <w:p>
            <w:pPr>
              <w:spacing w:line="240" w:lineRule="auto"/>
            </w:pPr>
            <w:r>
              <w:rPr>
                <w:color w:val="FF0000"/>
                <w:sz w:val="24"/>
              </w:rPr>
              <w:t>NSFR, %</w:t>
            </w:r>
          </w:p>
        </w:tc>
        <w:tc>
          <w:tcPr>
            <w:tcW w:type="dxa" w:w="1191"/>
          </w:tcPr>
          <w:p>
            <w:pPr>
              <w:spacing w:line="240" w:lineRule="auto"/>
              <w:jc w:val="center"/>
            </w:pPr>
            <w:r>
              <w:rPr>
                <w:color w:val="FF0000"/>
                <w:sz w:val="24"/>
              </w:rPr>
              <w:t>117,1</w:t>
            </w:r>
          </w:p>
        </w:tc>
        <w:tc>
          <w:tcPr>
            <w:tcW w:type="dxa" w:w="1191"/>
          </w:tcPr>
          <w:p>
            <w:pPr>
              <w:spacing w:line="240" w:lineRule="auto"/>
              <w:jc w:val="center"/>
            </w:pPr>
            <w:r>
              <w:rPr>
                <w:color w:val="FF0000"/>
                <w:sz w:val="24"/>
              </w:rPr>
              <w:t>114,3</w:t>
            </w:r>
          </w:p>
        </w:tc>
        <w:tc>
          <w:tcPr>
            <w:tcW w:type="dxa" w:w="1191"/>
          </w:tcPr>
          <w:p>
            <w:pPr>
              <w:spacing w:line="240" w:lineRule="auto"/>
              <w:jc w:val="center"/>
            </w:pPr>
            <w:r>
              <w:rPr>
                <w:color w:val="FF0000"/>
                <w:sz w:val="24"/>
              </w:rPr>
              <w:t>108,3</w:t>
            </w:r>
          </w:p>
        </w:tc>
        <w:tc>
          <w:tcPr>
            <w:tcW w:type="dxa" w:w="1191"/>
          </w:tcPr>
          <w:p>
            <w:pPr>
              <w:spacing w:line="240" w:lineRule="auto"/>
              <w:jc w:val="center"/>
            </w:pPr>
            <w:r>
              <w:rPr>
                <w:color w:val="FF0000"/>
                <w:sz w:val="24"/>
              </w:rPr>
              <w:t>113,1</w:t>
            </w:r>
          </w:p>
        </w:tc>
        <w:tc>
          <w:tcPr>
            <w:tcW w:type="dxa" w:w="1191"/>
          </w:tcPr>
          <w:p>
            <w:pPr>
              <w:spacing w:line="240" w:lineRule="auto"/>
              <w:jc w:val="center"/>
            </w:pPr>
            <w:r>
              <w:rPr>
                <w:color w:val="FF0000"/>
                <w:sz w:val="24"/>
              </w:rPr>
              <w:t>113,0</w:t>
            </w:r>
          </w:p>
        </w:tc>
      </w:tr>
      <w:tr>
        <w:tc>
          <w:tcPr>
            <w:tcW w:type="dxa" w:w="3402"/>
          </w:tcPr>
          <w:p>
            <w:pPr>
              <w:spacing w:line="240" w:lineRule="auto"/>
            </w:pPr>
            <w:r>
              <w:rPr>
                <w:color w:val="FF0000"/>
                <w:sz w:val="24"/>
              </w:rPr>
              <w:t>Kreditlar / depozitlar, %</w:t>
            </w:r>
          </w:p>
        </w:tc>
        <w:tc>
          <w:tcPr>
            <w:tcW w:type="dxa" w:w="1191"/>
          </w:tcPr>
          <w:p>
            <w:pPr>
              <w:spacing w:line="240" w:lineRule="auto"/>
              <w:jc w:val="center"/>
            </w:pPr>
            <w:r>
              <w:rPr>
                <w:color w:val="FF0000"/>
                <w:sz w:val="24"/>
              </w:rPr>
              <w:t>343,0</w:t>
            </w:r>
          </w:p>
        </w:tc>
        <w:tc>
          <w:tcPr>
            <w:tcW w:type="dxa" w:w="1191"/>
          </w:tcPr>
          <w:p>
            <w:pPr>
              <w:spacing w:line="240" w:lineRule="auto"/>
              <w:jc w:val="center"/>
            </w:pPr>
            <w:r>
              <w:rPr>
                <w:color w:val="FF0000"/>
                <w:sz w:val="24"/>
              </w:rPr>
              <w:t>246,2</w:t>
            </w:r>
          </w:p>
        </w:tc>
        <w:tc>
          <w:tcPr>
            <w:tcW w:type="dxa" w:w="1191"/>
          </w:tcPr>
          <w:p>
            <w:pPr>
              <w:spacing w:line="240" w:lineRule="auto"/>
              <w:jc w:val="center"/>
            </w:pPr>
            <w:r>
              <w:rPr>
                <w:color w:val="FF0000"/>
                <w:sz w:val="24"/>
              </w:rPr>
              <w:t>227,0</w:t>
            </w:r>
          </w:p>
        </w:tc>
        <w:tc>
          <w:tcPr>
            <w:tcW w:type="dxa" w:w="1191"/>
          </w:tcPr>
          <w:p>
            <w:pPr>
              <w:spacing w:line="240" w:lineRule="auto"/>
              <w:jc w:val="center"/>
            </w:pPr>
            <w:r>
              <w:rPr>
                <w:color w:val="FF0000"/>
                <w:sz w:val="24"/>
              </w:rPr>
              <w:t>222,4</w:t>
            </w:r>
          </w:p>
        </w:tc>
        <w:tc>
          <w:tcPr>
            <w:tcW w:type="dxa" w:w="1191"/>
          </w:tcPr>
          <w:p>
            <w:pPr>
              <w:spacing w:line="240" w:lineRule="auto"/>
              <w:jc w:val="center"/>
            </w:pPr>
            <w:r>
              <w:rPr>
                <w:color w:val="FF0000"/>
                <w:sz w:val="24"/>
              </w:rPr>
              <w:t>208,5</w:t>
            </w:r>
          </w:p>
        </w:tc>
      </w:tr>
    </w:tbl>
    <w:p>
      <w:pPr>
        <w:spacing w:line="240" w:lineRule="auto"/>
        <w:ind w:firstLine="0"/>
        <w:jc w:val="both"/>
      </w:pPr>
      <w:r>
        <w:rPr>
          <w:b w:val="0"/>
          <w:i/>
          <w:color w:val="FF0000"/>
          <w:sz w:val="24"/>
        </w:rPr>
        <w:t>Izoh: muammoli kreditlar – qoniqarsiz, shubhali va umidsiz deb tasniflangan kreditlar; ROA va ROE sof foydaning aktivlar va kapitalning o‘rtacha yillik qiymatiga nisbati sifatida hisoblandi.</w:t>
      </w:r>
    </w:p>
    <w:p>
      <w:pPr>
        <w:ind w:firstLine="709"/>
        <w:jc w:val="both"/>
      </w:pPr>
      <w:r>
        <w:rPr>
          <w:b w:val="0"/>
          <w:i w:val="0"/>
          <w:color w:val="FF0000"/>
          <w:sz w:val="28"/>
        </w:rPr>
        <w:t>“Mikrokreditbank” ATB ning aktivlari shu davrda 13,5 trln so‘mdan 30,7 trln so‘mga, ya’ni 2,3 barobar o‘sgan. Bankning o‘ziga xos xususiyati – daromadlilikning doimiy pastligi: ROE 2021–2023-yillarda 0,7–1,9 foizni tashkil etgan, 2024-yilda esa bank yirik zarar ko‘rib, ROE −45,5 foizga tushgan. Shunga qaramay, regulyativ kapital monandligi 13,8–20,7 foiz oralig‘ida saqlangan, bu esa kapital bankning o‘z foydasi emas, balki tashqi manbalar hisobiga to‘ldirilganidan dalolat beradi. Aktivlar sifati ham zaif: rasmiy muammoli kreditlar ulushi 4,4–6,0 foiz, substandart kreditlar ulushi 2023-yilda 24,5 foizga yetgan va faqat 2025-yilda 9,0 foizgacha kamaygan.</w:t>
      </w:r>
    </w:p>
    <w:p>
      <w:pPr>
        <w:ind w:firstLine="0"/>
        <w:jc w:val="right"/>
      </w:pPr>
      <w:r>
        <w:rPr>
          <w:b w:val="0"/>
          <w:i/>
          <w:color w:val="0070C0"/>
          <w:sz w:val="28"/>
        </w:rPr>
        <w:t>2.2.4-jadval</w:t>
      </w:r>
    </w:p>
    <w:p>
      <w:pPr>
        <w:spacing w:line="240" w:lineRule="auto"/>
        <w:ind w:firstLine="0"/>
        <w:jc w:val="center"/>
      </w:pPr>
      <w:r>
        <w:rPr>
          <w:b/>
          <w:i w:val="0"/>
          <w:color w:val="0070C0"/>
          <w:sz w:val="28"/>
        </w:rPr>
        <w:t>“Aloqabank” ATB ning moliyaviy barqarorlik ko‘rsatkichlari [3]</w:t>
      </w:r>
    </w:p>
    <w:tbl>
      <w:tblPr>
        <w:tblStyle w:val="TableGrid"/>
        <w:tblW w:type="auto" w:w="0"/>
        <w:tblLayout w:type="fixed"/>
        <w:tblLook w:firstColumn="1" w:firstRow="1" w:lastColumn="0" w:lastRow="0" w:noHBand="0" w:noVBand="1" w:val="04A0"/>
      </w:tblPr>
      <w:tblGrid>
        <w:gridCol w:w="3402"/>
        <w:gridCol w:w="1191"/>
        <w:gridCol w:w="1191"/>
        <w:gridCol w:w="1191"/>
        <w:gridCol w:w="1191"/>
        <w:gridCol w:w="1191"/>
      </w:tblGrid>
      <w:tr>
        <w:tc>
          <w:tcPr>
            <w:tcW w:type="dxa" w:w="3402"/>
          </w:tcPr>
          <w:p>
            <w:pPr>
              <w:spacing w:line="240" w:lineRule="auto"/>
              <w:jc w:val="center"/>
            </w:pPr>
            <w:r>
              <w:rPr>
                <w:b/>
                <w:sz w:val="24"/>
              </w:rPr>
              <w:t>Ko‘rsatkich</w:t>
            </w:r>
          </w:p>
        </w:tc>
        <w:tc>
          <w:tcPr>
            <w:tcW w:type="dxa" w:w="1191"/>
          </w:tcPr>
          <w:p>
            <w:pPr>
              <w:spacing w:line="240" w:lineRule="auto"/>
              <w:jc w:val="center"/>
            </w:pPr>
            <w:r>
              <w:rPr>
                <w:b/>
                <w:sz w:val="24"/>
              </w:rPr>
              <w:t>2021</w:t>
            </w:r>
          </w:p>
        </w:tc>
        <w:tc>
          <w:tcPr>
            <w:tcW w:type="dxa" w:w="1191"/>
          </w:tcPr>
          <w:p>
            <w:pPr>
              <w:spacing w:line="240" w:lineRule="auto"/>
              <w:jc w:val="center"/>
            </w:pPr>
            <w:r>
              <w:rPr>
                <w:b/>
                <w:sz w:val="24"/>
              </w:rPr>
              <w:t>2022</w:t>
            </w:r>
          </w:p>
        </w:tc>
        <w:tc>
          <w:tcPr>
            <w:tcW w:type="dxa" w:w="1191"/>
          </w:tcPr>
          <w:p>
            <w:pPr>
              <w:spacing w:line="240" w:lineRule="auto"/>
              <w:jc w:val="center"/>
            </w:pPr>
            <w:r>
              <w:rPr>
                <w:b/>
                <w:sz w:val="24"/>
              </w:rPr>
              <w:t>2023</w:t>
            </w:r>
          </w:p>
        </w:tc>
        <w:tc>
          <w:tcPr>
            <w:tcW w:type="dxa" w:w="1191"/>
          </w:tcPr>
          <w:p>
            <w:pPr>
              <w:spacing w:line="240" w:lineRule="auto"/>
              <w:jc w:val="center"/>
            </w:pPr>
            <w:r>
              <w:rPr>
                <w:b/>
                <w:sz w:val="24"/>
              </w:rPr>
              <w:t>2024</w:t>
            </w:r>
          </w:p>
        </w:tc>
        <w:tc>
          <w:tcPr>
            <w:tcW w:type="dxa" w:w="1191"/>
          </w:tcPr>
          <w:p>
            <w:pPr>
              <w:spacing w:line="240" w:lineRule="auto"/>
              <w:jc w:val="center"/>
            </w:pPr>
            <w:r>
              <w:rPr>
                <w:b/>
                <w:sz w:val="24"/>
              </w:rPr>
              <w:t>2025</w:t>
            </w:r>
          </w:p>
        </w:tc>
      </w:tr>
      <w:tr>
        <w:tc>
          <w:tcPr>
            <w:tcW w:type="dxa" w:w="3402"/>
          </w:tcPr>
          <w:p>
            <w:pPr>
              <w:spacing w:line="240" w:lineRule="auto"/>
            </w:pPr>
            <w:r>
              <w:rPr>
                <w:color w:val="0070C0"/>
                <w:sz w:val="24"/>
              </w:rPr>
              <w:t>Jami aktivlar, trln so‘m</w:t>
            </w:r>
          </w:p>
        </w:tc>
        <w:tc>
          <w:tcPr>
            <w:tcW w:type="dxa" w:w="1191"/>
          </w:tcPr>
          <w:p>
            <w:pPr>
              <w:spacing w:line="240" w:lineRule="auto"/>
              <w:jc w:val="center"/>
            </w:pPr>
            <w:r>
              <w:rPr>
                <w:color w:val="0070C0"/>
                <w:sz w:val="24"/>
              </w:rPr>
              <w:t>12,6</w:t>
            </w:r>
          </w:p>
        </w:tc>
        <w:tc>
          <w:tcPr>
            <w:tcW w:type="dxa" w:w="1191"/>
          </w:tcPr>
          <w:p>
            <w:pPr>
              <w:spacing w:line="240" w:lineRule="auto"/>
              <w:jc w:val="center"/>
            </w:pPr>
            <w:r>
              <w:rPr>
                <w:color w:val="0070C0"/>
                <w:sz w:val="24"/>
              </w:rPr>
              <w:t>16,1</w:t>
            </w:r>
          </w:p>
        </w:tc>
        <w:tc>
          <w:tcPr>
            <w:tcW w:type="dxa" w:w="1191"/>
          </w:tcPr>
          <w:p>
            <w:pPr>
              <w:spacing w:line="240" w:lineRule="auto"/>
              <w:jc w:val="center"/>
            </w:pPr>
            <w:r>
              <w:rPr>
                <w:color w:val="0070C0"/>
                <w:sz w:val="24"/>
              </w:rPr>
              <w:t>16,0</w:t>
            </w:r>
          </w:p>
        </w:tc>
        <w:tc>
          <w:tcPr>
            <w:tcW w:type="dxa" w:w="1191"/>
          </w:tcPr>
          <w:p>
            <w:pPr>
              <w:spacing w:line="240" w:lineRule="auto"/>
              <w:jc w:val="center"/>
            </w:pPr>
            <w:r>
              <w:rPr>
                <w:color w:val="0070C0"/>
                <w:sz w:val="24"/>
              </w:rPr>
              <w:t>23,3</w:t>
            </w:r>
          </w:p>
        </w:tc>
        <w:tc>
          <w:tcPr>
            <w:tcW w:type="dxa" w:w="1191"/>
          </w:tcPr>
          <w:p>
            <w:pPr>
              <w:spacing w:line="240" w:lineRule="auto"/>
              <w:jc w:val="center"/>
            </w:pPr>
            <w:r>
              <w:rPr>
                <w:color w:val="0070C0"/>
                <w:sz w:val="24"/>
              </w:rPr>
              <w:t>31,5</w:t>
            </w:r>
          </w:p>
        </w:tc>
      </w:tr>
      <w:tr>
        <w:tc>
          <w:tcPr>
            <w:tcW w:type="dxa" w:w="3402"/>
          </w:tcPr>
          <w:p>
            <w:pPr>
              <w:spacing w:line="240" w:lineRule="auto"/>
            </w:pPr>
            <w:r>
              <w:rPr>
                <w:color w:val="0070C0"/>
                <w:sz w:val="24"/>
              </w:rPr>
              <w:t>Regulyativ kapital monandligi, %</w:t>
            </w:r>
          </w:p>
        </w:tc>
        <w:tc>
          <w:tcPr>
            <w:tcW w:type="dxa" w:w="1191"/>
          </w:tcPr>
          <w:p>
            <w:pPr>
              <w:spacing w:line="240" w:lineRule="auto"/>
              <w:jc w:val="center"/>
            </w:pPr>
            <w:r>
              <w:rPr>
                <w:color w:val="0070C0"/>
                <w:sz w:val="24"/>
              </w:rPr>
              <w:t>13,2</w:t>
            </w:r>
          </w:p>
        </w:tc>
        <w:tc>
          <w:tcPr>
            <w:tcW w:type="dxa" w:w="1191"/>
          </w:tcPr>
          <w:p>
            <w:pPr>
              <w:spacing w:line="240" w:lineRule="auto"/>
              <w:jc w:val="center"/>
            </w:pPr>
            <w:r>
              <w:rPr>
                <w:color w:val="0070C0"/>
                <w:sz w:val="24"/>
              </w:rPr>
              <w:t>12,5</w:t>
            </w:r>
          </w:p>
        </w:tc>
        <w:tc>
          <w:tcPr>
            <w:tcW w:type="dxa" w:w="1191"/>
          </w:tcPr>
          <w:p>
            <w:pPr>
              <w:spacing w:line="240" w:lineRule="auto"/>
              <w:jc w:val="center"/>
            </w:pPr>
            <w:r>
              <w:rPr>
                <w:color w:val="0070C0"/>
                <w:sz w:val="24"/>
              </w:rPr>
              <w:t>16,4</w:t>
            </w:r>
          </w:p>
        </w:tc>
        <w:tc>
          <w:tcPr>
            <w:tcW w:type="dxa" w:w="1191"/>
          </w:tcPr>
          <w:p>
            <w:pPr>
              <w:spacing w:line="240" w:lineRule="auto"/>
              <w:jc w:val="center"/>
            </w:pPr>
            <w:r>
              <w:rPr>
                <w:color w:val="0070C0"/>
                <w:sz w:val="24"/>
              </w:rPr>
              <w:t>13,9</w:t>
            </w:r>
          </w:p>
        </w:tc>
        <w:tc>
          <w:tcPr>
            <w:tcW w:type="dxa" w:w="1191"/>
          </w:tcPr>
          <w:p>
            <w:pPr>
              <w:spacing w:line="240" w:lineRule="auto"/>
              <w:jc w:val="center"/>
            </w:pPr>
            <w:r>
              <w:rPr>
                <w:color w:val="0070C0"/>
                <w:sz w:val="24"/>
              </w:rPr>
              <w:t>14,1</w:t>
            </w:r>
          </w:p>
        </w:tc>
      </w:tr>
      <w:tr>
        <w:tc>
          <w:tcPr>
            <w:tcW w:type="dxa" w:w="3402"/>
          </w:tcPr>
          <w:p>
            <w:pPr>
              <w:spacing w:line="240" w:lineRule="auto"/>
            </w:pPr>
            <w:r>
              <w:rPr>
                <w:color w:val="0070C0"/>
                <w:sz w:val="24"/>
              </w:rPr>
              <w:t>Asosiy kapital (CET1) monandligi, %</w:t>
            </w:r>
          </w:p>
        </w:tc>
        <w:tc>
          <w:tcPr>
            <w:tcW w:type="dxa" w:w="1191"/>
          </w:tcPr>
          <w:p>
            <w:pPr>
              <w:spacing w:line="240" w:lineRule="auto"/>
              <w:jc w:val="center"/>
            </w:pPr>
            <w:r>
              <w:rPr>
                <w:color w:val="0070C0"/>
                <w:sz w:val="24"/>
              </w:rPr>
              <w:t>11,4</w:t>
            </w:r>
          </w:p>
        </w:tc>
        <w:tc>
          <w:tcPr>
            <w:tcW w:type="dxa" w:w="1191"/>
          </w:tcPr>
          <w:p>
            <w:pPr>
              <w:spacing w:line="240" w:lineRule="auto"/>
              <w:jc w:val="center"/>
            </w:pPr>
            <w:r>
              <w:rPr>
                <w:color w:val="0070C0"/>
                <w:sz w:val="24"/>
              </w:rPr>
              <w:t>9,4</w:t>
            </w:r>
          </w:p>
        </w:tc>
        <w:tc>
          <w:tcPr>
            <w:tcW w:type="dxa" w:w="1191"/>
          </w:tcPr>
          <w:p>
            <w:pPr>
              <w:spacing w:line="240" w:lineRule="auto"/>
              <w:jc w:val="center"/>
            </w:pPr>
            <w:r>
              <w:rPr>
                <w:color w:val="0070C0"/>
                <w:sz w:val="24"/>
              </w:rPr>
              <w:t>11,5</w:t>
            </w:r>
          </w:p>
        </w:tc>
        <w:tc>
          <w:tcPr>
            <w:tcW w:type="dxa" w:w="1191"/>
          </w:tcPr>
          <w:p>
            <w:pPr>
              <w:spacing w:line="240" w:lineRule="auto"/>
              <w:jc w:val="center"/>
            </w:pPr>
            <w:r>
              <w:rPr>
                <w:color w:val="0070C0"/>
                <w:sz w:val="24"/>
              </w:rPr>
              <w:t>11,8</w:t>
            </w:r>
          </w:p>
        </w:tc>
        <w:tc>
          <w:tcPr>
            <w:tcW w:type="dxa" w:w="1191"/>
          </w:tcPr>
          <w:p>
            <w:pPr>
              <w:spacing w:line="240" w:lineRule="auto"/>
              <w:jc w:val="center"/>
            </w:pPr>
            <w:r>
              <w:rPr>
                <w:color w:val="0070C0"/>
                <w:sz w:val="24"/>
              </w:rPr>
              <w:t>10,1</w:t>
            </w:r>
          </w:p>
        </w:tc>
      </w:tr>
      <w:tr>
        <w:tc>
          <w:tcPr>
            <w:tcW w:type="dxa" w:w="3402"/>
          </w:tcPr>
          <w:p>
            <w:pPr>
              <w:spacing w:line="240" w:lineRule="auto"/>
            </w:pPr>
            <w:r>
              <w:rPr>
                <w:color w:val="0070C0"/>
                <w:sz w:val="24"/>
              </w:rPr>
              <w:t>Muammoli kreditlar ulushi, %</w:t>
            </w:r>
          </w:p>
        </w:tc>
        <w:tc>
          <w:tcPr>
            <w:tcW w:type="dxa" w:w="1191"/>
          </w:tcPr>
          <w:p>
            <w:pPr>
              <w:spacing w:line="240" w:lineRule="auto"/>
              <w:jc w:val="center"/>
            </w:pPr>
            <w:r>
              <w:rPr>
                <w:color w:val="0070C0"/>
                <w:sz w:val="24"/>
              </w:rPr>
              <w:t>4,1</w:t>
            </w:r>
          </w:p>
        </w:tc>
        <w:tc>
          <w:tcPr>
            <w:tcW w:type="dxa" w:w="1191"/>
          </w:tcPr>
          <w:p>
            <w:pPr>
              <w:spacing w:line="240" w:lineRule="auto"/>
              <w:jc w:val="center"/>
            </w:pPr>
            <w:r>
              <w:rPr>
                <w:color w:val="0070C0"/>
                <w:sz w:val="24"/>
              </w:rPr>
              <w:t>2,0</w:t>
            </w:r>
          </w:p>
        </w:tc>
        <w:tc>
          <w:tcPr>
            <w:tcW w:type="dxa" w:w="1191"/>
          </w:tcPr>
          <w:p>
            <w:pPr>
              <w:spacing w:line="240" w:lineRule="auto"/>
              <w:jc w:val="center"/>
            </w:pPr>
            <w:r>
              <w:rPr>
                <w:color w:val="0070C0"/>
                <w:sz w:val="24"/>
              </w:rPr>
              <w:t>1,5</w:t>
            </w:r>
          </w:p>
        </w:tc>
        <w:tc>
          <w:tcPr>
            <w:tcW w:type="dxa" w:w="1191"/>
          </w:tcPr>
          <w:p>
            <w:pPr>
              <w:spacing w:line="240" w:lineRule="auto"/>
              <w:jc w:val="center"/>
            </w:pPr>
            <w:r>
              <w:rPr>
                <w:color w:val="0070C0"/>
                <w:sz w:val="24"/>
              </w:rPr>
              <w:t>1,9</w:t>
            </w:r>
          </w:p>
        </w:tc>
        <w:tc>
          <w:tcPr>
            <w:tcW w:type="dxa" w:w="1191"/>
          </w:tcPr>
          <w:p>
            <w:pPr>
              <w:spacing w:line="240" w:lineRule="auto"/>
              <w:jc w:val="center"/>
            </w:pPr>
            <w:r>
              <w:rPr>
                <w:color w:val="0070C0"/>
                <w:sz w:val="24"/>
              </w:rPr>
              <w:t>2,5</w:t>
            </w:r>
          </w:p>
        </w:tc>
      </w:tr>
      <w:tr>
        <w:tc>
          <w:tcPr>
            <w:tcW w:type="dxa" w:w="3402"/>
          </w:tcPr>
          <w:p>
            <w:pPr>
              <w:spacing w:line="240" w:lineRule="auto"/>
            </w:pPr>
            <w:r>
              <w:rPr>
                <w:color w:val="0070C0"/>
                <w:sz w:val="24"/>
              </w:rPr>
              <w:t>Substandart kreditlar ulushi, %</w:t>
            </w:r>
          </w:p>
        </w:tc>
        <w:tc>
          <w:tcPr>
            <w:tcW w:type="dxa" w:w="1191"/>
          </w:tcPr>
          <w:p>
            <w:pPr>
              <w:spacing w:line="240" w:lineRule="auto"/>
              <w:jc w:val="center"/>
            </w:pPr>
            <w:r>
              <w:rPr>
                <w:color w:val="0070C0"/>
                <w:sz w:val="24"/>
              </w:rPr>
              <w:t>8,0</w:t>
            </w:r>
          </w:p>
        </w:tc>
        <w:tc>
          <w:tcPr>
            <w:tcW w:type="dxa" w:w="1191"/>
          </w:tcPr>
          <w:p>
            <w:pPr>
              <w:spacing w:line="240" w:lineRule="auto"/>
              <w:jc w:val="center"/>
            </w:pPr>
            <w:r>
              <w:rPr>
                <w:color w:val="0070C0"/>
                <w:sz w:val="24"/>
              </w:rPr>
              <w:t>1,1</w:t>
            </w:r>
          </w:p>
        </w:tc>
        <w:tc>
          <w:tcPr>
            <w:tcW w:type="dxa" w:w="1191"/>
          </w:tcPr>
          <w:p>
            <w:pPr>
              <w:spacing w:line="240" w:lineRule="auto"/>
              <w:jc w:val="center"/>
            </w:pPr>
            <w:r>
              <w:rPr>
                <w:color w:val="0070C0"/>
                <w:sz w:val="24"/>
              </w:rPr>
              <w:t>11,8</w:t>
            </w:r>
          </w:p>
        </w:tc>
        <w:tc>
          <w:tcPr>
            <w:tcW w:type="dxa" w:w="1191"/>
          </w:tcPr>
          <w:p>
            <w:pPr>
              <w:spacing w:line="240" w:lineRule="auto"/>
              <w:jc w:val="center"/>
            </w:pPr>
            <w:r>
              <w:rPr>
                <w:color w:val="0070C0"/>
                <w:sz w:val="24"/>
              </w:rPr>
              <w:t>10,2</w:t>
            </w:r>
          </w:p>
        </w:tc>
        <w:tc>
          <w:tcPr>
            <w:tcW w:type="dxa" w:w="1191"/>
          </w:tcPr>
          <w:p>
            <w:pPr>
              <w:spacing w:line="240" w:lineRule="auto"/>
              <w:jc w:val="center"/>
            </w:pPr>
            <w:r>
              <w:rPr>
                <w:color w:val="0070C0"/>
                <w:sz w:val="24"/>
              </w:rPr>
              <w:t>6,4</w:t>
            </w:r>
          </w:p>
        </w:tc>
      </w:tr>
      <w:tr>
        <w:tc>
          <w:tcPr>
            <w:tcW w:type="dxa" w:w="3402"/>
          </w:tcPr>
          <w:p>
            <w:pPr>
              <w:spacing w:line="240" w:lineRule="auto"/>
            </w:pPr>
            <w:r>
              <w:rPr>
                <w:color w:val="0070C0"/>
                <w:sz w:val="24"/>
              </w:rPr>
              <w:t>ROA, %</w:t>
            </w:r>
          </w:p>
        </w:tc>
        <w:tc>
          <w:tcPr>
            <w:tcW w:type="dxa" w:w="1191"/>
          </w:tcPr>
          <w:p>
            <w:pPr>
              <w:spacing w:line="240" w:lineRule="auto"/>
              <w:jc w:val="center"/>
            </w:pPr>
            <w:r>
              <w:rPr>
                <w:color w:val="0070C0"/>
                <w:sz w:val="24"/>
              </w:rPr>
              <w:t>1,0</w:t>
            </w:r>
          </w:p>
        </w:tc>
        <w:tc>
          <w:tcPr>
            <w:tcW w:type="dxa" w:w="1191"/>
          </w:tcPr>
          <w:p>
            <w:pPr>
              <w:spacing w:line="240" w:lineRule="auto"/>
              <w:jc w:val="center"/>
            </w:pPr>
            <w:r>
              <w:rPr>
                <w:color w:val="0070C0"/>
                <w:sz w:val="24"/>
              </w:rPr>
              <w:t>1,6</w:t>
            </w:r>
          </w:p>
        </w:tc>
        <w:tc>
          <w:tcPr>
            <w:tcW w:type="dxa" w:w="1191"/>
          </w:tcPr>
          <w:p>
            <w:pPr>
              <w:spacing w:line="240" w:lineRule="auto"/>
              <w:jc w:val="center"/>
            </w:pPr>
            <w:r>
              <w:rPr>
                <w:color w:val="0070C0"/>
                <w:sz w:val="24"/>
              </w:rPr>
              <w:t>3,8</w:t>
            </w:r>
          </w:p>
        </w:tc>
        <w:tc>
          <w:tcPr>
            <w:tcW w:type="dxa" w:w="1191"/>
          </w:tcPr>
          <w:p>
            <w:pPr>
              <w:spacing w:line="240" w:lineRule="auto"/>
              <w:jc w:val="center"/>
            </w:pPr>
            <w:r>
              <w:rPr>
                <w:color w:val="0070C0"/>
                <w:sz w:val="24"/>
              </w:rPr>
              <w:t>1,0</w:t>
            </w:r>
          </w:p>
        </w:tc>
        <w:tc>
          <w:tcPr>
            <w:tcW w:type="dxa" w:w="1191"/>
          </w:tcPr>
          <w:p>
            <w:pPr>
              <w:spacing w:line="240" w:lineRule="auto"/>
              <w:jc w:val="center"/>
            </w:pPr>
            <w:r>
              <w:rPr>
                <w:color w:val="0070C0"/>
                <w:sz w:val="24"/>
              </w:rPr>
              <w:t>0,9</w:t>
            </w:r>
          </w:p>
        </w:tc>
      </w:tr>
      <w:tr>
        <w:tc>
          <w:tcPr>
            <w:tcW w:type="dxa" w:w="3402"/>
          </w:tcPr>
          <w:p>
            <w:pPr>
              <w:spacing w:line="240" w:lineRule="auto"/>
            </w:pPr>
            <w:r>
              <w:rPr>
                <w:color w:val="0070C0"/>
                <w:sz w:val="24"/>
              </w:rPr>
              <w:t>ROE, %</w:t>
            </w:r>
          </w:p>
        </w:tc>
        <w:tc>
          <w:tcPr>
            <w:tcW w:type="dxa" w:w="1191"/>
          </w:tcPr>
          <w:p>
            <w:pPr>
              <w:spacing w:line="240" w:lineRule="auto"/>
              <w:jc w:val="center"/>
            </w:pPr>
            <w:r>
              <w:rPr>
                <w:color w:val="0070C0"/>
                <w:sz w:val="24"/>
              </w:rPr>
              <w:t>6,6</w:t>
            </w:r>
          </w:p>
        </w:tc>
        <w:tc>
          <w:tcPr>
            <w:tcW w:type="dxa" w:w="1191"/>
          </w:tcPr>
          <w:p>
            <w:pPr>
              <w:spacing w:line="240" w:lineRule="auto"/>
              <w:jc w:val="center"/>
            </w:pPr>
            <w:r>
              <w:rPr>
                <w:color w:val="0070C0"/>
                <w:sz w:val="24"/>
              </w:rPr>
              <w:t>13,2</w:t>
            </w:r>
          </w:p>
        </w:tc>
        <w:tc>
          <w:tcPr>
            <w:tcW w:type="dxa" w:w="1191"/>
          </w:tcPr>
          <w:p>
            <w:pPr>
              <w:spacing w:line="240" w:lineRule="auto"/>
              <w:jc w:val="center"/>
            </w:pPr>
            <w:r>
              <w:rPr>
                <w:color w:val="0070C0"/>
                <w:sz w:val="24"/>
              </w:rPr>
              <w:t>27,4</w:t>
            </w:r>
          </w:p>
        </w:tc>
        <w:tc>
          <w:tcPr>
            <w:tcW w:type="dxa" w:w="1191"/>
          </w:tcPr>
          <w:p>
            <w:pPr>
              <w:spacing w:line="240" w:lineRule="auto"/>
              <w:jc w:val="center"/>
            </w:pPr>
            <w:r>
              <w:rPr>
                <w:color w:val="0070C0"/>
                <w:sz w:val="24"/>
              </w:rPr>
              <w:t>6,6</w:t>
            </w:r>
          </w:p>
        </w:tc>
        <w:tc>
          <w:tcPr>
            <w:tcW w:type="dxa" w:w="1191"/>
          </w:tcPr>
          <w:p>
            <w:pPr>
              <w:spacing w:line="240" w:lineRule="auto"/>
              <w:jc w:val="center"/>
            </w:pPr>
            <w:r>
              <w:rPr>
                <w:color w:val="0070C0"/>
                <w:sz w:val="24"/>
              </w:rPr>
              <w:t>7,3</w:t>
            </w:r>
          </w:p>
        </w:tc>
      </w:tr>
      <w:tr>
        <w:tc>
          <w:tcPr>
            <w:tcW w:type="dxa" w:w="3402"/>
          </w:tcPr>
          <w:p>
            <w:pPr>
              <w:spacing w:line="240" w:lineRule="auto"/>
            </w:pPr>
            <w:r>
              <w:rPr>
                <w:color w:val="0070C0"/>
                <w:sz w:val="24"/>
              </w:rPr>
              <w:t>LCR, %</w:t>
            </w:r>
          </w:p>
        </w:tc>
        <w:tc>
          <w:tcPr>
            <w:tcW w:type="dxa" w:w="1191"/>
          </w:tcPr>
          <w:p>
            <w:pPr>
              <w:spacing w:line="240" w:lineRule="auto"/>
              <w:jc w:val="center"/>
            </w:pPr>
            <w:r>
              <w:rPr>
                <w:color w:val="0070C0"/>
                <w:sz w:val="24"/>
              </w:rPr>
              <w:t>110,9</w:t>
            </w:r>
          </w:p>
        </w:tc>
        <w:tc>
          <w:tcPr>
            <w:tcW w:type="dxa" w:w="1191"/>
          </w:tcPr>
          <w:p>
            <w:pPr>
              <w:spacing w:line="240" w:lineRule="auto"/>
              <w:jc w:val="center"/>
            </w:pPr>
            <w:r>
              <w:rPr>
                <w:color w:val="0070C0"/>
                <w:sz w:val="24"/>
              </w:rPr>
              <w:t>226,8</w:t>
            </w:r>
          </w:p>
        </w:tc>
        <w:tc>
          <w:tcPr>
            <w:tcW w:type="dxa" w:w="1191"/>
          </w:tcPr>
          <w:p>
            <w:pPr>
              <w:spacing w:line="240" w:lineRule="auto"/>
              <w:jc w:val="center"/>
            </w:pPr>
            <w:r>
              <w:rPr>
                <w:color w:val="0070C0"/>
                <w:sz w:val="24"/>
              </w:rPr>
              <w:t>103,1</w:t>
            </w:r>
          </w:p>
        </w:tc>
        <w:tc>
          <w:tcPr>
            <w:tcW w:type="dxa" w:w="1191"/>
          </w:tcPr>
          <w:p>
            <w:pPr>
              <w:spacing w:line="240" w:lineRule="auto"/>
              <w:jc w:val="center"/>
            </w:pPr>
            <w:r>
              <w:rPr>
                <w:color w:val="0070C0"/>
                <w:sz w:val="24"/>
              </w:rPr>
              <w:t>144,4</w:t>
            </w:r>
          </w:p>
        </w:tc>
        <w:tc>
          <w:tcPr>
            <w:tcW w:type="dxa" w:w="1191"/>
          </w:tcPr>
          <w:p>
            <w:pPr>
              <w:spacing w:line="240" w:lineRule="auto"/>
              <w:jc w:val="center"/>
            </w:pPr>
            <w:r>
              <w:rPr>
                <w:color w:val="0070C0"/>
                <w:sz w:val="24"/>
              </w:rPr>
              <w:t>142,0</w:t>
            </w:r>
          </w:p>
        </w:tc>
      </w:tr>
      <w:tr>
        <w:tc>
          <w:tcPr>
            <w:tcW w:type="dxa" w:w="3402"/>
          </w:tcPr>
          <w:p>
            <w:pPr>
              <w:spacing w:line="240" w:lineRule="auto"/>
            </w:pPr>
            <w:r>
              <w:rPr>
                <w:color w:val="0070C0"/>
                <w:sz w:val="24"/>
              </w:rPr>
              <w:t>NSFR, %</w:t>
            </w:r>
          </w:p>
        </w:tc>
        <w:tc>
          <w:tcPr>
            <w:tcW w:type="dxa" w:w="1191"/>
          </w:tcPr>
          <w:p>
            <w:pPr>
              <w:spacing w:line="240" w:lineRule="auto"/>
              <w:jc w:val="center"/>
            </w:pPr>
            <w:r>
              <w:rPr>
                <w:color w:val="0070C0"/>
                <w:sz w:val="24"/>
              </w:rPr>
              <w:t>108,0</w:t>
            </w:r>
          </w:p>
        </w:tc>
        <w:tc>
          <w:tcPr>
            <w:tcW w:type="dxa" w:w="1191"/>
          </w:tcPr>
          <w:p>
            <w:pPr>
              <w:spacing w:line="240" w:lineRule="auto"/>
              <w:jc w:val="center"/>
            </w:pPr>
            <w:r>
              <w:rPr>
                <w:color w:val="0070C0"/>
                <w:sz w:val="24"/>
              </w:rPr>
              <w:t>100,9</w:t>
            </w:r>
          </w:p>
        </w:tc>
        <w:tc>
          <w:tcPr>
            <w:tcW w:type="dxa" w:w="1191"/>
          </w:tcPr>
          <w:p>
            <w:pPr>
              <w:spacing w:line="240" w:lineRule="auto"/>
              <w:jc w:val="center"/>
            </w:pPr>
            <w:r>
              <w:rPr>
                <w:color w:val="0070C0"/>
                <w:sz w:val="24"/>
              </w:rPr>
              <w:t>102,8</w:t>
            </w:r>
          </w:p>
        </w:tc>
        <w:tc>
          <w:tcPr>
            <w:tcW w:type="dxa" w:w="1191"/>
          </w:tcPr>
          <w:p>
            <w:pPr>
              <w:spacing w:line="240" w:lineRule="auto"/>
              <w:jc w:val="center"/>
            </w:pPr>
            <w:r>
              <w:rPr>
                <w:color w:val="0070C0"/>
                <w:sz w:val="24"/>
              </w:rPr>
              <w:t>106,6</w:t>
            </w:r>
          </w:p>
        </w:tc>
        <w:tc>
          <w:tcPr>
            <w:tcW w:type="dxa" w:w="1191"/>
          </w:tcPr>
          <w:p>
            <w:pPr>
              <w:spacing w:line="240" w:lineRule="auto"/>
              <w:jc w:val="center"/>
            </w:pPr>
            <w:r>
              <w:rPr>
                <w:color w:val="0070C0"/>
                <w:sz w:val="24"/>
              </w:rPr>
              <w:t>103,0</w:t>
            </w:r>
          </w:p>
        </w:tc>
      </w:tr>
      <w:tr>
        <w:tc>
          <w:tcPr>
            <w:tcW w:type="dxa" w:w="3402"/>
          </w:tcPr>
          <w:p>
            <w:pPr>
              <w:spacing w:line="240" w:lineRule="auto"/>
            </w:pPr>
            <w:r>
              <w:rPr>
                <w:color w:val="0070C0"/>
                <w:sz w:val="24"/>
              </w:rPr>
              <w:t>Kreditlar / depozitlar, %</w:t>
            </w:r>
          </w:p>
        </w:tc>
        <w:tc>
          <w:tcPr>
            <w:tcW w:type="dxa" w:w="1191"/>
          </w:tcPr>
          <w:p>
            <w:pPr>
              <w:spacing w:line="240" w:lineRule="auto"/>
              <w:jc w:val="center"/>
            </w:pPr>
            <w:r>
              <w:rPr>
                <w:color w:val="0070C0"/>
                <w:sz w:val="24"/>
              </w:rPr>
              <w:t>114,1</w:t>
            </w:r>
          </w:p>
        </w:tc>
        <w:tc>
          <w:tcPr>
            <w:tcW w:type="dxa" w:w="1191"/>
          </w:tcPr>
          <w:p>
            <w:pPr>
              <w:spacing w:line="240" w:lineRule="auto"/>
              <w:jc w:val="center"/>
            </w:pPr>
            <w:r>
              <w:rPr>
                <w:color w:val="0070C0"/>
                <w:sz w:val="24"/>
              </w:rPr>
              <w:t>119,0</w:t>
            </w:r>
          </w:p>
        </w:tc>
        <w:tc>
          <w:tcPr>
            <w:tcW w:type="dxa" w:w="1191"/>
          </w:tcPr>
          <w:p>
            <w:pPr>
              <w:spacing w:line="240" w:lineRule="auto"/>
              <w:jc w:val="center"/>
            </w:pPr>
            <w:r>
              <w:rPr>
                <w:color w:val="0070C0"/>
                <w:sz w:val="24"/>
              </w:rPr>
              <w:t>111,6</w:t>
            </w:r>
          </w:p>
        </w:tc>
        <w:tc>
          <w:tcPr>
            <w:tcW w:type="dxa" w:w="1191"/>
          </w:tcPr>
          <w:p>
            <w:pPr>
              <w:spacing w:line="240" w:lineRule="auto"/>
              <w:jc w:val="center"/>
            </w:pPr>
            <w:r>
              <w:rPr>
                <w:color w:val="0070C0"/>
                <w:sz w:val="24"/>
              </w:rPr>
              <w:t>93,7</w:t>
            </w:r>
          </w:p>
        </w:tc>
        <w:tc>
          <w:tcPr>
            <w:tcW w:type="dxa" w:w="1191"/>
          </w:tcPr>
          <w:p>
            <w:pPr>
              <w:spacing w:line="240" w:lineRule="auto"/>
              <w:jc w:val="center"/>
            </w:pPr>
            <w:r>
              <w:rPr>
                <w:color w:val="0070C0"/>
                <w:sz w:val="24"/>
              </w:rPr>
              <w:t>121,1</w:t>
            </w:r>
          </w:p>
        </w:tc>
      </w:tr>
    </w:tbl>
    <w:p>
      <w:pPr>
        <w:spacing w:line="240" w:lineRule="auto"/>
        <w:ind w:firstLine="0"/>
        <w:jc w:val="both"/>
      </w:pPr>
      <w:r>
        <w:rPr>
          <w:b w:val="0"/>
          <w:i/>
          <w:color w:val="0070C0"/>
          <w:sz w:val="24"/>
        </w:rPr>
        <w:t>Izoh: muammoli kreditlar – qoniqarsiz, shubhali va umidsiz deb tasniflangan kreditlar; ROA va ROE sof foydaning aktivlar va kapitalning o‘rtacha yillik qiymatiga nisbati sifatida hisoblandi.</w:t>
      </w:r>
    </w:p>
    <w:p>
      <w:pPr>
        <w:ind w:firstLine="709"/>
        <w:jc w:val="both"/>
      </w:pPr>
      <w:r>
        <w:rPr>
          <w:b w:val="0"/>
          <w:i w:val="0"/>
          <w:color w:val="0070C0"/>
          <w:sz w:val="28"/>
        </w:rPr>
        <w:t>“Aloqabank” ATB tahlilga natijalarning umumiyligini tekshirish uchun kiritildi. Bankning aktivlari 12,6 trln so‘mdan 31,5 trln so‘mga, ya’ni 2,5 barobar o‘sgan. Uning yuqoridagi ikki bankdan asosiy farqi moliyalashtirish tuzilmasida: kreditlarning depozitlarga nisbati 93,7–121,1 foiz bo‘lib, bank kreditlarni asosan mijozlar depozitlari hisobiga moliyalashtiradi. Biroq kapital va likvidlik bo‘yicha zaxira uch bank ichida eng kichik: regulyativ kapital monandligi 2023-yildan tashqari barcha yillarda 12,5–14,1 foiz bo‘lib, 13 foizlik minimum atrofida bo‘lgan (2022-yilda hisoblangan qiymat minimumdan 0,5 foiz punkt past), LCR 2023-yilda 103,1 foizgacha, NSFR esa 2022-yilda 100,9 foizgacha tushib, Bazel III minimumiga yaqinlashgan. Rasmiy muammoli kreditlar ulushi 1,5–4,1 foiz bilan past, ammo substandart kreditlar ulushi 2023–2024-yillarda 10,2–11,8 foizga ko‘tarilgan. Daromadlilik 2023-yilda eng yuqori bo‘lgan (ROE 27,4 foiz), keyingi yillarda esa 6,6–7,3 foizgacha pasaygan.</w:t>
      </w:r>
    </w:p>
    <w:p>
      <w:pPr>
        <w:ind w:firstLine="709"/>
        <w:jc w:val="both"/>
      </w:pPr>
      <w:r>
        <w:rPr>
          <w:b w:val="0"/>
          <w:i w:val="0"/>
          <w:color w:val="FF0000"/>
          <w:sz w:val="28"/>
        </w:rPr>
        <w:t>Uch jadvalni solishtirish banklarning moliyaviy barqarorlik profili turlicha bo‘lsa-da, ularda umumiy qonuniyatlar ham borligini ko‘rsatadi. Kapital bo‘yicha uchala bankda ham regulyativ kapital monandligi minimumga yaqin yoki beqaror: “O‘zsanoatqurilishbank” ATB da zaxira 2,3–4,0 foiz punktni, “Aloqabank” ATB da 2023-yildan tashqari 1,1 foiz punktdan oshmagan, “Mikrokreditbank” ATB da esa ko‘rsatkich keskin tebranadi: 2021-yilda 13,8 foiz bilan minimum chegarasida bo‘lgan ko‘rsatkich 2022-yilda 20,7 foizga ko‘tarilgan, 2024-yilda 15,4 foizgacha tushib, 2025-yilda yana 18,5 foizga yetgan (2.2.5-rasm).</w:t>
      </w:r>
    </w:p>
    <w:p>
      <w:pPr>
        <w:ind w:firstLine="0"/>
        <w:jc w:val="both"/>
      </w:pPr>
      <w:r>
        <w:rPr>
          <w:b/>
          <w:i w:val="0"/>
          <w:sz w:val="24"/>
        </w:rPr>
        <w:t>Keyingi qismdagi tegishli o‘zgarishlar (diss’ga kiritishda bajariladi):</w:t>
      </w:r>
    </w:p>
    <w:p>
      <w:pPr>
        <w:spacing w:line="276" w:lineRule="auto"/>
        <w:ind w:firstLine="0"/>
        <w:jc w:val="both"/>
      </w:pPr>
      <w:r>
        <w:rPr>
          <w:b w:val="0"/>
          <w:i w:val="0"/>
          <w:sz w:val="24"/>
        </w:rPr>
        <w:t>1. 2.2.5-rasm (regulyativ kapital monandligi), 2.2.6-rasm (muammoli va substandart kreditlar) va 2.2.8-rasm (ROE) diagrammalariga “Aloqabank” ATB qatori qo‘shiladi (diagrammalar oddiy rangda); 2.2.7-rasmda u allaqachon bor.</w:t>
      </w:r>
    </w:p>
    <w:p>
      <w:pPr>
        <w:spacing w:line="276" w:lineRule="auto"/>
        <w:ind w:firstLine="0"/>
        <w:jc w:val="both"/>
      </w:pPr>
      <w:r>
        <w:rPr>
          <w:b w:val="0"/>
          <w:i w:val="0"/>
          <w:sz w:val="24"/>
        </w:rPr>
        <w:t>2. Keyingi xatboshilardagi “ikki bank”, “ikkala bank” iboralari “uch bank”, “uchala bank” ga o‘zgartiriladi va har bir xatboshiga “Aloqabank” ATB bo‘yicha bir-ikki jumla qo‘shiladi (masalan, likvidlik xatboshisiga: “Aloqabank” ATB da kreditlarning depozitlarga nisbati 100 foiz atrofida, bu esa bank depozit bazasiga tayanishini ko‘rsatadi).</w:t>
      </w:r>
    </w:p>
    <w:p>
      <w:pPr>
        <w:spacing w:line="276" w:lineRule="auto"/>
        <w:ind w:firstLine="0"/>
        <w:jc w:val="both"/>
      </w:pPr>
      <w:r>
        <w:rPr>
          <w:b w:val="0"/>
          <w:i w:val="0"/>
          <w:sz w:val="24"/>
        </w:rPr>
        <w:t>3. Hozirgi 2.2.3-jadval (umumlashtiruvchi) 2.2.5-jadval bo‘ladi va unga “Aloqabank” ATB ustuni qo‘shiladi; matndagi havolalar yangilanadi.</w:t>
      </w:r>
    </w:p>
    <w:p>
      <w:pPr>
        <w:spacing w:line="276" w:lineRule="auto"/>
        <w:ind w:firstLine="0"/>
        <w:jc w:val="both"/>
      </w:pPr>
      <w:r>
        <w:rPr>
          <w:b w:val="0"/>
          <w:i w:val="0"/>
          <w:sz w:val="24"/>
        </w:rPr>
        <w:t>4. 2.2-§ boshidagi “Tahlil ikki darajada amalga oshirildi …” xatboshisida “tizimli ahamiyatga ega ikki davlat banki – “O‘zsanoatqurilishbank” ATB va “Mikrokreditbank” ATB” deyilgan. “Mikrokreditbank” ATB 2026-yil uchun belgilangan yetti tizimli bank ro‘yxatida yo‘q, shuning uchun bu jumla “uchta davlat banki – …” shaklida tuzatiladi va “Aloqabank” ATB qo‘shiladi.</w:t>
      </w:r>
    </w:p>
    <w:p>
      <w:pPr>
        <w:ind w:firstLine="0"/>
        <w:jc w:val="center"/>
      </w:pPr>
      <w:r>
        <w:rPr>
          <w:b/>
          <w:i w:val="0"/>
          <w:sz w:val="24"/>
        </w:rPr>
        <w:t>Sahifa osti snoskalari</w:t>
      </w:r>
    </w:p>
    <w:p>
      <w:pPr>
        <w:spacing w:line="240" w:lineRule="auto"/>
        <w:ind w:firstLine="0"/>
        <w:jc w:val="both"/>
      </w:pPr>
      <w:r>
        <w:rPr>
          <w:b w:val="0"/>
          <w:i w:val="0"/>
          <w:sz w:val="22"/>
        </w:rPr>
        <w:t>[1] Tadqiqot natijasida muallif tomonidan quyidagi manba ma’lumotlari asosida hisoblandi: “O‘zsanoatqurilishbank” ATB ning Markaziy bankka taqdim etilgan prudensial hisobot shakllari (crs003C, crs003L, crs003O): bank balansi, daromadlar, regulyativ kapital hisob-kitobi, aktivlarni tasniflash va prudensial me’yorlar jadvallari, 2020–2025-yillar 30-dekabr holatiga.</w:t>
      </w:r>
    </w:p>
    <w:p>
      <w:pPr>
        <w:spacing w:line="240" w:lineRule="auto"/>
        <w:ind w:firstLine="0"/>
        <w:jc w:val="both"/>
      </w:pPr>
      <w:r>
        <w:rPr>
          <w:b w:val="0"/>
          <w:i w:val="0"/>
          <w:sz w:val="22"/>
        </w:rPr>
        <w:t>[2] Tadqiqot natijasida muallif tomonidan quyidagi manba ma’lumotlari asosida hisoblandi: “Mikrokreditbank” ATB ning Markaziy bankka taqdim etilgan prudensial hisobot shakllari (crs005C, crs005L, crs005O): bank balansi, daromadlar, regulyativ kapital hisob-kitobi, aktivlarni tasniflash va prudensial me’yorlar jadvallari, 2020–2025-yillar 30-dekabr holatiga.</w:t>
      </w:r>
    </w:p>
    <w:p>
      <w:pPr>
        <w:spacing w:line="240" w:lineRule="auto"/>
        <w:ind w:firstLine="0"/>
        <w:jc w:val="both"/>
      </w:pPr>
      <w:r>
        <w:rPr>
          <w:b w:val="0"/>
          <w:i w:val="0"/>
          <w:sz w:val="22"/>
        </w:rPr>
        <w:t>[3] Tadqiqot natijasida muallif tomonidan quyidagi manba ma’lumotlari asosida hisoblandi: “Aloqabank” ATB ning Markaziy bankka taqdim etilgan prudensial hisobot shakllari (crs031C, crs031L, crs031O): bank balansi, daromadlar, regulyativ kapital hisob-kitobi, aktivlarni tasniflash va prudensial me’yorlar jadvallari, 2020–2025-yillar 31-dekabr holatiga.</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