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a31a9a7e35eee55cb506e353006e9b5b31985f"/>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4.2-§. Tijorat banklari moliyaviy barqarorligining 2026–2028-yillarga prognozi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integral indeks bankda muammo yuzaga kelishidan bir yil oldin signal berishi ko‘rsatildi. Biroq nazorat organi va banklar uchun nafaqat joriy signallar, balki makroiqtisodiy sharoit yomonlashgan taqdirda bank tizimining holati qanday o‘zgarishini oldindan baholash ham muhim. Bu vazifa stress-test va ssenariy prognozi orqali hal qilinadi. M. Čihák stress-testni «agar … bo‘lsa, nima bo‘ladi» degan savolga javob beruvchi tahlil sifatida ta’riflab, uning asosiy bosqichlari sifatida ssenariyni tanlash, makroiqtisodiy omillardan bank ko‘rsatkichlariga o‘tish modelini qurish va natijalarni talqin qilishni ajratadi</w:t>
      </w:r>
      <w:r>
        <w:rPr>
          <w:rStyle w:val="FootnoteReference"/>
        </w:rPr>
        <w:footnoteReference w:id="20"/>
      </w:r>
      <w:r>
        <w:rPr>
          <w:rFonts w:ascii="Times New Roman" w:hAnsi="Times New Roman" w:cs="Times New Roman" w:eastAsia="Times New Roman"/>
          <w:sz w:val="28"/>
        </w:rPr>
        <w:t xml:space="preserve">. M. Sorge va K. Virolainen esa makro stress-testlarda kredit riskining makroiqtisodiy omillarga sezgirligini baholovchi «satellit» modellardan foydalanishni asosiy yondashuv sifatida ko‘rsatadi</w:t>
      </w:r>
      <w:r>
        <w:rPr>
          <w:rStyle w:val="FootnoteReference"/>
        </w:rPr>
        <w:footnoteReference w:id="21"/>
      </w:r>
      <w:r>
        <w:rPr>
          <w:rFonts w:ascii="Times New Roman" w:hAnsi="Times New Roman" w:cs="Times New Roman" w:eastAsia="Times New Roman"/>
          <w:sz w:val="28"/>
        </w:rPr>
        <w:t xml:space="preserve">. Bazel qo‘mitasining stress-test tamoyillari ham ssenariylar haqiqiy tarixiy shoklarga asoslanishi va model natijalari muntazam tekshirilishi lozimligini talab qiladi</w:t>
      </w:r>
      <w:r>
        <w:rPr>
          <w:rStyle w:val="FootnoteReference"/>
        </w:rPr>
        <w:footnoteReference w:id="22"/>
      </w:r>
      <w:r>
        <w:rPr>
          <w:rFonts w:ascii="Times New Roman" w:hAnsi="Times New Roman" w:cs="Times New Roman" w:eastAsia="Times New Roman"/>
          <w:sz w:val="28"/>
        </w:rPr>
        <w:t xml:space="preserve">. O‘zbekistonda esa bu yo‘nalishdagi ilmiy ishlar alohida ko‘rsatkichlarni prognoz qilish bilan cheklangan: B.T. Berdiyarov likvidlik ko‘rsatkichini ARIMA modeli yordamida prognoz qilgan</w:t>
      </w:r>
      <w:r>
        <w:rPr>
          <w:rStyle w:val="FootnoteReference"/>
        </w:rPr>
        <w:footnoteReference w:id="23"/>
      </w:r>
      <w:r>
        <w:rPr>
          <w:rFonts w:ascii="Times New Roman" w:hAnsi="Times New Roman" w:cs="Times New Roman" w:eastAsia="Times New Roman"/>
          <w:sz w:val="28"/>
        </w:rPr>
        <w:t xml:space="preserve">, integral barqarorlik ko‘rsatkichining ssenariy prognozi esa amalga oshirilmagan.</w:t>
      </w:r>
    </w:p>
    <w:p>
      <w:pPr>
        <w:pStyle w:val="BodyText"/>
        <w:spacing w:line="360" w:lineRule="auto" w:before="0" w:after="0"/>
        <w:ind w:firstLine="709"/>
        <w:jc w:val="both"/>
      </w:pPr>
      <w:r>
        <w:rPr>
          <w:rFonts w:ascii="Times New Roman" w:hAnsi="Times New Roman" w:cs="Times New Roman" w:eastAsia="Times New Roman"/>
          <w:sz w:val="28"/>
        </w:rPr>
        <w:t xml:space="preserve">Ushbu paragrafda 3.1-paragrafda taklif etilgan integral indeksning 2026–2028-yillarga shartli ssenariy prognozi ishlab chiqiladi. Prognoz «aniq bashorat» emas, balki makroiqtisodiy sharoit muayyan tarzda o‘zgargan taqdirda banklar barqarorligi qanday o‘zgarishini ko‘rsatuvchi stress-test xarakteriga ega. Tahlil davri 2021–2025-yillar bo‘lganligi sababli prognozda 2026-yilga oid ma’lumotlar va boshqa tashkilotlarning prognozlari qo‘llanmadi. Ssenariylar faqat O‘zbekiston iqtisodiyotida haqiqatda kuzatilgan holatlar asosida tuzildi (4.2.1-jadval).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4.2.1-jadval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Prognoz ssenariylari: YaIM real o‘sish sur’ati, foizda</w:t>
      </w:r>
      <w:r>
        <w:rPr>
          <w:rStyle w:val="FootnoteReference"/>
        </w:rPr>
        <w:footnoteReference w:id="24"/>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1020"/>
        <w:gridCol w:w="1020"/>
        <w:gridCol w:w="1020"/>
        <w:gridCol w:w="4762"/>
      </w:tblGrid>
      <w:tr>
        <w:trPr>
          <w:tblHeader w:val="true"/>
          <w:cantSplit/>
          <w:tblHeader/>
        </w:trPr>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Ssenariy</w:t>
            </w:r>
          </w:p>
        </w:tc>
        <w:tc>
          <w:tcPr>
            <w:tcW w:type="dxa" w:w="1020"/>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2026-yil</w:t>
            </w:r>
          </w:p>
        </w:tc>
        <w:tc>
          <w:tcPr>
            <w:tcW w:type="dxa" w:w="1020"/>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2027-yil</w:t>
            </w:r>
          </w:p>
        </w:tc>
        <w:tc>
          <w:tcPr>
            <w:tcW w:type="dxa" w:w="1020"/>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2028-yil</w:t>
            </w:r>
          </w:p>
        </w:tc>
        <w:tc>
          <w:tcPr>
            <w:tcW w:type="dxa" w:w="476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Ssenariyning asosi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Asosiy</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6,9</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6,9</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6,9</w:t>
            </w:r>
          </w:p>
        </w:tc>
        <w:tc>
          <w:tcPr>
            <w:tcW w:type="dxa" w:w="4762"/>
          </w:tcPr>
          <w:p>
            <w:pPr>
              <w:pStyle w:val="Compact"/>
              <w:spacing w:line="240" w:lineRule="auto"/>
              <w:ind w:firstLine="0"/>
              <w:jc w:val="center"/>
            </w:pPr>
            <w:r>
              <w:rPr>
                <w:rFonts w:ascii="Times New Roman" w:hAnsi="Times New Roman" w:cs="Times New Roman" w:eastAsia="Times New Roman"/>
                <w:sz w:val="22"/>
              </w:rPr>
              <w:t xml:space="preserve">2021–2025-yillardagi o‘rtacha o‘sish sur’ati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Ijobiy</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8,0</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8,0</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8,0</w:t>
            </w:r>
          </w:p>
        </w:tc>
        <w:tc>
          <w:tcPr>
            <w:tcW w:type="dxa" w:w="4762"/>
          </w:tcPr>
          <w:p>
            <w:pPr>
              <w:pStyle w:val="Compact"/>
              <w:spacing w:line="240" w:lineRule="auto"/>
              <w:ind w:firstLine="0"/>
              <w:jc w:val="center"/>
            </w:pPr>
            <w:r>
              <w:rPr>
                <w:rFonts w:ascii="Times New Roman" w:hAnsi="Times New Roman" w:cs="Times New Roman" w:eastAsia="Times New Roman"/>
                <w:sz w:val="22"/>
              </w:rPr>
              <w:t xml:space="preserve">Tahlil davridagi eng yuqori o‘sish sur’ati (2021-yil)</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Salbiy</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4,5</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5,5</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6,9</w:t>
            </w:r>
          </w:p>
        </w:tc>
        <w:tc>
          <w:tcPr>
            <w:tcW w:type="dxa" w:w="4762"/>
          </w:tcPr>
          <w:p>
            <w:pPr>
              <w:pStyle w:val="Compact"/>
              <w:spacing w:line="240" w:lineRule="auto"/>
              <w:ind w:firstLine="0"/>
              <w:jc w:val="center"/>
            </w:pPr>
            <w:r>
              <w:rPr>
                <w:rFonts w:ascii="Times New Roman" w:hAnsi="Times New Roman" w:cs="Times New Roman" w:eastAsia="Times New Roman"/>
                <w:sz w:val="22"/>
              </w:rPr>
              <w:t xml:space="preserve">2022-yil II choragidagi pasayish (8,0 foizdan 4,5 foizgacha) va keyingi tiklanish</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Keskin salbiy</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1,6</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5,5</w:t>
            </w:r>
          </w:p>
        </w:tc>
        <w:tc>
          <w:tcPr>
            <w:tcW w:type="dxa" w:w="1020"/>
          </w:tcPr>
          <w:p>
            <w:pPr>
              <w:pStyle w:val="Compact"/>
              <w:spacing w:line="240" w:lineRule="auto"/>
              <w:ind w:firstLine="0"/>
              <w:jc w:val="center"/>
            </w:pPr>
            <w:r>
              <w:rPr>
                <w:rFonts w:ascii="Times New Roman" w:hAnsi="Times New Roman" w:cs="Times New Roman" w:eastAsia="Times New Roman"/>
                <w:sz w:val="22"/>
              </w:rPr>
              <w:t xml:space="preserve">6,9</w:t>
            </w:r>
          </w:p>
        </w:tc>
        <w:tc>
          <w:tcPr>
            <w:tcW w:type="dxa" w:w="4762"/>
          </w:tcPr>
          <w:p>
            <w:pPr>
              <w:pStyle w:val="Compact"/>
              <w:spacing w:line="240" w:lineRule="auto"/>
              <w:ind w:firstLine="0"/>
              <w:jc w:val="center"/>
            </w:pPr>
            <w:r>
              <w:rPr>
                <w:rFonts w:ascii="Times New Roman" w:hAnsi="Times New Roman" w:cs="Times New Roman" w:eastAsia="Times New Roman"/>
                <w:sz w:val="22"/>
              </w:rPr>
              <w:t xml:space="preserve">2020-yildagi pandemiya shoki (yillik o‘sish 1,6 foiz) va keyingi tiklanish</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ssenariylarning har biri O‘zbekiston iqtisodiyotida yaqin yillarda haqiqatda kuzatilgan holatga mos keladi. Salbiy ssenariy 2022-yilda tashqi geosiyosiy shoklar natijasida iqtisodiy o‘sishning sekinlashuvini, keskin salbiy ssenariy esa 2020-yildagi pandemiya davridagi o‘sishning keskin pasayishini takrorlaydi. Bunday yondashuv ssenariylarning ehtimoldan yiroq emasligini ta’minlaydi va ularni subyektiv taxminlar bilan emas, balki milliy iqtisodiyotning o‘z tajribasi bilan asoslaydi. Barcha ssenariylarda boshqa makroiqtisodiy ko‘rsatkichlar, ya’ni asosiy stavka, so‘m kursi va inflyatsiya alohida modellashtirilmadi, chunki 3.3-paragrafda ularning muammoli kreditlarga ta’siri to‘liq tanlanmada statistik ahamiyatsiz ekani aniqlangan.</w:t>
      </w:r>
    </w:p>
    <w:p>
      <w:pPr>
        <w:pStyle w:val="BodyText"/>
        <w:spacing w:line="360" w:lineRule="auto" w:before="0" w:after="0"/>
        <w:ind w:firstLine="709"/>
        <w:jc w:val="both"/>
      </w:pPr>
      <w:r>
        <w:rPr>
          <w:rFonts w:ascii="Times New Roman" w:hAnsi="Times New Roman" w:cs="Times New Roman" w:eastAsia="Times New Roman"/>
          <w:sz w:val="28"/>
        </w:rPr>
        <w:t xml:space="preserve">Prognozning asosini YaIM o‘sishining muammoli kreditlar ulushiga va muammoli kreditlarning bank daromadliligiga ta’sirini baholovchi satellit modellar tashkil etadi. Makroiqtisodiy shokning kredit riskiga ta’siri qanday muddat bilan namoyon bo‘lishini aniqlash uchun bank tizimi darajasidagi choraklik ma’lumotlardan foydalanildi. Bunda modelni baholash uchun 2020-yil ma’lumotlari ham qo‘llandi, chunki aynan shu yil tahlil davriga eng yaqin bo‘lgan haqiqiy iqtisodiy shokni o‘z ichiga oladi; 2020-yil ko‘rsatkichlari tahlil va xulosalarda qo‘llanmaydi. Ma’lumotlarga ko‘ra, 2020-yilda YaIM o‘sish sur’ati yil boshidan 0,0–1,6 foizgacha pasaygan bo‘lsa-da, muammoli kreditlar ulushi 2,1–2,8 foiz darajasida saqlangan, 2021-yilda esa 5,7 foizgacha oshgan</w:t>
      </w:r>
      <w:r>
        <w:rPr>
          <w:rStyle w:val="FootnoteReference"/>
        </w:rPr>
        <w:footnoteReference w:id="25"/>
      </w:r>
      <w:r>
        <w:rPr>
          <w:rFonts w:ascii="Times New Roman" w:hAnsi="Times New Roman" w:cs="Times New Roman" w:eastAsia="Times New Roman"/>
          <w:sz w:val="28"/>
        </w:rPr>
        <w:t xml:space="preserve">. Bu kreditlar bo‘yicha to‘lovlarni kechiktirish choralari tugaganidan keyin yashirin muammolar yuzaga chiqqanini ko‘rsatadi. YaIM o‘sishining turli laglari bilan baholangan modellar ichida eng yaxshi natijani to‘rt chorak lagli model bergan: uning Akaike axborot mezoni eng past (33,3), YaIM koeffitsiyenti esa 1 foiz darajada ahamiyatli. Lagsiz modelda esa YaIM koeffitsiyenti ahamiyatsiz va hatto musbat. Tanlangan model va bank darajasidagi satellit modellar natijalari 4.2.2-jadvalda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4.2.2-jadval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Prognozda qo‘llangan satellit modellar natijalari</w:t>
      </w:r>
      <w:r>
        <w:rPr>
          <w:rStyle w:val="FootnoteReference"/>
        </w:rPr>
        <w:footnoteReference w:id="26"/>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381"/>
        <w:gridCol w:w="2381"/>
        <w:gridCol w:w="2268"/>
      </w:tblGrid>
      <w:tr>
        <w:trPr>
          <w:tblHeader w:val="true"/>
          <w:cantSplit/>
          <w:tblHeader/>
        </w:trPr>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238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1-model: tizim, muammoli kreditlar ulushi</w:t>
            </w:r>
          </w:p>
        </w:tc>
        <w:tc>
          <w:tcPr>
            <w:tcW w:type="dxa" w:w="238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2-model: bank paneli, muammoli kreditlar ulushi</w:t>
            </w:r>
          </w:p>
        </w:tc>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3-model: bank paneli, ROA</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Muammoli kreditlar ulushi (t−1)</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0,494*** (0,134)</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0,684*** (0,100)</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YaIM o‘sishi (t−4)</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−0,151*** (0,059)</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YaIM o‘sishi (t)</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−0,153** (0,060)</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Muammoli kreditlar ulushi (t)</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−0,201*** (0,076)</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Konstanta</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2,983*** (0,874)</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2,049*** (0,536)</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3,353*** (0,266)</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Bank effektlari</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ha</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ha</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Davr</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2021-y. I chorak – 2025-y. IV chorak (YaIM laglari 2020-yildan)</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2021-y. IV chorak – 2025-y. IV chorak</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2021-y. IV chorak – 2025-y. IV chorak</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20</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420</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394</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R²</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0,59</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0,51 (bank ichidagi)</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0,03 (bank ichidagi)</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YaIM o‘sishining 1 foiz punktga barqaror pasayishining uzoq muddatli ta’siri, foiz punkt</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0,30</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0,48</w:t>
            </w:r>
          </w:p>
        </w:tc>
        <w:tc>
          <w:tcPr>
            <w:tcW w:type="dxa" w:w="2268"/>
          </w:tcPr>
          <w:p>
            <w:pPr>
              <w:pStyle w:val="Compact"/>
              <w:spacing w:line="240" w:lineRule="auto"/>
              <w:ind w:firstLine="0"/>
              <w:jc w:val="center"/>
            </w:pPr>
            <w:r>
              <w:rPr>
                <w:rFonts w:ascii="Times New Roman" w:hAnsi="Times New Roman" w:cs="Times New Roman" w:eastAsia="Times New Roman"/>
                <w:sz w:val="22"/>
              </w:rPr>
              <w:t xml:space="preserve">–</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standart xatolar (1-modelda – Newey–West, 2- va 3-modellarda – bank bo‘yicha klasterlangan); ***, **, * – koeffitsiyent mos ravishda 1, 5 va 10 foiz darajada statistik ahamiyatli.</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ikki mustaqil yondashuv YaIM o‘sishining kredit riskiga ta’siri bo‘yicha deyarli bir xil natija bergan: tizim darajasidagi modelda YaIM o‘sish sur’atining 1 foiz punktga pasayishi muammoli kreditlar ulushini to‘rt chorakdan keyin 0,151 foiz punktga, 25 ta bank paneli asosidagi modelda esa 0,153 foiz punktga oshiradi. Bu koeffitsiyentning ishonchliligini tasdiqlaydi va 3.3-paragrafda qisqa tanlanma asosida olingan bahoni aniqlashtiradi. Muammoli kreditlar ulushi sezilarli inersiyaga ega (0,49–0,68), shu sababli shokning ta’siri bir necha chorak davomida saqlanadi: YaIM o‘sishining 1 foiz punktga barqaror pasayishi uzoq muddatda muammoli kreditlar ulushini 0,30–0,48 foiz punktga oshiradi. Uchinchi model kredit riskining daromadlilikka ta’sirini baholaydi: muammoli kreditlar ulushining 1 foiz punktga oshishi zaxira ajratmalari orqali bankning aktivlar rentabelligini 0,20 foiz punktga pasaytiradi. Shu bilan birga, O‘zbekiston bank tizimida kredit riskining makroiqtisodiy shoklarga sezgirligi D. Louzis va hammualliflar hamda R. Beck va hammualliflar tomonidan boshqa mamlakatlar uchun aniqlangan sezgirlikdan past</w:t>
      </w:r>
      <w:r>
        <w:rPr>
          <w:rStyle w:val="FootnoteReference"/>
        </w:rPr>
        <w:footnoteReference w:id="27"/>
      </w:r>
      <w:r>
        <w:rPr>
          <w:rStyle w:val="FootnoteReference"/>
        </w:rPr>
        <w:footnoteReference w:id="28"/>
      </w:r>
      <w:r>
        <w:rPr>
          <w:rFonts w:ascii="Times New Roman" w:hAnsi="Times New Roman" w:cs="Times New Roman" w:eastAsia="Times New Roman"/>
          <w:sz w:val="28"/>
        </w:rPr>
        <w:t xml:space="preserve">. Buning sababi 2.3-paragrafda aniqlangan holat bo‘lib, milliy tasnif qayta tuzilgan va muddati uzaytirilgan kreditlarni muammoli deb tan olmaydi, natijada kredit riskining bir qismi milliy ko‘rsatkichda aks etmaydi.</w:t>
      </w:r>
    </w:p>
    <w:p>
      <w:pPr>
        <w:pStyle w:val="BodyText"/>
        <w:spacing w:line="360" w:lineRule="auto" w:before="0" w:after="0"/>
        <w:ind w:firstLine="709"/>
        <w:jc w:val="both"/>
      </w:pPr>
      <w:r>
        <w:rPr>
          <w:rFonts w:ascii="Times New Roman" w:hAnsi="Times New Roman" w:cs="Times New Roman" w:eastAsia="Times New Roman"/>
          <w:sz w:val="28"/>
        </w:rPr>
        <w:t xml:space="preserve">Prognoz quyidagi tartibda amalga oshirildi. Birinchidan, har bir ssenariy uchun tizim darajasidagi model asosida muammoli kreditlar ulushining 2025-yil oxiridagi darajadan og‘ishi hisoblandi. Ikkinchidan, bu og‘ish har bir bankka uning 2025-yil oxiridagi muammoli kreditlar ulushiga proporsional ravishda taqsimlandi, ya’ni kredit portfeli sifati past banklarda muammoli kreditlar ko‘proq oshadi. Uchinchidan, bank darajasidagi uchinchi model asosida aktivlar rentabelligi va kapital rentabelligining o‘zgarishi, muammoli kreditlarning zaxiralardan ortiq qismi esa bankning zaxiralar bilan qoplanish darajasini hisobga olgan holda hisoblandi. To‘rtinchidan, qolgan ko‘rsatkichlar 2025-yil oxiridagi darajada saqlangan holda har bir bank uchun panel integral indeksi va 4.1-paragrafdagi erta ogohlantirish zonasi aniqlandi. Prognoz qilishdan oldin usulning ishonchliligi orqaga tekshiruv orqali sinovdan o‘tkazildi: model ketma-ket 2022, 2023 va 2024-yillar oxirigacha bo‘lgan ma’lumotlar asosida baholanib, keyingi yildagi muammoli kreditlar ulushi haqiqiy YaIM o‘sishi bilan prognoz qilindi (4.2.3-jadval).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4.2.3-jadval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Bank tizimida muammoli kreditlar ulushini prognoz qilish usulining orqaga tekshiruvi</w:t>
      </w:r>
      <w:r>
        <w:rPr>
          <w:rStyle w:val="FootnoteReference"/>
        </w:rPr>
        <w:footnoteReference w:id="2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020"/>
        <w:gridCol w:w="2041"/>
        <w:gridCol w:w="2041"/>
        <w:gridCol w:w="1360"/>
        <w:gridCol w:w="1360"/>
        <w:gridCol w:w="1474"/>
      </w:tblGrid>
      <w:tr>
        <w:trPr>
          <w:tblHeader w:val="true"/>
          <w:cantSplit/>
          <w:tblHeader/>
        </w:trPr>
        <w:tc>
          <w:tcPr>
            <w:tcW w:type="dxa" w:w="1020"/>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Prognoz qilingan yil</w:t>
            </w:r>
          </w:p>
        </w:tc>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Haqiqiy qiymat (I–IV chorak), %</w:t>
            </w:r>
          </w:p>
        </w:tc>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Taklif etilgan usul bo‘yicha prognoz, %</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O‘rtacha xato: taklif etilgan usul</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O‘rtacha xato: o‘zgarishsiz holat</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O‘rtacha xato: o‘rtachaga qaytuvchi model</w:t>
            </w:r>
          </w:p>
        </w:tc>
      </w:tr>
      <w:tr>
        <w:trPr>
          <w:cantSplit/>
        </w:trPr>
        <w:tc>
          <w:tcPr>
            <w:tcW w:type="dxa" w:w="1020"/>
          </w:tcPr>
          <w:p>
            <w:pPr>
              <w:pStyle w:val="Compact"/>
              <w:spacing w:line="240" w:lineRule="auto"/>
              <w:ind w:firstLine="0"/>
              <w:jc w:val="left"/>
            </w:pPr>
            <w:r>
              <w:rPr>
                <w:rFonts w:ascii="Times New Roman" w:hAnsi="Times New Roman" w:cs="Times New Roman" w:eastAsia="Times New Roman"/>
                <w:sz w:val="22"/>
              </w:rPr>
              <w:t xml:space="preserve">2023</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3,51; 3,38; 3,73; 3,53</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3,71; 3,84; 3,77; 3,65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0,21</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0,12</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1,08</w:t>
            </w:r>
          </w:p>
        </w:tc>
      </w:tr>
      <w:tr>
        <w:trPr>
          <w:cantSplit/>
        </w:trPr>
        <w:tc>
          <w:tcPr>
            <w:tcW w:type="dxa" w:w="1020"/>
          </w:tcPr>
          <w:p>
            <w:pPr>
              <w:pStyle w:val="Compact"/>
              <w:spacing w:line="240" w:lineRule="auto"/>
              <w:ind w:firstLine="0"/>
              <w:jc w:val="left"/>
            </w:pPr>
            <w:r>
              <w:rPr>
                <w:rFonts w:ascii="Times New Roman" w:hAnsi="Times New Roman" w:cs="Times New Roman" w:eastAsia="Times New Roman"/>
                <w:sz w:val="22"/>
              </w:rPr>
              <w:t xml:space="preserve">2024</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4,52; 4,05; 4,18; 3,97</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3,50; 3,40; 3,43; 3,48</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0,73</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0,65</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0,33</w:t>
            </w:r>
          </w:p>
        </w:tc>
      </w:tr>
      <w:tr>
        <w:trPr>
          <w:cantSplit/>
        </w:trPr>
        <w:tc>
          <w:tcPr>
            <w:tcW w:type="dxa" w:w="1020"/>
          </w:tcPr>
          <w:p>
            <w:pPr>
              <w:pStyle w:val="Compact"/>
              <w:spacing w:line="240" w:lineRule="auto"/>
              <w:ind w:firstLine="0"/>
              <w:jc w:val="left"/>
            </w:pPr>
            <w:r>
              <w:rPr>
                <w:rFonts w:ascii="Times New Roman" w:hAnsi="Times New Roman" w:cs="Times New Roman" w:eastAsia="Times New Roman"/>
                <w:sz w:val="22"/>
              </w:rPr>
              <w:t xml:space="preserve">2025</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4,26; 3,80; 3,65; 2,99</w:t>
            </w:r>
          </w:p>
        </w:tc>
        <w:tc>
          <w:tcPr>
            <w:tcW w:type="dxa" w:w="2041"/>
          </w:tcPr>
          <w:p>
            <w:pPr>
              <w:pStyle w:val="Compact"/>
              <w:spacing w:line="240" w:lineRule="auto"/>
              <w:ind w:firstLine="0"/>
              <w:jc w:val="center"/>
            </w:pPr>
            <w:r>
              <w:rPr>
                <w:rFonts w:ascii="Times New Roman" w:hAnsi="Times New Roman" w:cs="Times New Roman" w:eastAsia="Times New Roman"/>
                <w:sz w:val="22"/>
              </w:rPr>
              <w:t xml:space="preserve">3,99; 3,98; 3,99; 3,98</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0,44</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0,44</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0,48</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o‘rtacha xato – prognoz va haqiqiy qiymat o‘rtasidagi o‘rtacha mutlaq farq, foiz punkt; «o‘zgarishsiz holat» – muammoli kreditlar ulushi oldingi yil oxiridagi darajada saqlanadi deb faraz qilingan prognoz; «o‘rtachaga qaytuvchi model» – 1-modelning o‘zi bo‘yicha prognoz.</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taklif etilgan usulning o‘rtacha xatosi 0,21–0,73 foiz punktni tashkil etib, an’anaviy o‘rtachaga qaytuvchi modelga nisbatan ancha barqaror: 2023-yil uchun uning xatosi 0,21, o‘rtachaga qaytuvchi modelniki esa 1,08 foiz punktga teng. Biroq taklif etilgan usul o‘zgarishsiz holat prognozidan sezilarli ustunlikka ega emas. Bank darajasida ham 2025-yil uchun prognoz qilingan integral indeks bo‘yicha erta ogohlantirish zonasi 25 ta bankdan 19 tasida to‘g‘ri aniqlangan, indeksning o‘rtacha xatosi esa 0,21 ballni tashkil etgan. Bu natija 2021–2025-yillarda muammoli kreditlar darajasi asosan makroiqtisodiy omillar bilan emas, balki hisobdan chiqarish, qayta tuzish va qayta kapitallashtirish kabi bank darajasidagi qarorlar bilan belgilanganini ko‘rsatadi. Demak, ishlab chiqilgan model muammoli kreditlarning aniq darajasini bashorat qilish uchun emas, balki makroiqtisodiy shokning ta’sirini baholash, ya’ni stress-test uchun mo‘ljallangan, Bazel qo‘mitasining tamoyillari ham stress-test natijalarini aynan shu ma’noda talqin qilishni tavsiya etadi</w:t>
      </w:r>
      <w:r>
        <w:rPr>
          <w:rStyle w:val="FootnoteReference"/>
        </w:rPr>
        <w:footnoteReference w:id="30"/>
      </w:r>
      <w:r>
        <w:rPr>
          <w:rFonts w:ascii="Times New Roman" w:hAnsi="Times New Roman" w:cs="Times New Roman" w:eastAsia="Times New Roman"/>
          <w:sz w:val="28"/>
        </w:rPr>
        <w:t xml:space="preserve">. Bank tizimida muammoli kreditlar ulushining ssenariylar bo‘yicha prognozi 4.2.1-rasmda ko‘rsatilgan.</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1" name="4.2.1-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4.2.1-rasm. Bank tizimida muammoli kreditlar ulushining haqiqiy dinamikasi (2021–2025-yillar) va ssenariylar bo‘yicha prognozi (2026–2028-yillar), %</w:t>
      </w:r>
      <w:r>
        <w:rPr>
          <w:rStyle w:val="FootnoteReference"/>
        </w:rPr>
        <w:footnoteReference w:id="31"/>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makroiqtisodiy shok muammoli kreditlar ulushida darhol emas, taxminan bir yildan keyin namoyon bo‘ladi. Shu sababli 2026-yilda barcha ssenariylarda muammoli kreditlar ulushi 3,0–3,1 foiz atrofida saqlanadi, ssenariylar o‘rtasidagi farq esa 2027-yilda eng katta bo‘ladi. Asosiy ssenariyda muammoli kreditlar ulushi 2025-yil oxiridagi 3,0 foizdan 2027-yil oxirida 3,2 foizgacha biroz oshadi, chunki asosiy ssenariydagi o‘sish sur’ati 2025-yildagi 7,7 foizdan past. Ijobiy ssenariyda u 2,9 foizgacha kamayadi. Salbiy ssenariyda muammoli kreditlar ulushi 2027-yil oxirida 3,9 foizga, keskin salbiy ssenariyda esa 4,7 foizga yetadi, bu 2023–2024-yillardagi darajaga to‘g‘ri keladi. 2028-yilda iqtisodiy o‘sish tiklanishi bilan muammoli kreditlar ulushi 3,7 foizgacha pasaya boshlaydi. Bu natijalar asosida 25 ta bank uchun integral indeks va erta ogohlantirish zonalari prognoz qilindi (4.2.4-jadval).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4.2.4-jadval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Tanlangan 25 ta bank bo‘yicha moliyaviy barqarorlik ko‘rsatkichlarining ssenariylar bo‘yicha prognozi</w:t>
      </w:r>
      <w:r>
        <w:rPr>
          <w:rStyle w:val="FootnoteReference"/>
        </w:rPr>
        <w:footnoteReference w:id="32"/>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154"/>
        <w:gridCol w:w="793"/>
        <w:gridCol w:w="793"/>
        <w:gridCol w:w="793"/>
        <w:gridCol w:w="793"/>
        <w:gridCol w:w="793"/>
        <w:gridCol w:w="793"/>
        <w:gridCol w:w="793"/>
        <w:gridCol w:w="793"/>
        <w:gridCol w:w="793"/>
      </w:tblGrid>
      <w:tr>
        <w:trPr>
          <w:tblHeader w:val="true"/>
          <w:cantSplit/>
          <w:tblHeader/>
        </w:trPr>
        <w:tc>
          <w:tcPr>
            <w:tcW w:type="dxa" w:w="215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Ko‘rsatkich</w:t>
            </w:r>
          </w:p>
        </w:tc>
        <w:tc>
          <w:tcPr>
            <w:tcW w:type="dxa" w:w="7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2025 (haqiqiy)</w:t>
            </w:r>
          </w:p>
        </w:tc>
        <w:tc>
          <w:tcPr>
            <w:tcW w:type="dxa" w:w="7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Asosiy 2027</w:t>
            </w:r>
          </w:p>
        </w:tc>
        <w:tc>
          <w:tcPr>
            <w:tcW w:type="dxa" w:w="7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Asosiy 2028</w:t>
            </w:r>
          </w:p>
        </w:tc>
        <w:tc>
          <w:tcPr>
            <w:tcW w:type="dxa" w:w="7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Ijobiy 2027</w:t>
            </w:r>
          </w:p>
        </w:tc>
        <w:tc>
          <w:tcPr>
            <w:tcW w:type="dxa" w:w="7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Ijobiy 2028</w:t>
            </w:r>
          </w:p>
        </w:tc>
        <w:tc>
          <w:tcPr>
            <w:tcW w:type="dxa" w:w="7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Salbiy 2027</w:t>
            </w:r>
          </w:p>
        </w:tc>
        <w:tc>
          <w:tcPr>
            <w:tcW w:type="dxa" w:w="7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Salbiy 2028</w:t>
            </w:r>
          </w:p>
        </w:tc>
        <w:tc>
          <w:tcPr>
            <w:tcW w:type="dxa" w:w="7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Keskin salbiy 2027</w:t>
            </w:r>
          </w:p>
        </w:tc>
        <w:tc>
          <w:tcPr>
            <w:tcW w:type="dxa" w:w="794"/>
            <w:shd w:val="clear" w:color="auto" w:fill="DEEBF7"/>
          </w:tcPr>
          <w:p>
            <w:pPr>
              <w:pStyle w:val="Compact"/>
              <w:spacing w:line="240" w:lineRule="auto"/>
              <w:ind w:firstLine="0"/>
              <w:jc w:val="center"/>
            </w:pPr>
            <w:r>
              <w:rPr>
                <w:rFonts w:ascii="Times New Roman" w:hAnsi="Times New Roman" w:cs="Times New Roman" w:eastAsia="Times New Roman"/>
                <w:b/>
                <w:sz w:val="20"/>
              </w:rPr>
              <w:t xml:space="preserve">Keskin salbiy 2028</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0"/>
              </w:rPr>
              <w:t xml:space="preserve">Muammoli kreditlar ulushi, %</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2,94</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3,16</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3,17</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2,86</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2,85</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3,82</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3,60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4,63</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3,65</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0"/>
              </w:rPr>
              <w:t xml:space="preserve">ROA, %</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1,69</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1,64</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1,64</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1,71</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1,71</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1,51</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1,56</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1,35</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1,55</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0"/>
              </w:rPr>
              <w:t xml:space="preserve">MBII medianasi, ball</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3,41</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3,39</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3,39</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3,41</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3,42</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3,31</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3,34</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3,18</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3,34</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0"/>
              </w:rPr>
              <w:t xml:space="preserve">Banklar soni: yashil / sariq / qizil zona</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16 / 9 / 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15 / 10 / 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15 / 10 / 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17 / 8 / 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18 / 7 / 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14 / 9 / 2</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15 / 9 / 1</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12 / 9 / 4</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15 / 8 / 2</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0"/>
              </w:rPr>
              <w:t xml:space="preserve">Qizil zonadagi banklar aktivlari ulushi, %</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0,0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0,0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0,0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0,0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0,0</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5,9</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2,4</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24,3</w:t>
            </w:r>
          </w:p>
        </w:tc>
        <w:tc>
          <w:tcPr>
            <w:tcW w:type="dxa" w:w="794"/>
          </w:tcPr>
          <w:p>
            <w:pPr>
              <w:pStyle w:val="Compact"/>
              <w:spacing w:line="240" w:lineRule="auto"/>
              <w:ind w:firstLine="0"/>
              <w:jc w:val="center"/>
            </w:pPr>
            <w:r>
              <w:rPr>
                <w:rFonts w:ascii="Times New Roman" w:hAnsi="Times New Roman" w:cs="Times New Roman" w:eastAsia="Times New Roman"/>
                <w:sz w:val="20"/>
              </w:rPr>
              <w:t xml:space="preserve">5,9</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muammoli kreditlar ulushi va ROA aktivlar bo‘yicha tortilgan o‘rtacha; erta ogohlantirish zonalari 4.1-paragrafdagi chegaralar bo‘yicha (yashil – 3,25 va undan yuqori, sariq – 2,75–3,25, qizil – 2,75 dan past).</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asosiy va ijobiy ssenariylarda bank tizimining moliyaviy barqarorligi deyarli o‘zgarmaydi: integral indeks medianasi 3,39–3,42 ball darajasida saqlanadi, birorta ham bank qizil zonaga tushmaydi. Salbiy ssenariyda 2027-yilda ikki bank qizil zonaga tushib, ular tizim aktivlarining 5,9 foizini tashkil etadi. Keskin salbiy ssenariyda esa vaziyat sezilarli yomonlashadi: aktivlar rentabelligi 1,69 foizdan 1,35 foizgacha pasayadi, integral indeks medianasi 3,18 ballgacha tushadi, qizil zonadagi banklar soni to‘rttaga yetib, ularning tizim aktivlaridagi ulushi 24,3 foizni tashkil etadi, sariq va qizil zonadagi banklar ulushi esa 45,9 foizga yetadi. Eng muhim natija shundaki, ikkala salbiy ssenariyda ham qizil zonaga faqat davlat banklari tushadi: keskin salbiy ssenariyda bular «Agrobank», «Asaka bank», «Mikrokreditbank» va «Turonbank» ATBlaridir. Davlat banklarida integral indeks medianasi keskin salbiy ssenariyda 3,15 dan 2,81 ballgacha, ya’ni sariq zonaning quyi chegarasigacha pasayadi, xususiy banklarda esa 3,61 dan 3,50 ballgacha, ya’ni yashil zonada qoladi. Buning sababi 3.3-paragrafda aniqlangan omillar bilan izohlanadi: davlat banklarida daromadlilik past (aktivlar bo‘yicha tortilgan ROA 1,0 foiz), shu sababli muammoli kreditlarning ozgina oshishi ham ularning daromadini deyarli to‘liq yo‘qotadi, xususiy banklarda esa yuqori foiz marjasi zarar uchun bufer vazifasini bajaradi.</w:t>
      </w:r>
    </w:p>
    <w:p>
      <w:pPr>
        <w:pStyle w:val="BodyText"/>
        <w:spacing w:line="360" w:lineRule="auto" w:before="0" w:after="0"/>
        <w:ind w:firstLine="709"/>
        <w:jc w:val="both"/>
      </w:pPr>
      <w:r>
        <w:rPr>
          <w:rFonts w:ascii="Times New Roman" w:hAnsi="Times New Roman" w:cs="Times New Roman" w:eastAsia="Times New Roman"/>
          <w:sz w:val="28"/>
        </w:rPr>
        <w:t xml:space="preserve">Ssenariylar bo‘yicha banklarning erta ogohlantirish zonalari o‘rtasida taqsimlanishi 4.2.2-rasmda ko‘rsatilgan.</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4.2.2-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4.2.2-rasm. Tanlangan 25 ta bankning ssenariylar bo‘yicha 2027-yil oxirida erta ogohlantirish zonalari bo‘yicha taqsimlanishi, banklar soni</w:t>
      </w:r>
      <w:r>
        <w:rPr>
          <w:rStyle w:val="FootnoteReference"/>
        </w:rPr>
        <w:footnoteReference w:id="33"/>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2025-yil oxirida 25 ta bankdan 16 tasi yashil, 9 tasi sariq zonada bo‘lib, qizil zonada birorta ham bank bo‘lmagan. Ijobiy ssenariyda yashil zonadagi banklar soni 17 taga, 2028-yilda esa 18 taga oshadi. Salbiy ssenariyda yashil zonadagi banklar soni 14 taga kamayib, ikki bank qizil zonaga o‘tadi, keskin salbiy ssenariyda esa yashil zonada 12 ta bank qoladi, qizil zonaga to‘rtta bank tushadi. Shu bilan birga, sariq va qizil zonadagi banklarning tizim aktivlaridagi ulushi 2025-yildagi 33,8 foizdan keskin salbiy ssenariyda 45,9 foizgacha oshadi, ya’ni bank tizimi aktivlarining deyarli yarmi kuchaytirilgan nazorat talab qiladigan banklarga to‘g‘ri keladi. Ssenariylarning davlat banklari va boshqa banklarga ta’siri 4.2.5-jadvalda solishtirilgan.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4.2.5-jadval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Davlat banklari va boshqa banklar moliyaviy barqarorlik ko‘rsatkichlarining ssenariylar bo‘yicha 2027-yilga prognozi</w:t>
      </w:r>
      <w:r>
        <w:rPr>
          <w:rStyle w:val="FootnoteReference"/>
        </w:rPr>
        <w:footnoteReference w:id="34"/>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154"/>
        <w:gridCol w:w="1474"/>
        <w:gridCol w:w="1134"/>
        <w:gridCol w:w="1134"/>
        <w:gridCol w:w="1134"/>
        <w:gridCol w:w="1134"/>
        <w:gridCol w:w="1134"/>
      </w:tblGrid>
      <w:tr>
        <w:trPr>
          <w:tblHeader w:val="true"/>
          <w:cantSplit/>
          <w:tblHeader/>
        </w:trPr>
        <w:tc>
          <w:tcPr>
            <w:tcW w:type="dxa" w:w="215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Guruh</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 (haqiqiy)</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Asosiy</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Ijobiy</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Salbiy</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Keskin salbiy</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Davlat banklari</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3,17</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3,09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5,00</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Boshqa banklar</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2,49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2,69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2,43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3,25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3,93</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Davlat banklari</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0,99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0,94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0,80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0,62</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Boshqa banklar</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3,02</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2,99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3,04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2,87</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2,74</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2"/>
              </w:rPr>
              <w:t xml:space="preserve">MBII medianasi, ball</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Davlat banklari</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3,15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3,09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3,17</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2,96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2,81</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2"/>
              </w:rPr>
              <w:t xml:space="preserve">MBII medianasi, ball</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Boshqa banklar</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3,61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3,60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3,62</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3,54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3,50</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2"/>
              </w:rPr>
              <w:t xml:space="preserve">Qizil zonadagi banklar soni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Davlat banklari</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w:t>
            </w:r>
          </w:p>
        </w:tc>
      </w:tr>
      <w:tr>
        <w:trPr>
          <w:cantSplit/>
        </w:trPr>
        <w:tc>
          <w:tcPr>
            <w:tcW w:type="dxa" w:w="2154"/>
          </w:tcPr>
          <w:p>
            <w:pPr>
              <w:pStyle w:val="Compact"/>
              <w:spacing w:line="240" w:lineRule="auto"/>
              <w:ind w:firstLine="0"/>
              <w:jc w:val="left"/>
            </w:pPr>
            <w:r>
              <w:rPr>
                <w:rFonts w:ascii="Times New Roman" w:hAnsi="Times New Roman" w:cs="Times New Roman" w:eastAsia="Times New Roman"/>
                <w:sz w:val="22"/>
              </w:rPr>
              <w:t xml:space="preserve">Qizil zonadagi banklar soni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Boshqa banklar</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muammoli kreditlar ulushi va ROA aktivlar bo‘yicha tortilgan o‘rtacha.</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makroiqtisodiy shok davlat banklari va boshqa banklarga turlicha ta’sir ko‘rsatadi. Keskin salbiy ssenariyda davlat banklarida muammoli kreditlar ulushi 3,2 foizdan 5,0 foizgacha oshib, aktivlar rentabelligi 1,0 foizdan 0,6 foizgacha pasayadi, boshqa banklarda esa muammoli kreditlar ulushi 2,5 foizdan 3,9 foizgacha oshgani holda aktivlar rentabelligi 3,0 foizdan 2,7 foizgacha pasayadi va yuqori darajada saqlanadi. Natijada qizil zonaga tushgan banklarning barchasi davlat banklari hisoblanadi.</w:t>
      </w:r>
    </w:p>
    <w:p>
      <w:pPr>
        <w:pStyle w:val="BodyText"/>
        <w:spacing w:line="360" w:lineRule="auto" w:before="0" w:after="0"/>
        <w:ind w:firstLine="709"/>
        <w:jc w:val="both"/>
      </w:pPr>
      <w:r>
        <w:rPr>
          <w:rFonts w:ascii="Times New Roman" w:hAnsi="Times New Roman" w:cs="Times New Roman" w:eastAsia="Times New Roman"/>
          <w:sz w:val="28"/>
        </w:rPr>
        <w:t xml:space="preserve">Milliy hisobot asosidagi prognoz kredit riskini kamsitib ko‘rsatishini hisobga olgan holda, tadqiqotning asosiy obyektlari bo‘lgan ikki bank uchun prognoz milliy va MHXS hisobotlari asosida alohida amalga oshirildi. MHXS varianti uchun muammoli kreditlar ulushining o‘zgarishi 2.3-paragrafda taklif etilgan yashirin kredit riski koeffitsiyentiga ko‘paytirildi: bu koeffitsiyent 2025-yilda «O‘zsanoatqurilishbank» ATB uchun 2,96 ni, «Mikrokreditbank» ATB uchun 2,80 ni tashkil etgan (4.2.6-jadval).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4.2.6-jadval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va «Mikrokreditbank» ATB integral indeksining milliy va MHXS hisobotlari asosidagi prognozi</w:t>
      </w:r>
      <w:r>
        <w:rPr>
          <w:rStyle w:val="FootnoteReference"/>
        </w:rPr>
        <w:footnoteReference w:id="35"/>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474"/>
        <w:gridCol w:w="1474"/>
        <w:gridCol w:w="1474"/>
        <w:gridCol w:w="1417"/>
        <w:gridCol w:w="1417"/>
      </w:tblGrid>
      <w:tr>
        <w:trPr>
          <w:tblHeader w:val="true"/>
          <w:cantSplit/>
          <w:tblHeader/>
        </w:trPr>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Bank va hisobot</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 (haqiqiy)</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Asosiy 2027</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Ijobiy 2027</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Salbiy 2027</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Keskin salbiy 2027</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«O‘zsanoatqurilishbank» ATB, milliy hisobot</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3,61 (yashil; 2,5 %)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3,61 (yashil; 2,7 %)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3,62 (yashil; 2,5 %)</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3,57 (yashil; 3,3 %)</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3,49 (yashil; 4,0 %)</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«O‘zsanoatqurilishbank» ATB, MHXS hisoboti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2,83 (sariq; 7,5 %)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2,80 (sariq; 8,1 %)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2,83 (sariq; 7,3 %)</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2,71 (qizil; 9,7 %)</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2,61 (qizil; 11,8 %)</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«Mikrokreditbank» ATB, milliy hisobot</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2,90 (sariq; 4,4 %)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2,84 (sariq; 4,8 %)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2,91 (sariq; 4,3 %)</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2,72 (qizil; 5,7 %)</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2,58 (qizil; 7,0 %)</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«Mikrokreditbank» ATB, MHXS hisoboti</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2,47 (qizil; 12,3 %)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2,42 (qizil; 13,3 %)</w:t>
            </w:r>
          </w:p>
        </w:tc>
        <w:tc>
          <w:tcPr>
            <w:tcW w:type="dxa" w:w="1474"/>
          </w:tcPr>
          <w:p>
            <w:pPr>
              <w:pStyle w:val="Compact"/>
              <w:spacing w:line="240" w:lineRule="auto"/>
              <w:ind w:firstLine="0"/>
              <w:jc w:val="center"/>
            </w:pPr>
            <w:r>
              <w:rPr>
                <w:rFonts w:ascii="Times New Roman" w:hAnsi="Times New Roman" w:cs="Times New Roman" w:eastAsia="Times New Roman"/>
                <w:sz w:val="22"/>
              </w:rPr>
              <w:t xml:space="preserve">2,49 (qizil; 12,0 %)</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2,39 (qizil; 16,1 %)</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2,39 (qizil; 19,4 %)</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erta ogohlantirish zonasi va muammoli kreditlar (MHXS bo‘yicha – 3-bosqich kreditlari) ulushi keltirilgan.</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ikki hisobot asosidagi prognozlar bir-biridan tubdan farq qiladi. Milliy hisobot ma’lumotlariga ko‘ra «O‘zsanoatqurilishbank» ATB barcha ssenariylarda, jumladan keskin salbiy ssenariyda ham yashil zonada qoladi (3,49–3,62 ball), uning muammoli kreditlari ulushi esa eng yomon holatda 4,0 foizgacha oshadi. MHXS ma’lumotlariga ko‘ra esa bank asosiy ssenariyda sariq zonada bo‘lib, salbiy ssenariyda 2,71 ballgacha, keskin salbiy ssenariyda esa 2,61 ballgacha pasayib, qizil zonaga tushadi, 3-bosqich kreditlari ulushi 7,5 foizdan 11,8 foizgacha oshadi. «Mikrokreditbank» ATB milliy hisobot bo‘yicha asosiy ssenariyda sariq zonada (2,84 ball), salbiy ssenariylarda qizil zonada (2,58–2,72 ball) bo‘lsa, MHXS bo‘yicha barcha ssenariylarda qizil zonada qoladi, keskin salbiy ssenariyda uning 3-bosqich kreditlari ulushi 19,4 foizga yetadi. Bu farqlar 4.2.3-rasmda yaqqol ko‘rinadi.</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4.2.3-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4.2.3-rasm. «O‘zsanoatqurilishbank» ATB va «Mikrokreditbank» ATB integral indeksining ssenariylar bo‘yicha 2027-yilga prognozi: milliy va MHXS hisobotlari asosida, ball</w:t>
      </w:r>
      <w:r>
        <w:rPr>
          <w:rStyle w:val="FootnoteReference"/>
        </w:rPr>
        <w:footnoteReference w:id="36"/>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MHXS asosidagi indeks barcha ssenariylarda milliy indeksdan past: «O‘zsanoatqurilishbank» ATB da farq 0,78–0,88 ballni tashkil etib, salbiy ssenariylarda kattalashadi, chunki makroiqtisodiy shok ta’sirida yashirin kredit riski kuchayadi. «Mikrokreditbank» ATB da esa farq 0,19–0,43 ballni tashkil etadi va salbiy ssenariylarda qisqaradi, chunki MHXS asosidagi indeksning aktivlar sifati va daromadlilik bloklari 2025-yildayoq eng past ballarga yaqin bo‘lgan. Demak, milliy hisobot ma’lumotlari asosidagi stress-test bankning shokka bardoshliligini sezilarli darajada oshirib ko‘rsatadi: «O‘zsanoatqurilishbank» ATB misolida milliy hisobot bo‘yicha bank keskin salbiy ssenariyda ham barqaror ko‘rinsa, xalqaro standartlar bo‘yicha u kuchaytirilgan nazorat choralarini talab qiluvchi qizil zonaga tushadi. Shu sababli Markaziy bankka banklarning stress-testlarini MHXS 9 bo‘yicha kreditlar bosqichlari asosida o‘tkazish va ularning natijalarini erta ogohlantirish zonalari bilan bog‘lash tavsiya etiladi.</w:t>
      </w:r>
    </w:p>
    <w:p>
      <w:pPr>
        <w:pStyle w:val="BodyText"/>
        <w:spacing w:line="360" w:lineRule="auto" w:before="0" w:after="0"/>
        <w:ind w:firstLine="709"/>
        <w:jc w:val="both"/>
      </w:pPr>
      <w:r>
        <w:rPr>
          <w:rFonts w:ascii="Times New Roman" w:hAnsi="Times New Roman" w:cs="Times New Roman" w:eastAsia="Times New Roman"/>
          <w:sz w:val="28"/>
        </w:rPr>
        <w:t xml:space="preserve">Prognozni talqin qilishda uning cheklovlarini hisobga olish zarur. Birinchidan, prognoz shartli xarakterga ega: u faqat YaIM o‘sishining ta’sirini hisobga oladi, boshqa omillar, jumladan banklarning kredit siyosati, davlat tomonidan qayta kapitallashtirish va muammoli aktivlarni hisobdan chiqarish bo‘yicha qarorlar o‘zgarmagan deb faraz qilinadi. Ikkinchidan, likvidlik va kapital ko‘rsatkichlari 2025-yil darajasida saqlangan, ammo real stress sharoitida ular ham yomonlashishi mumkin, bu esa natijalarni yanada salbiy tomonga o‘zgartiradi. Uchinchidan, tahlil davri faqat bitta to‘liq bo‘lmagan iqtisodiy siklni qamraydi, shu sababli sezgirlik koeffitsiyentlari yangi ma’lumotlar to‘planishi bilan qayta baholanishi lozim.</w:t>
      </w:r>
    </w:p>
    <w:p>
      <w:pPr>
        <w:pStyle w:val="BodyText"/>
        <w:spacing w:line="360" w:lineRule="auto" w:before="0" w:after="0"/>
        <w:ind w:firstLine="709"/>
        <w:jc w:val="both"/>
      </w:pPr>
      <w:r>
        <w:rPr>
          <w:rFonts w:ascii="Times New Roman" w:hAnsi="Times New Roman" w:cs="Times New Roman" w:eastAsia="Times New Roman"/>
          <w:sz w:val="28"/>
        </w:rPr>
        <w:t xml:space="preserve">Shunday qilib, ssenariy prognozi O‘zbekiston bank tizimi asosiy va ijobiy ssenariylarda 2026–2028-yillarda barqaror qolishini, biroq 2020 yoki 2022-yillardagi kabi iqtisodiy shok takrorlangan taqdirda bir yildan keyin davlat banklarining bir qismi qizil zonaga tushishini ko‘rsatdi. Keskin salbiy ssenariyda bunday banklarning tizim aktivlaridagi ulushi 24,3 foizga yetadi. Milliy hisobot ma’lumotlari asosidagi prognoz bu riskni kamsitib ko‘rsatadi, MHXS ma’lumotlari asosida esa tadqiqotning asosiy obyekti bo‘lgan «O‘zsanoatqurilishbank» ATB ham salbiy ssenariylarda qizil zonaga tushadi. Bu natijalar keyingi paragrafda ishlab chiqiladigan takliflar uchun asos bo‘ladi.</w:t>
      </w:r>
    </w:p>
    <w:bookmarkEnd w:id="37"/>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Čihák M. Introduction to Applied Stress Testing: IMF Working Paper WP/07/59. – Washington, DC: International Monetary Fund, 2007.</w:t>
      </w:r>
    </w:p>
  </w:footnote>
  <w:footnote w:id="21">
    <w:p>
      <w:pPr>
        <w:pStyle w:val="FootnoteText"/>
      </w:pPr>
      <w:r>
        <w:rPr>
          <w:rStyle w:val="FootnoteReference"/>
        </w:rPr>
        <w:footnoteRef/>
      </w:r>
      <w:r>
        <w:t xml:space="preserve"> </w:t>
      </w:r>
      <w:r>
        <w:t xml:space="preserve">Sorge M., Virolainen K. A comparative analysis of macro stress-testing methodologies with application to Finland // Journal of Financial Stability. – 2006. – Vol. 2, No. 2. – P. 113–151.</w:t>
      </w:r>
    </w:p>
  </w:footnote>
  <w:footnote w:id="22">
    <w:p>
      <w:pPr>
        <w:pStyle w:val="FootnoteText"/>
      </w:pPr>
      <w:r>
        <w:rPr>
          <w:rStyle w:val="FootnoteReference"/>
        </w:rPr>
        <w:footnoteRef/>
      </w:r>
      <w:r>
        <w:t xml:space="preserve"> </w:t>
      </w:r>
      <w:r>
        <w:t xml:space="preserve">Basel Committee on Banking Supervision. Stress testing principles. – Basel: BIS, October 2018.</w:t>
      </w:r>
    </w:p>
  </w:footnote>
  <w:footnote w:id="23">
    <w:p>
      <w:pPr>
        <w:pStyle w:val="FootnoteText"/>
      </w:pPr>
      <w:r>
        <w:rPr>
          <w:rStyle w:val="FootnoteReference"/>
        </w:rPr>
        <w:footnoteRef/>
      </w:r>
      <w:r>
        <w:t xml:space="preserve"> </w:t>
      </w:r>
      <w:r>
        <w:t xml:space="preserve">Бердияров Б.Т. Ўзбекистон Республикаси тижорат банкларининг ликвидлилиги ва тўлов қобилиятини таъминлаш масалалари: монография. – Т.: BMA, 2020. – Б. 146.</w:t>
      </w:r>
    </w:p>
  </w:footnote>
  <w:footnote w:id="24">
    <w:p>
      <w:pPr>
        <w:pStyle w:val="FootnoteText"/>
      </w:pPr>
      <w:r>
        <w:rPr>
          <w:rStyle w:val="FootnoteReference"/>
        </w:rPr>
        <w:footnoteRef/>
      </w:r>
      <w:r>
        <w:t xml:space="preserve"> </w:t>
      </w:r>
      <w:r>
        <w:t xml:space="preserve">Tadqiqot natijasida muallif tomonidan quyidagi manbalar asosida ishlab chiqildi: O‘zbekiston Respublikasi Markaziy banki. Statistik byulleten: 2021-yil. – Toshkent, 2022. – 5.1.8a, 5.1.8b-jadvallar; O‘zbekiston Respublikasi Markaziy banki. Statistik byulleten: 2026-yil mart. – Toshkent, 2026. – 1.1, 5.1-jadvallar. – https://cbu.uz/uz/statistics/buleten/.</w:t>
      </w:r>
    </w:p>
  </w:footnote>
  <w:footnote w:id="25">
    <w:p>
      <w:pPr>
        <w:pStyle w:val="FootnoteText"/>
      </w:pPr>
      <w:r>
        <w:rPr>
          <w:rStyle w:val="FootnoteReference"/>
        </w:rPr>
        <w:footnoteRef/>
      </w:r>
      <w:r>
        <w:t xml:space="preserve"> </w:t>
      </w:r>
      <w:r>
        <w:t xml:space="preserve">O‘zbekiston Respublikasi Markaziy banki. Statistik byulleten: 2021-yil. – Toshkent, 2022. – 5.1.8a, 5.1.8b-jadvallar; O‘zbekiston Respublikasi Markaziy banki. Statistik byulleten: 2026-yil mart. – Toshkent, 2026. – 1.1, 5.1-jadvallar. – https://cbu.uz/uz/statistics/buleten/</w:t>
      </w:r>
    </w:p>
  </w:footnote>
  <w:footnote w:id="26">
    <w:p>
      <w:pPr>
        <w:pStyle w:val="FootnoteText"/>
      </w:pPr>
      <w:r>
        <w:rPr>
          <w:rStyle w:val="FootnoteReference"/>
        </w:rPr>
        <w:footnoteRef/>
      </w:r>
      <w:r>
        <w:t xml:space="preserve"> </w:t>
      </w:r>
      <w:r>
        <w:t xml:space="preserve">Tadqiqot natijasida muallif tomonidan quyidagi manbalar ma’lumotlari asosida hisoblandi: O‘zbekiston Respublikasi Markaziy banki. Statistik byulleten: 2021-yil. – Toshkent, 2022. – 5.1.8a, 5.1.8b-jadvallar; O‘zbekiston Respublikasi Markaziy banki. Statistik byulleten: 2026-yil mart. – Toshkent, 2026. – 1.1, 5.1-jadvallar. – https://cbu.uz/uz/statistics/buleten/;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27">
    <w:p>
      <w:pPr>
        <w:pStyle w:val="FootnoteText"/>
      </w:pPr>
      <w:r>
        <w:rPr>
          <w:rStyle w:val="FootnoteReference"/>
        </w:rPr>
        <w:footnoteRef/>
      </w:r>
      <w:r>
        <w:t xml:space="preserve"> </w:t>
      </w:r>
      <w:r>
        <w:t xml:space="preserve">Louzis D.P., Vouldis A.T., Metaxas V.L. Macroeconomic and bank-specific determinants of non-performing loans in Greece: A comparative study of mortgage, business and consumer loan portfolios // Journal of Banking &amp; Finance. – 2012. – Vol. 36, No. 4. – P. 1012–1027.</w:t>
      </w:r>
    </w:p>
  </w:footnote>
  <w:footnote w:id="28">
    <w:p>
      <w:pPr>
        <w:pStyle w:val="FootnoteText"/>
      </w:pPr>
      <w:r>
        <w:rPr>
          <w:rStyle w:val="FootnoteReference"/>
        </w:rPr>
        <w:footnoteRef/>
      </w:r>
      <w:r>
        <w:t xml:space="preserve"> </w:t>
      </w:r>
      <w:r>
        <w:t xml:space="preserve">Beck R., Jakubík P., Piloiu A. Key Determinants of Non-performing Loans: New Evidence from a Global Sample // Open Economies Review. – 2015. – Vol. 26, No. 3. – P. 525–550.</w:t>
      </w:r>
    </w:p>
  </w:footnote>
  <w:footnote w:id="29">
    <w:p>
      <w:pPr>
        <w:pStyle w:val="FootnoteText"/>
      </w:pPr>
      <w:r>
        <w:rPr>
          <w:rStyle w:val="FootnoteReference"/>
        </w:rPr>
        <w:footnoteRef/>
      </w:r>
      <w:r>
        <w:t xml:space="preserve"> </w:t>
      </w:r>
      <w:r>
        <w:t xml:space="preserve">Tadqiqot natijasida muallif tomonidan 4.2.2-jadvalda ko‘rsatilgan manbalar ma’lumotlari asosida hisoblandi.</w:t>
      </w:r>
    </w:p>
  </w:footnote>
  <w:footnote w:id="30">
    <w:p>
      <w:pPr>
        <w:pStyle w:val="FootnoteText"/>
      </w:pPr>
      <w:r>
        <w:rPr>
          <w:rStyle w:val="FootnoteReference"/>
        </w:rPr>
        <w:footnoteRef/>
      </w:r>
      <w:r>
        <w:t xml:space="preserve"> </w:t>
      </w:r>
      <w:r>
        <w:t xml:space="preserve">Basel Committee on Banking Supervision. Stress testing principles. – Basel: BIS, October 2018.</w:t>
      </w:r>
    </w:p>
  </w:footnote>
  <w:footnote w:id="31">
    <w:p>
      <w:pPr>
        <w:pStyle w:val="FootnoteText"/>
      </w:pPr>
      <w:r>
        <w:rPr>
          <w:rStyle w:val="FootnoteReference"/>
        </w:rPr>
        <w:footnoteRef/>
      </w:r>
      <w:r>
        <w:t xml:space="preserve"> </w:t>
      </w:r>
      <w:r>
        <w:t xml:space="preserve">Tadqiqot natijasida muallif tomonidan 4.2.2-jadvalda ko‘rsatilgan manbalar ma’lumotlari asosida hisoblandi.</w:t>
      </w:r>
    </w:p>
  </w:footnote>
  <w:footnote w:id="32">
    <w:p>
      <w:pPr>
        <w:pStyle w:val="FootnoteText"/>
      </w:pPr>
      <w:r>
        <w:rPr>
          <w:rStyle w:val="FootnoteReference"/>
        </w:rPr>
        <w:footnoteRef/>
      </w:r>
      <w:r>
        <w:t xml:space="preserve"> </w:t>
      </w:r>
      <w:r>
        <w:t xml:space="preserve">Tadqiqot natijasida muallif tomonidan 4.2.2-jadvalda ko‘rsatilgan manbalar ma’lumotlari asosida hisoblandi.</w:t>
      </w:r>
    </w:p>
  </w:footnote>
  <w:footnote w:id="33">
    <w:p>
      <w:pPr>
        <w:pStyle w:val="FootnoteText"/>
      </w:pPr>
      <w:r>
        <w:rPr>
          <w:rStyle w:val="FootnoteReference"/>
        </w:rPr>
        <w:footnoteRef/>
      </w:r>
      <w:r>
        <w:t xml:space="preserve"> </w:t>
      </w:r>
      <w:r>
        <w:t xml:space="preserve">Tadqiqot natijasida muallif tomonidan 4.2.2-jadvalda ko‘rsatilgan manbalar ma’lumotlari asosida hisoblandi.</w:t>
      </w:r>
    </w:p>
  </w:footnote>
  <w:footnote w:id="34">
    <w:p>
      <w:pPr>
        <w:pStyle w:val="FootnoteText"/>
      </w:pPr>
      <w:r>
        <w:rPr>
          <w:rStyle w:val="FootnoteReference"/>
        </w:rPr>
        <w:footnoteRef/>
      </w:r>
      <w:r>
        <w:t xml:space="preserve"> </w:t>
      </w:r>
      <w:r>
        <w:t xml:space="preserve">Tadqiqot natijasida muallif tomonidan 4.2.2-jadvalda ko‘rsatilgan manbalar ma’lumotlari asosida hisoblandi.</w:t>
      </w:r>
    </w:p>
  </w:footnote>
  <w:footnote w:id="35">
    <w:p>
      <w:pPr>
        <w:pStyle w:val="FootnoteText"/>
      </w:pPr>
      <w:r>
        <w:rPr>
          <w:rStyle w:val="FootnoteReference"/>
        </w:rPr>
        <w:footnoteRef/>
      </w:r>
      <w:r>
        <w:t xml:space="preserve"> </w:t>
      </w:r>
      <w:r>
        <w:t xml:space="preserve">Tadqiqot natijasida muallif tomonidan quyidagi manbalar ma’lumotlari asosida hisoblandi: O‘zbekiston Respublikasi Markaziy banki. Statistik byulleten: 2021-yil. – Toshkent, 2022. – 5.1.8a, 5.1.8b-jadvallar; O‘zbekiston Respublikasi Markaziy banki. Statistik byulleten: 2026-yil mart. – Toshkent, 2026. – 1.1, 5.1-jadvallar. – https://cbu.uz/uz/statistics/buleten/;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28–31;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36">
    <w:p>
      <w:pPr>
        <w:pStyle w:val="FootnoteText"/>
      </w:pPr>
      <w:r>
        <w:rPr>
          <w:rStyle w:val="FootnoteReference"/>
        </w:rPr>
        <w:footnoteRef/>
      </w:r>
      <w:r>
        <w:t xml:space="preserve"> </w:t>
      </w:r>
      <w:r>
        <w:t xml:space="preserve">Tadqiqot natijasida muallif tomonidan 4.2.6-jadval ma’lumotlari asosida ishlab chiqildi.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Haqiqiy</c:v>
                </c:pt>
              </c:strCache>
            </c:strRef>
          </c:tx>
          <c:spPr>
            <a:ln w="28575">
              <a:solidFill>
                <a:srgbClr val="000000"/>
              </a:solidFill>
            </a:ln>
          </c:spPr>
          <c:marker>
            <c:symbol val="circle"/>
            <c:size val="7"/>
            <c:spPr>
              <a:solidFill>
                <a:srgbClr val="000000"/>
              </a:solidFill>
              <a:ln>
                <a:noFill/>
              </a:ln>
            </c:spPr>
          </c:marker>
          <c:dLbls>
            <c:dLbl>
              <c:idx val="0"/>
              <c:delete val="1"/>
            </c:dLbl>
            <c:dLbl>
              <c:idx val="1"/>
              <c:delete val="1"/>
            </c:dLbl>
            <c:dLbl>
              <c:idx val="2"/>
              <c:delete val="1"/>
            </c:dLbl>
            <c:dLbl>
              <c:idx val="4"/>
              <c:delete val="1"/>
            </c:dLbl>
            <c:dLbl>
              <c:idx val="5"/>
              <c:delete val="1"/>
            </c:dLbl>
            <c:dLbl>
              <c:idx val="6"/>
              <c:delete val="1"/>
            </c:dLbl>
            <c:dLbl>
              <c:idx val="8"/>
              <c:delete val="1"/>
            </c:dLbl>
            <c:dLbl>
              <c:idx val="9"/>
              <c:delete val="1"/>
            </c:dLbl>
            <c:dLbl>
              <c:idx val="10"/>
              <c:delete val="1"/>
            </c:dLbl>
            <c:dLbl>
              <c:idx val="12"/>
              <c:delete val="1"/>
            </c:dLbl>
            <c:dLbl>
              <c:idx val="13"/>
              <c:delete val="1"/>
            </c:dLbl>
            <c:dLbl>
              <c:idx val="14"/>
              <c:delete val="1"/>
            </c:dLbl>
            <c:dLbl>
              <c:idx val="16"/>
              <c:delete val="1"/>
            </c:dLbl>
            <c:dLbl>
              <c:idx val="17"/>
              <c:delete val="1"/>
            </c:dLbl>
            <c:dLbl>
              <c:idx val="18"/>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spPr>
              <a:noFill/>
              <a:ln>
                <a:noFill/>
              </a:ln>
            </c:spPr>
            <c:txPr>
              <a:bodyPr/>
              <a:lstStyle/>
              <a:p>
                <a:pPr>
                  <a:defRPr sz="1000" b="1">
                    <a:solidFill>
                      <a:srgbClr val="000000"/>
                    </a:solidFill>
                    <a:latin typeface="Times New Roman"/>
                    <a:cs typeface="Times New Roman"/>
                  </a:defRPr>
                </a:pPr>
                <a:endParaRPr lang="uz-Latn-UZ"/>
              </a:p>
            </c:txPr>
            <c:dLblPos val="t"/>
            <c:showLegendKey val="0"/>
            <c:showVal val="1"/>
            <c:showCatName val="0"/>
            <c:showSerName val="0"/>
            <c:showPercent val="0"/>
            <c:showBubbleSize val="0"/>
          </c:dLbls>
          <c:xVal>
            <c:numRef>
              <c:f>Sheet1!$A$2:$A$33</c:f>
              <c:numCache>
                <c:formatCode>General</c:formatCode>
                <c:ptCount val="32"/>
                <c:pt idx="0">
                  <c:v>2020.625</c:v>
                </c:pt>
                <c:pt idx="1">
                  <c:v>2020.875</c:v>
                </c:pt>
                <c:pt idx="2">
                  <c:v>2021.125</c:v>
                </c:pt>
                <c:pt idx="3">
                  <c:v>2021.375</c:v>
                </c:pt>
                <c:pt idx="4">
                  <c:v>2021.625</c:v>
                </c:pt>
                <c:pt idx="5">
                  <c:v>2021.875</c:v>
                </c:pt>
                <c:pt idx="6">
                  <c:v>2022.125</c:v>
                </c:pt>
                <c:pt idx="7">
                  <c:v>2022.375</c:v>
                </c:pt>
                <c:pt idx="8">
                  <c:v>2022.625</c:v>
                </c:pt>
                <c:pt idx="9">
                  <c:v>2022.875</c:v>
                </c:pt>
                <c:pt idx="10">
                  <c:v>2023.125</c:v>
                </c:pt>
                <c:pt idx="11">
                  <c:v>2023.375</c:v>
                </c:pt>
                <c:pt idx="12">
                  <c:v>2023.625</c:v>
                </c:pt>
                <c:pt idx="13">
                  <c:v>2023.875</c:v>
                </c:pt>
                <c:pt idx="14">
                  <c:v>2024.125</c:v>
                </c:pt>
                <c:pt idx="15">
                  <c:v>2024.375</c:v>
                </c:pt>
                <c:pt idx="16">
                  <c:v>2024.625</c:v>
                </c:pt>
                <c:pt idx="17">
                  <c:v>2024.875</c:v>
                </c:pt>
                <c:pt idx="18">
                  <c:v>2025.125</c:v>
                </c:pt>
                <c:pt idx="19">
                  <c:v>2025.375</c:v>
                </c:pt>
              </c:numCache>
            </c:numRef>
          </c:xVal>
          <c:yVal>
            <c:numRef>
              <c:f>Sheet1!$B$2:$B$33</c:f>
              <c:numCache>
                <c:formatCode>General</c:formatCode>
                <c:ptCount val="32"/>
                <c:pt idx="0">
                  <c:v>3.54</c:v>
                </c:pt>
                <c:pt idx="1">
                  <c:v>5.51</c:v>
                </c:pt>
                <c:pt idx="2">
                  <c:v>5.74</c:v>
                </c:pt>
                <c:pt idx="3">
                  <c:v>5.2</c:v>
                </c:pt>
                <c:pt idx="4">
                  <c:v>4.95</c:v>
                </c:pt>
                <c:pt idx="5">
                  <c:v>4.89</c:v>
                </c:pt>
                <c:pt idx="6">
                  <c:v>4.72</c:v>
                </c:pt>
                <c:pt idx="7">
                  <c:v>3.59</c:v>
                </c:pt>
                <c:pt idx="8">
                  <c:v>3.51</c:v>
                </c:pt>
                <c:pt idx="9">
                  <c:v>3.38</c:v>
                </c:pt>
                <c:pt idx="10">
                  <c:v>3.73</c:v>
                </c:pt>
                <c:pt idx="11">
                  <c:v>3.53</c:v>
                </c:pt>
                <c:pt idx="12">
                  <c:v>4.52</c:v>
                </c:pt>
                <c:pt idx="13">
                  <c:v>4.05</c:v>
                </c:pt>
                <c:pt idx="14">
                  <c:v>4.18</c:v>
                </c:pt>
                <c:pt idx="15">
                  <c:v>3.97</c:v>
                </c:pt>
                <c:pt idx="16">
                  <c:v>4.26</c:v>
                </c:pt>
                <c:pt idx="17">
                  <c:v>3.8</c:v>
                </c:pt>
                <c:pt idx="18">
                  <c:v>3.65</c:v>
                </c:pt>
                <c:pt idx="19">
                  <c:v>2.99</c:v>
                </c:pt>
              </c:numCache>
            </c:numRef>
          </c:yVal>
          <c:smooth val="0"/>
        </c:ser>
        <c:ser>
          <c:idx val="1"/>
          <c:order val="1"/>
          <c:tx>
            <c:strRef>
              <c:f>Sheet1!$D$1</c:f>
              <c:strCache>
                <c:ptCount val="1"/>
                <c:pt idx="0">
                  <c:v>Asosiy ssenariy</c:v>
                </c:pt>
              </c:strCache>
            </c:strRef>
          </c:tx>
          <c:spPr>
            <a:ln w="22225">
              <a:solidFill>
                <a:srgbClr val="2A78D6"/>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9"/>
              <c:delete val="1"/>
            </c:dLbl>
            <c:dLbl>
              <c:idx val="10"/>
              <c:delete val="1"/>
            </c:dLbl>
            <c:dLbl>
              <c:idx val="11"/>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spPr>
              <a:noFill/>
              <a:ln>
                <a:noFill/>
              </a:ln>
            </c:spPr>
            <c:txPr>
              <a:bodyPr/>
              <a:lstStyle/>
              <a:p>
                <a:pPr>
                  <a:defRPr sz="1000" b="1">
                    <a:solidFill>
                      <a:srgbClr val="2A78D6"/>
                    </a:solidFill>
                    <a:latin typeface="Times New Roman"/>
                    <a:cs typeface="Times New Roman"/>
                  </a:defRPr>
                </a:pPr>
                <a:endParaRPr lang="uz-Latn-UZ"/>
              </a:p>
            </c:txPr>
            <c:dLblPos val="r"/>
            <c:showLegendKey val="0"/>
            <c:showVal val="1"/>
            <c:showCatName val="0"/>
            <c:showSerName val="0"/>
            <c:showPercent val="0"/>
            <c:showBubbleSize val="0"/>
          </c:dLbls>
          <c:xVal>
            <c:numRef>
              <c:f>Sheet1!$C$2:$C$33</c:f>
              <c:numCache>
                <c:formatCode>General</c:formatCode>
                <c:ptCount val="32"/>
                <c:pt idx="0">
                  <c:v>2025.375</c:v>
                </c:pt>
                <c:pt idx="1">
                  <c:v>2025.625</c:v>
                </c:pt>
                <c:pt idx="2">
                  <c:v>2025.875</c:v>
                </c:pt>
                <c:pt idx="3">
                  <c:v>2026.125</c:v>
                </c:pt>
                <c:pt idx="4">
                  <c:v>2026.375</c:v>
                </c:pt>
                <c:pt idx="5">
                  <c:v>2026.625</c:v>
                </c:pt>
                <c:pt idx="6">
                  <c:v>2026.875</c:v>
                </c:pt>
                <c:pt idx="7">
                  <c:v>2027.125</c:v>
                </c:pt>
                <c:pt idx="8">
                  <c:v>2027.375</c:v>
                </c:pt>
                <c:pt idx="9">
                  <c:v>2027.625</c:v>
                </c:pt>
                <c:pt idx="10">
                  <c:v>2027.875</c:v>
                </c:pt>
                <c:pt idx="11">
                  <c:v>2028.125</c:v>
                </c:pt>
                <c:pt idx="12">
                  <c:v>2028.375</c:v>
                </c:pt>
              </c:numCache>
            </c:numRef>
          </c:xVal>
          <c:yVal>
            <c:numRef>
              <c:f>Sheet1!$D$2:$D$33</c:f>
              <c:numCache>
                <c:formatCode>General</c:formatCode>
                <c:ptCount val="32"/>
                <c:pt idx="0">
                  <c:v>2.99</c:v>
                </c:pt>
                <c:pt idx="1">
                  <c:v>3.13</c:v>
                </c:pt>
                <c:pt idx="2">
                  <c:v>3.13</c:v>
                </c:pt>
                <c:pt idx="3">
                  <c:v>3.08</c:v>
                </c:pt>
                <c:pt idx="4">
                  <c:v>3.03</c:v>
                </c:pt>
                <c:pt idx="5">
                  <c:v>3.13</c:v>
                </c:pt>
                <c:pt idx="6">
                  <c:v>3.18</c:v>
                </c:pt>
                <c:pt idx="7">
                  <c:v>3.2</c:v>
                </c:pt>
                <c:pt idx="8">
                  <c:v>3.22</c:v>
                </c:pt>
                <c:pt idx="9">
                  <c:v>3.22</c:v>
                </c:pt>
                <c:pt idx="10">
                  <c:v>3.23</c:v>
                </c:pt>
                <c:pt idx="11">
                  <c:v>3.23</c:v>
                </c:pt>
                <c:pt idx="12">
                  <c:v>3.23</c:v>
                </c:pt>
              </c:numCache>
            </c:numRef>
          </c:yVal>
          <c:smooth val="0"/>
        </c:ser>
        <c:ser>
          <c:idx val="2"/>
          <c:order val="2"/>
          <c:tx>
            <c:strRef>
              <c:f>Sheet1!$F$1</c:f>
              <c:strCache>
                <c:ptCount val="1"/>
                <c:pt idx="0">
                  <c:v>Ijobiy ssenariy</c:v>
                </c:pt>
              </c:strCache>
            </c:strRef>
          </c:tx>
          <c:spPr>
            <a:ln w="22225">
              <a:solidFill>
                <a:srgbClr val="70AD47"/>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9"/>
              <c:delete val="1"/>
            </c:dLbl>
            <c:dLbl>
              <c:idx val="10"/>
              <c:delete val="1"/>
            </c:dLbl>
            <c:dLbl>
              <c:idx val="11"/>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spPr>
              <a:noFill/>
              <a:ln>
                <a:noFill/>
              </a:ln>
            </c:spPr>
            <c:txPr>
              <a:bodyPr/>
              <a:lstStyle/>
              <a:p>
                <a:pPr>
                  <a:defRPr sz="1000" b="1">
                    <a:solidFill>
                      <a:srgbClr val="70AD47"/>
                    </a:solidFill>
                    <a:latin typeface="Times New Roman"/>
                    <a:cs typeface="Times New Roman"/>
                  </a:defRPr>
                </a:pPr>
                <a:endParaRPr lang="uz-Latn-UZ"/>
              </a:p>
            </c:txPr>
            <c:dLblPos val="r"/>
            <c:showLegendKey val="0"/>
            <c:showVal val="1"/>
            <c:showCatName val="0"/>
            <c:showSerName val="0"/>
            <c:showPercent val="0"/>
            <c:showBubbleSize val="0"/>
          </c:dLbls>
          <c:xVal>
            <c:numRef>
              <c:f>Sheet1!$E$2:$E$33</c:f>
              <c:numCache>
                <c:formatCode>General</c:formatCode>
                <c:ptCount val="32"/>
                <c:pt idx="0">
                  <c:v>2025.375</c:v>
                </c:pt>
                <c:pt idx="1">
                  <c:v>2025.625</c:v>
                </c:pt>
                <c:pt idx="2">
                  <c:v>2025.875</c:v>
                </c:pt>
                <c:pt idx="3">
                  <c:v>2026.125</c:v>
                </c:pt>
                <c:pt idx="4">
                  <c:v>2026.375</c:v>
                </c:pt>
                <c:pt idx="5">
                  <c:v>2026.625</c:v>
                </c:pt>
                <c:pt idx="6">
                  <c:v>2026.875</c:v>
                </c:pt>
                <c:pt idx="7">
                  <c:v>2027.125</c:v>
                </c:pt>
                <c:pt idx="8">
                  <c:v>2027.375</c:v>
                </c:pt>
                <c:pt idx="9">
                  <c:v>2027.625</c:v>
                </c:pt>
                <c:pt idx="10">
                  <c:v>2027.875</c:v>
                </c:pt>
                <c:pt idx="11">
                  <c:v>2028.125</c:v>
                </c:pt>
                <c:pt idx="12">
                  <c:v>2028.375</c:v>
                </c:pt>
              </c:numCache>
            </c:numRef>
          </c:xVal>
          <c:yVal>
            <c:numRef>
              <c:f>Sheet1!$F$2:$F$33</c:f>
              <c:numCache>
                <c:formatCode>General</c:formatCode>
                <c:ptCount val="32"/>
                <c:pt idx="0">
                  <c:v>2.99</c:v>
                </c:pt>
                <c:pt idx="1">
                  <c:v>3.13</c:v>
                </c:pt>
                <c:pt idx="2">
                  <c:v>3.13</c:v>
                </c:pt>
                <c:pt idx="3">
                  <c:v>3.08</c:v>
                </c:pt>
                <c:pt idx="4">
                  <c:v>3.03</c:v>
                </c:pt>
                <c:pt idx="5">
                  <c:v>2.96</c:v>
                </c:pt>
                <c:pt idx="6">
                  <c:v>2.93</c:v>
                </c:pt>
                <c:pt idx="7">
                  <c:v>2.92</c:v>
                </c:pt>
                <c:pt idx="8">
                  <c:v>2.91</c:v>
                </c:pt>
                <c:pt idx="9">
                  <c:v>2.9</c:v>
                </c:pt>
                <c:pt idx="10">
                  <c:v>2.9</c:v>
                </c:pt>
                <c:pt idx="11">
                  <c:v>2.9</c:v>
                </c:pt>
                <c:pt idx="12">
                  <c:v>2.9</c:v>
                </c:pt>
              </c:numCache>
            </c:numRef>
          </c:yVal>
          <c:smooth val="0"/>
        </c:ser>
        <c:ser>
          <c:idx val="3"/>
          <c:order val="3"/>
          <c:tx>
            <c:strRef>
              <c:f>Sheet1!$H$1</c:f>
              <c:strCache>
                <c:ptCount val="1"/>
                <c:pt idx="0">
                  <c:v>Salbiy ssenariy</c:v>
                </c:pt>
              </c:strCache>
            </c:strRef>
          </c:tx>
          <c:spPr>
            <a:ln w="22225">
              <a:solidFill>
                <a:srgbClr val="FFC000"/>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9"/>
              <c:delete val="1"/>
            </c:dLbl>
            <c:dLbl>
              <c:idx val="10"/>
              <c:delete val="1"/>
            </c:dLbl>
            <c:dLbl>
              <c:idx val="11"/>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spPr>
              <a:noFill/>
              <a:ln>
                <a:noFill/>
              </a:ln>
            </c:spPr>
            <c:txPr>
              <a:bodyPr/>
              <a:lstStyle/>
              <a:p>
                <a:pPr>
                  <a:defRPr sz="1000" b="1">
                    <a:solidFill>
                      <a:srgbClr val="FFC000"/>
                    </a:solidFill>
                    <a:latin typeface="Times New Roman"/>
                    <a:cs typeface="Times New Roman"/>
                  </a:defRPr>
                </a:pPr>
                <a:endParaRPr lang="uz-Latn-UZ"/>
              </a:p>
            </c:txPr>
            <c:dLblPos val="r"/>
            <c:showLegendKey val="0"/>
            <c:showVal val="1"/>
            <c:showCatName val="0"/>
            <c:showSerName val="0"/>
            <c:showPercent val="0"/>
            <c:showBubbleSize val="0"/>
          </c:dLbls>
          <c:xVal>
            <c:numRef>
              <c:f>Sheet1!$G$2:$G$33</c:f>
              <c:numCache>
                <c:formatCode>General</c:formatCode>
                <c:ptCount val="32"/>
                <c:pt idx="0">
                  <c:v>2025.375</c:v>
                </c:pt>
                <c:pt idx="1">
                  <c:v>2025.625</c:v>
                </c:pt>
                <c:pt idx="2">
                  <c:v>2025.875</c:v>
                </c:pt>
                <c:pt idx="3">
                  <c:v>2026.125</c:v>
                </c:pt>
                <c:pt idx="4">
                  <c:v>2026.375</c:v>
                </c:pt>
                <c:pt idx="5">
                  <c:v>2026.625</c:v>
                </c:pt>
                <c:pt idx="6">
                  <c:v>2026.875</c:v>
                </c:pt>
                <c:pt idx="7">
                  <c:v>2027.125</c:v>
                </c:pt>
                <c:pt idx="8">
                  <c:v>2027.375</c:v>
                </c:pt>
                <c:pt idx="9">
                  <c:v>2027.625</c:v>
                </c:pt>
                <c:pt idx="10">
                  <c:v>2027.875</c:v>
                </c:pt>
                <c:pt idx="11">
                  <c:v>2028.125</c:v>
                </c:pt>
                <c:pt idx="12">
                  <c:v>2028.375</c:v>
                </c:pt>
              </c:numCache>
            </c:numRef>
          </c:xVal>
          <c:yVal>
            <c:numRef>
              <c:f>Sheet1!$H$2:$H$33</c:f>
              <c:numCache>
                <c:formatCode>General</c:formatCode>
                <c:ptCount val="32"/>
                <c:pt idx="0">
                  <c:v>2.99</c:v>
                </c:pt>
                <c:pt idx="1">
                  <c:v>3.13</c:v>
                </c:pt>
                <c:pt idx="2">
                  <c:v>3.13</c:v>
                </c:pt>
                <c:pt idx="3">
                  <c:v>3.08</c:v>
                </c:pt>
                <c:pt idx="4">
                  <c:v>3.03</c:v>
                </c:pt>
                <c:pt idx="5">
                  <c:v>3.49</c:v>
                </c:pt>
                <c:pt idx="6">
                  <c:v>3.72</c:v>
                </c:pt>
                <c:pt idx="7">
                  <c:v>3.84</c:v>
                </c:pt>
                <c:pt idx="8">
                  <c:v>3.89</c:v>
                </c:pt>
                <c:pt idx="9">
                  <c:v>3.77</c:v>
                </c:pt>
                <c:pt idx="10">
                  <c:v>3.71</c:v>
                </c:pt>
                <c:pt idx="11">
                  <c:v>3.68</c:v>
                </c:pt>
                <c:pt idx="12">
                  <c:v>3.66</c:v>
                </c:pt>
              </c:numCache>
            </c:numRef>
          </c:yVal>
          <c:smooth val="0"/>
        </c:ser>
        <c:ser>
          <c:idx val="4"/>
          <c:order val="4"/>
          <c:tx>
            <c:strRef>
              <c:f>Sheet1!$J$1</c:f>
              <c:strCache>
                <c:ptCount val="1"/>
                <c:pt idx="0">
                  <c:v>Keskin salbiy ssenariy</c:v>
                </c:pt>
              </c:strCache>
            </c:strRef>
          </c:tx>
          <c:spPr>
            <a:ln w="22225">
              <a:solidFill>
                <a:srgbClr val="C00000"/>
              </a:solidFill>
              <a:prstDash val="dash"/>
            </a:ln>
          </c:spPr>
          <c:marker>
            <c:symbol val="none"/>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9"/>
              <c:delete val="1"/>
            </c:dLbl>
            <c:dLbl>
              <c:idx val="10"/>
              <c:delete val="1"/>
            </c:dLbl>
            <c:dLbl>
              <c:idx val="11"/>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dLbls>
          <c:xVal>
            <c:numRef>
              <c:f>Sheet1!$I$2:$I$33</c:f>
              <c:numCache>
                <c:formatCode>General</c:formatCode>
                <c:ptCount val="32"/>
                <c:pt idx="0">
                  <c:v>2025.375</c:v>
                </c:pt>
                <c:pt idx="1">
                  <c:v>2025.625</c:v>
                </c:pt>
                <c:pt idx="2">
                  <c:v>2025.875</c:v>
                </c:pt>
                <c:pt idx="3">
                  <c:v>2026.125</c:v>
                </c:pt>
                <c:pt idx="4">
                  <c:v>2026.375</c:v>
                </c:pt>
                <c:pt idx="5">
                  <c:v>2026.625</c:v>
                </c:pt>
                <c:pt idx="6">
                  <c:v>2026.875</c:v>
                </c:pt>
                <c:pt idx="7">
                  <c:v>2027.125</c:v>
                </c:pt>
                <c:pt idx="8">
                  <c:v>2027.375</c:v>
                </c:pt>
                <c:pt idx="9">
                  <c:v>2027.625</c:v>
                </c:pt>
                <c:pt idx="10">
                  <c:v>2027.875</c:v>
                </c:pt>
                <c:pt idx="11">
                  <c:v>2028.125</c:v>
                </c:pt>
                <c:pt idx="12">
                  <c:v>2028.375</c:v>
                </c:pt>
              </c:numCache>
            </c:numRef>
          </c:xVal>
          <c:yVal>
            <c:numRef>
              <c:f>Sheet1!$J$2:$J$33</c:f>
              <c:numCache>
                <c:formatCode>General</c:formatCode>
                <c:ptCount val="32"/>
                <c:pt idx="0">
                  <c:v>2.99</c:v>
                </c:pt>
                <c:pt idx="1">
                  <c:v>3.13</c:v>
                </c:pt>
                <c:pt idx="2">
                  <c:v>3.13</c:v>
                </c:pt>
                <c:pt idx="3">
                  <c:v>3.08</c:v>
                </c:pt>
                <c:pt idx="4">
                  <c:v>3.03</c:v>
                </c:pt>
                <c:pt idx="5">
                  <c:v>3.93</c:v>
                </c:pt>
                <c:pt idx="6">
                  <c:v>4.38</c:v>
                </c:pt>
                <c:pt idx="7">
                  <c:v>4.6</c:v>
                </c:pt>
                <c:pt idx="8">
                  <c:v>4.71</c:v>
                </c:pt>
                <c:pt idx="9">
                  <c:v>4.17</c:v>
                </c:pt>
                <c:pt idx="10">
                  <c:v>3.91</c:v>
                </c:pt>
                <c:pt idx="11">
                  <c:v>3.77</c:v>
                </c:pt>
                <c:pt idx="12">
                  <c:v>3.71</c:v>
                </c:pt>
              </c:numCache>
            </c:numRef>
          </c:yVal>
          <c:smooth val="0"/>
        </c:ser>
        <c:axId val="333"/>
        <c:axId val="444"/>
      </c:scatterChart>
      <c:valAx>
        <c:axId val="333"/>
        <c:scaling>
          <c:orientation val="minMax"/>
          <c:max val="2028.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6.0"/>
          <c:min val="2.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kreditlar ulushi,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Yashil zona</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16.0</c:v>
                </c:pt>
                <c:pt idx="1">
                  <c:v>15.0</c:v>
                </c:pt>
                <c:pt idx="2">
                  <c:v>17.0</c:v>
                </c:pt>
                <c:pt idx="3">
                  <c:v>14.0</c:v>
                </c:pt>
                <c:pt idx="4">
                  <c:v>12.0</c:v>
                </c:pt>
              </c:numCache>
            </c:numRef>
          </c:val>
        </c:ser>
        <c:ser>
          <c:idx val="1"/>
          <c:order val="1"/>
          <c:tx>
            <c:strRef>
              <c:f>Sheet1!$C$1</c:f>
              <c:strCache>
                <c:ptCount val="1"/>
                <c:pt idx="0">
                  <c:v>Sariq zona</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9.0</c:v>
                </c:pt>
                <c:pt idx="1">
                  <c:v>10.0</c:v>
                </c:pt>
                <c:pt idx="2">
                  <c:v>8.0</c:v>
                </c:pt>
                <c:pt idx="3">
                  <c:v>9.0</c:v>
                </c:pt>
                <c:pt idx="4">
                  <c:v>9.0</c:v>
                </c:pt>
              </c:numCache>
            </c:numRef>
          </c:val>
        </c:ser>
        <c:ser>
          <c:idx val="2"/>
          <c:order val="2"/>
          <c:tx>
            <c:strRef>
              <c:f>Sheet1!$D$1</c:f>
              <c:strCache>
                <c:ptCount val="1"/>
                <c:pt idx="0">
                  <c:v>Qizil zona</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0.0</c:v>
                </c:pt>
                <c:pt idx="1">
                  <c:v>0.0</c:v>
                </c:pt>
                <c:pt idx="2">
                  <c:v>0.0</c:v>
                </c:pt>
                <c:pt idx="3">
                  <c:v>2.0</c:v>
                </c:pt>
                <c:pt idx="4">
                  <c:v>4.0</c:v>
                </c:pt>
              </c:numCache>
            </c:numRef>
          </c:val>
        </c:ser>
        <c:gapWidth val="6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Banklar soni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SQB: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3.61</c:v>
                </c:pt>
                <c:pt idx="1">
                  <c:v>3.61</c:v>
                </c:pt>
                <c:pt idx="2">
                  <c:v>3.62</c:v>
                </c:pt>
                <c:pt idx="3">
                  <c:v>3.57</c:v>
                </c:pt>
                <c:pt idx="4">
                  <c:v>3.49</c:v>
                </c:pt>
              </c:numCache>
            </c:numRef>
          </c:val>
        </c:ser>
        <c:ser>
          <c:idx val="1"/>
          <c:order val="1"/>
          <c:tx>
            <c:strRef>
              <c:f>Sheet1!$C$1</c:f>
              <c:strCache>
                <c:ptCount val="1"/>
                <c:pt idx="0">
                  <c:v>SQB: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2.83</c:v>
                </c:pt>
                <c:pt idx="1">
                  <c:v>2.8</c:v>
                </c:pt>
                <c:pt idx="2">
                  <c:v>2.83</c:v>
                </c:pt>
                <c:pt idx="3">
                  <c:v>2.71</c:v>
                </c:pt>
                <c:pt idx="4">
                  <c:v>2.61</c:v>
                </c:pt>
              </c:numCache>
            </c:numRef>
          </c:val>
        </c:ser>
        <c:ser>
          <c:idx val="2"/>
          <c:order val="2"/>
          <c:tx>
            <c:strRef>
              <c:f>Sheet1!$D$1</c:f>
              <c:strCache>
                <c:ptCount val="1"/>
                <c:pt idx="0">
                  <c:v>MKB: milliy</c:v>
                </c:pt>
              </c:strCache>
            </c:strRef>
          </c:tx>
          <c:spPr>
            <a:solidFill>
              <a:srgbClr val="F4B183"/>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2.9</c:v>
                </c:pt>
                <c:pt idx="1">
                  <c:v>2.84</c:v>
                </c:pt>
                <c:pt idx="2">
                  <c:v>2.91</c:v>
                </c:pt>
                <c:pt idx="3">
                  <c:v>2.72</c:v>
                </c:pt>
                <c:pt idx="4">
                  <c:v>2.58</c:v>
                </c:pt>
              </c:numCache>
            </c:numRef>
          </c:val>
        </c:ser>
        <c:ser>
          <c:idx val="3"/>
          <c:order val="3"/>
          <c:tx>
            <c:strRef>
              <c:f>Sheet1!$E$1</c:f>
              <c:strCache>
                <c:ptCount val="1"/>
                <c:pt idx="0">
                  <c:v>MKB: MHXS</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2025 (haqiqiy)</c:v>
                </c:pt>
                <c:pt idx="1">
                  <c:v>Asosiy</c:v>
                </c:pt>
                <c:pt idx="2">
                  <c:v>Ijobiy</c:v>
                </c:pt>
                <c:pt idx="3">
                  <c:v>Salbiy</c:v>
                </c:pt>
                <c:pt idx="4">
                  <c:v>Keskin salbiy</c:v>
                </c:pt>
              </c:strCache>
            </c:strRef>
          </c:cat>
          <c:val>
            <c:numRef>
              <c:f>Sheet1!$E$2:$E$6</c:f>
              <c:numCache>
                <c:formatCode>General</c:formatCode>
                <c:ptCount val="5"/>
                <c:pt idx="0">
                  <c:v>2.47</c:v>
                </c:pt>
                <c:pt idx="1">
                  <c:v>2.42</c:v>
                </c:pt>
                <c:pt idx="2">
                  <c:v>2.49</c:v>
                </c:pt>
                <c:pt idx="3">
                  <c:v>2.39</c:v>
                </c:pt>
                <c:pt idx="4">
                  <c:v>2.39</c:v>
                </c:pt>
              </c:numCache>
            </c:numRef>
          </c:val>
        </c:ser>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2026-10-11T20:56:48Z</dcterms:created>
  <dcterms:modified xsi:type="dcterms:W3CDTF">2026-10-11T20:56:48Z</dcterms:modified>
</cp:coreProperties>
</file>

<file path=docProps/custom.xml><?xml version="1.0" encoding="utf-8"?>
<Properties xmlns="http://schemas.openxmlformats.org/officeDocument/2006/custom-properties" xmlns:vt="http://schemas.openxmlformats.org/officeDocument/2006/docPropsVTypes"/>
</file>