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trike w:val="0"/>
          <w:sz w:val="28"/>
        </w:rPr>
        <w:t>2.3.4-rasm – 2021–2025-yillar (namuna)</w:t>
      </w:r>
    </w:p>
    <w:p>
      <w:pPr>
        <w:jc w:val="center"/>
      </w:pPr>
      <w:r xmlns:a="http://schemas.openxmlformats.org/drawingml/2006/main" xmlns:c="http://schemas.openxmlformats.org/drawingml/2006/chart">
        <w:rPr>
          <w:noProof/>
        </w:rPr>
        <w:drawing>
          <wp:inline distT="0" distB="0" distL="0" distR="0">
            <wp:extent cx="5940000" cy="3780000"/>
            <wp:effectExtent l="0" t="0" r="0" b="0"/>
            <wp:docPr id="1001" name="2.3.4-ras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jc w:val="center"/>
      </w:pPr>
      <w:r>
        <w:rPr>
          <w:b/>
          <w:i w:val="0"/>
          <w:strike w:val="0"/>
          <w:sz w:val="28"/>
        </w:rPr>
        <w:t>2.3.4-rasm. “O‘zsanoatqurilishbank” ATB da MHXS 9 bo‘yicha 3-bosqich kreditlarining milliy tasnif toifalari bo‘yicha tarkibi, 2021–2025-yillar, %</w:t>
      </w:r>
    </w:p>
    <w:p>
      <w:pPr>
        <w:jc w:val="left"/>
      </w:pPr>
      <w:r>
        <w:rPr>
          <w:b w:val="0"/>
          <w:i/>
          <w:strike w:val="0"/>
          <w:sz w:val="24"/>
        </w:rPr>
        <w:t>Izoh: yillar ostida – 3-bosqich kreditlarining jami summasi, mlrd so‘m.</w:t>
      </w:r>
    </w:p>
    <w:p>
      <w:pPr>
        <w:jc w:val="both"/>
      </w:pPr>
      <w:r>
        <w:rPr>
          <w:b w:val="0"/>
          <w:i w:val="0"/>
          <w:strike w:val="0"/>
          <w:sz w:val="24"/>
        </w:rPr>
        <w:t>Rasm nomida “mlrd so‘m” o‘rniga “2021–2025-yillar, %” (qizil); yillar ostida 3-bosqich kreditlarining jami summasi berilgan. Rasm manbasi (snoska) ga qo‘shiladi:</w:t>
      </w:r>
    </w:p>
    <w:p>
      <w:pPr>
        <w:jc w:val="both"/>
      </w:pPr>
      <w:r>
        <w:rPr>
          <w:b w:val="0"/>
          <w:i w:val="0"/>
          <w:strike w:val="0"/>
          <w:color w:val="FF0000"/>
          <w:sz w:val="24"/>
        </w:rPr>
        <w:t>Акционерный коммерческий банк “Узбекский промышленно-строительный банк” и его дочерние организации. Консолидированная финансовая отчетность и аудиторское заключение за годы, закончившиеся 31 декабря 2023, 2022 и 2021 гг. – Ташкент, 2024. – С. 53–55.</w:t>
      </w:r>
    </w:p>
    <w:p>
      <w:pPr>
        <w:jc w:val="both"/>
      </w:pPr>
      <w:r>
        <w:rPr>
          <w:b w:val="0"/>
          <w:i w:val="0"/>
          <w:strike w:val="0"/>
          <w:sz w:val="24"/>
        </w:rPr>
        <w:t>Rasmdan keyingi xatboshida:</w:t>
      </w:r>
    </w:p>
    <w:p>
      <w:pPr>
        <w:jc w:val="both"/>
      </w:pPr>
      <w:r>
        <w:rPr>
          <w:b w:val="0"/>
          <w:i w:val="0"/>
          <w:strike/>
          <w:color w:val="7F7F7F"/>
          <w:sz w:val="24"/>
        </w:rPr>
        <w:t>Hozir: 2024-yilda bu ulush 38,9 foizni tashkil etgan edi, ya’ni bir yil ichida ikki tasnif o‘rtasidagi nomuvofiqlik sezilarli kuchaygan.</w:t>
      </w:r>
    </w:p>
    <w:p>
      <w:pPr>
        <w:jc w:val="both"/>
      </w:pPr>
      <w:r>
        <w:rPr>
          <w:b w:val="0"/>
          <w:i w:val="0"/>
          <w:strike w:val="0"/>
          <w:color w:val="FF0000"/>
          <w:sz w:val="24"/>
        </w:rPr>
        <w:t>Yangi: Bu ulush 2021-yilda 35,6 foizni, 2022-yilda 29,0 foizni, 2023-yilda 47,1 foizni, 2024-yilda 38,9 foizni tashkil etgan, ya’ni ikki tasnif o‘rtasidagi nomuvofiqlik besh yil davomida muntazam saqlanib, 2025-yilda eng yuqori darajaga yetgan.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uz-Latn-UZ"/>
  <c:roundedCorners val="0"/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Standart</c:v>
                </c:pt>
              </c:strCache>
            </c:strRef>
          </c:tx>
          <c:spPr>
            <a:solidFill>
              <a:srgbClr val="70AD47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FFFFFF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
2 778,0</c:v>
                </c:pt>
                <c:pt idx="1">
                  <c:v>2022
3 784,1</c:v>
                </c:pt>
                <c:pt idx="2">
                  <c:v>2023
2 904,4</c:v>
                </c:pt>
                <c:pt idx="3">
                  <c:v>2024
4 085,6</c:v>
                </c:pt>
                <c:pt idx="4">
                  <c:v>2025
5 310,2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6.9</c:v>
                </c:pt>
                <c:pt idx="1">
                  <c:v>6.3</c:v>
                </c:pt>
                <c:pt idx="2">
                  <c:v>29.2</c:v>
                </c:pt>
                <c:pt idx="3">
                  <c:v>24.8</c:v>
                </c:pt>
                <c:pt idx="4">
                  <c:v>14.1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Substandart</c:v>
                </c:pt>
              </c:strCache>
            </c:strRef>
          </c:tx>
          <c:spPr>
            <a:solidFill>
              <a:srgbClr val="FFC000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
2 778,0</c:v>
                </c:pt>
                <c:pt idx="1">
                  <c:v>2022
3 784,1</c:v>
                </c:pt>
                <c:pt idx="2">
                  <c:v>2023
2 904,4</c:v>
                </c:pt>
                <c:pt idx="3">
                  <c:v>2024
4 085,6</c:v>
                </c:pt>
                <c:pt idx="4">
                  <c:v>2025
5 310,2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28.7</c:v>
                </c:pt>
                <c:pt idx="1">
                  <c:v>22.7</c:v>
                </c:pt>
                <c:pt idx="2">
                  <c:v>17.9</c:v>
                </c:pt>
                <c:pt idx="3">
                  <c:v>14.1</c:v>
                </c:pt>
                <c:pt idx="4">
                  <c:v>43.1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Qoniqarsiz</c:v>
                </c:pt>
              </c:strCache>
            </c:strRef>
          </c:tx>
          <c:spPr>
            <a:solidFill>
              <a:srgbClr val="ED7D31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FFFFFF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
2 778,0</c:v>
                </c:pt>
                <c:pt idx="1">
                  <c:v>2022
3 784,1</c:v>
                </c:pt>
                <c:pt idx="2">
                  <c:v>2023
2 904,4</c:v>
                </c:pt>
                <c:pt idx="3">
                  <c:v>2024
4 085,6</c:v>
                </c:pt>
                <c:pt idx="4">
                  <c:v>2025
5 310,2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34.3</c:v>
                </c:pt>
                <c:pt idx="1">
                  <c:v>13.0</c:v>
                </c:pt>
                <c:pt idx="2">
                  <c:v>20.0</c:v>
                </c:pt>
                <c:pt idx="3">
                  <c:v>32.5</c:v>
                </c:pt>
                <c:pt idx="4">
                  <c:v>4.6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Shubhali</c:v>
                </c:pt>
              </c:strCache>
            </c:strRef>
          </c:tx>
          <c:spPr>
            <a:solidFill>
              <a:srgbClr val="C00000"/>
            </a:solidFill>
            <a:ln w="6350">
              <a:solidFill>
                <a:srgbClr val="FFFFFF"/>
              </a:solidFill>
            </a:ln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FFFFFF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
2 778,0</c:v>
                </c:pt>
                <c:pt idx="1">
                  <c:v>2022
3 784,1</c:v>
                </c:pt>
                <c:pt idx="2">
                  <c:v>2023
2 904,4</c:v>
                </c:pt>
                <c:pt idx="3">
                  <c:v>2024
4 085,6</c:v>
                </c:pt>
                <c:pt idx="4">
                  <c:v>2025
5 310,2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8.1</c:v>
                </c:pt>
                <c:pt idx="1">
                  <c:v>26.1</c:v>
                </c:pt>
                <c:pt idx="2">
                  <c:v>31.4</c:v>
                </c:pt>
                <c:pt idx="3">
                  <c:v>15.4</c:v>
                </c:pt>
                <c:pt idx="4">
                  <c:v>12.1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Umidsiz</c:v>
                </c:pt>
              </c:strCache>
            </c:strRef>
          </c:tx>
          <c:spPr>
            <a:solidFill>
              <a:srgbClr val="7F1F1F"/>
            </a:solidFill>
            <a:ln w="6350">
              <a:solidFill>
                <a:srgbClr val="FFFFFF"/>
              </a:solidFill>
            </a:ln>
          </c:spPr>
          <c:invertIfNegative val="0"/>
          <c:dLbls>
            <c:dLbl>
              <c:idx val="2"/>
              <c:delete val="1"/>
            </c:dLbl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1050" b="1">
                    <a:solidFill>
                      <a:srgbClr val="FFFFFF"/>
                    </a:solidFill>
                    <a:latin typeface="Times New Roman"/>
                    <a:cs typeface="Times New Roman"/>
                  </a:defRPr>
                </a:pPr>
                <a:endParaRPr lang="uz-Latn-UZ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Sheet1!$A$2:$A$6</c:f>
              <c:strCache>
                <c:ptCount val="5"/>
                <c:pt idx="0">
                  <c:v>2021
2 778,0</c:v>
                </c:pt>
                <c:pt idx="1">
                  <c:v>2022
3 784,1</c:v>
                </c:pt>
                <c:pt idx="2">
                  <c:v>2023
2 904,4</c:v>
                </c:pt>
                <c:pt idx="3">
                  <c:v>2024
4 085,6</c:v>
                </c:pt>
                <c:pt idx="4">
                  <c:v>2025
5 310,2</c:v>
                </c:pt>
              </c:strCache>
            </c:strRef>
          </c:cat>
          <c:val>
            <c:numRef>
              <c:f>Sheet1!$F$2:$F$6</c:f>
              <c:numCache>
                <c:formatCode>General</c:formatCode>
                <c:ptCount val="5"/>
                <c:pt idx="0">
                  <c:v>21.9</c:v>
                </c:pt>
                <c:pt idx="1">
                  <c:v>31.9</c:v>
                </c:pt>
                <c:pt idx="2">
                  <c:v>1.5</c:v>
                </c:pt>
                <c:pt idx="3">
                  <c:v>13.2</c:v>
                </c:pt>
                <c:pt idx="4">
                  <c:v>26.1</c:v>
                </c:pt>
              </c:numCache>
            </c:numRef>
          </c:val>
        </c:ser>
        <c:gapWidth val="45"/>
        <c:overlap val="100"/>
        <c:axId val="111"/>
        <c:axId val="222"/>
      </c:barChart>
      <c:catAx>
        <c:axId val="11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 rot="0" vert="horz"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222"/>
        <c:crosses val="autoZero"/>
        <c:auto val="1"/>
        <c:lblAlgn val="ctr"/>
        <c:lblOffset val="100"/>
        <c:tickLblSkip val="1"/>
        <c:noMultiLvlLbl val="0"/>
      </c:catAx>
      <c:valAx>
        <c:axId val="222"/>
        <c:scaling>
          <c:orientation val="minMax"/>
          <c:max val="100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solidFill>
                      <a:srgbClr val="000000"/>
                    </a:solidFill>
                    <a:latin typeface="Times New Roman"/>
                    <a:cs typeface="Times New Roman"/>
                  </a:defRPr>
                </a:pPr>
                <a:r>
                  <a:rPr lang="uz-Latn-UZ" sz="1100" b="0">
                    <a:solidFill>
                      <a:srgbClr val="000000"/>
                    </a:solidFill>
                    <a:latin typeface="Times New Roman"/>
                  </a:rPr>
                  <a:t>3-bosqich kreditlariga nisbatan, %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low"/>
        <c:spPr>
          <a:ln w="9525">
            <a:solidFill>
              <a:srgbClr val="595959"/>
            </a:solidFill>
          </a:ln>
        </c:spPr>
        <c:txPr>
          <a:bodyPr/>
          <a:lstStyle/>
          <a:p>
            <a:pPr>
              <a:defRPr sz="1100" b="0">
                <a:solidFill>
                  <a:srgbClr val="000000"/>
                </a:solidFill>
                <a:latin typeface="Times New Roman"/>
                <a:cs typeface="Times New Roman"/>
              </a:defRPr>
            </a:pPr>
            <a:endParaRPr lang="uz-Latn-UZ"/>
          </a:p>
        </c:txPr>
        <c:crossAx val="111"/>
        <c:crosses val="autoZero"/>
        <c:crossBetween val="between"/>
        <c:majorUnit val="20"/>
      </c:valAx>
      <c:spPr>
        <a:noFill/>
        <a:ln>
          <a:noFill/>
        </a:ln>
      </c:spPr>
    </c:plotArea>
    <c:legend>
      <c:legendPos val="r"/>
      <c:overlay val="0"/>
      <c:txPr>
        <a:bodyPr/>
        <a:lstStyle/>
        <a:p>
          <a:pPr>
            <a:defRPr sz="1050" b="0">
              <a:solidFill>
                <a:srgbClr val="000000"/>
              </a:solidFill>
              <a:latin typeface="Times New Roman"/>
              <a:cs typeface="Times New Roman"/>
            </a:defRPr>
          </a:pPr>
          <a:endParaRPr lang="uz-Latn-UZ"/>
        </a:p>
      </c:txPr>
    </c:legend>
    <c:plotVisOnly val="1"/>
    <c:dispBlanksAs val="gap"/>
  </c:chart>
  <c:spPr>
    <a:solidFill>
      <a:srgbClr val="FFFFFF"/>
    </a:solidFill>
    <a:ln>
      <a:noFill/>
    </a:ln>
  </c:spPr>
  <c:txPr>
    <a:bodyPr/>
    <a:lstStyle/>
    <a:p>
      <a:pPr>
        <a:defRPr sz="1100" b="0">
          <a:solidFill>
            <a:srgbClr val="000000"/>
          </a:solidFill>
          <a:latin typeface="Times New Roman"/>
          <a:cs typeface="Times New Roman"/>
        </a:defRPr>
      </a:pPr>
      <a:endParaRPr lang="uz-Latn-UZ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