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40.xml" ContentType="application/vnd.openxmlformats-officedocument.drawingml.chart+xml"/>
  <Override PartName="/word/charts/chart41.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line="276" w:lineRule="auto"/>
        <w:jc w:val="center"/>
      </w:pPr>
      <w:r>
        <w:rPr>
          <w:rFonts w:ascii="Times New Roman" w:hAnsi="Times New Roman"/>
          <w:b/>
          <w:i w:val="0"/>
          <w:sz w:val="28"/>
        </w:rPr>
        <w:t>TASHKENT INTERNATIONAL UNIVERSITY HUZURIDAGI ILMIY DARAJALAR BERUVCHI DSc.03/2025.27.12.I.30.01 RAQAMLI ILMIY KENGASH</w:t>
      </w:r>
    </w:p>
    <w:p>
      <w:pPr>
        <w:spacing w:after="360" w:before="0" w:line="276" w:lineRule="auto"/>
        <w:jc w:val="center"/>
      </w:pPr>
      <w:r>
        <w:rPr>
          <w:rFonts w:ascii="Times New Roman" w:hAnsi="Times New Roman"/>
          <w:b/>
          <w:i w:val="0"/>
          <w:sz w:val="28"/>
        </w:rPr>
        <w:t>DENOV TADBIRKORLIK VA PEDAGOGIKA UNIVERSITETI</w:t>
      </w:r>
    </w:p>
    <w:p>
      <w:pPr>
        <w:spacing w:after="0" w:before="0" w:line="276" w:lineRule="auto"/>
        <w:jc w:val="right"/>
      </w:pPr>
      <w:r>
        <w:rPr>
          <w:rFonts w:ascii="Times New Roman" w:hAnsi="Times New Roman"/>
          <w:b w:val="0"/>
          <w:i/>
          <w:sz w:val="28"/>
        </w:rPr>
        <w:t>Qo‘lyozma huquqida</w:t>
      </w:r>
    </w:p>
    <w:p>
      <w:pPr>
        <w:spacing w:after="600" w:before="0" w:line="276" w:lineRule="auto"/>
        <w:jc w:val="right"/>
      </w:pPr>
      <w:r>
        <w:rPr>
          <w:rFonts w:ascii="Times New Roman" w:hAnsi="Times New Roman"/>
          <w:b w:val="0"/>
          <w:i/>
          <w:sz w:val="28"/>
        </w:rPr>
        <w:t>UO‘K: 336.71</w:t>
      </w:r>
    </w:p>
    <w:p>
      <w:pPr>
        <w:spacing w:after="480" w:before="0" w:line="276" w:lineRule="auto"/>
        <w:jc w:val="center"/>
      </w:pPr>
      <w:r>
        <w:rPr>
          <w:rFonts w:ascii="Times New Roman" w:hAnsi="Times New Roman"/>
          <w:b/>
          <w:i w:val="0"/>
          <w:sz w:val="28"/>
        </w:rPr>
        <w:t>MAXMUDOV OMON TO‘XTAYEVICH</w:t>
      </w:r>
    </w:p>
    <w:p>
      <w:pPr>
        <w:spacing w:after="480" w:before="0" w:line="276" w:lineRule="auto"/>
        <w:jc w:val="center"/>
      </w:pPr>
      <w:r>
        <w:rPr>
          <w:rFonts w:ascii="Times New Roman" w:hAnsi="Times New Roman"/>
          <w:b/>
          <w:i w:val="0"/>
          <w:sz w:val="32"/>
        </w:rPr>
        <w:t>TIJORAT BANKLARI MOLIYAVIY BARQARORLIGINI XALQARO STANDARTLAR ASOSIDA BAHOLASH METODOLOGIYASINI TAKOMILLASHTIRISH</w:t>
      </w:r>
    </w:p>
    <w:p>
      <w:pPr>
        <w:spacing w:after="480" w:before="0" w:line="276" w:lineRule="auto"/>
        <w:jc w:val="center"/>
      </w:pPr>
      <w:r>
        <w:rPr>
          <w:rFonts w:ascii="Times New Roman" w:hAnsi="Times New Roman"/>
          <w:b w:val="0"/>
          <w:i w:val="0"/>
          <w:sz w:val="28"/>
        </w:rPr>
        <w:t>08.00.07 – Moliya, pul muomalasi va kredit</w:t>
      </w:r>
    </w:p>
    <w:p>
      <w:pPr>
        <w:spacing w:after="0" w:before="0" w:line="276" w:lineRule="auto"/>
        <w:jc w:val="center"/>
      </w:pPr>
      <w:r>
        <w:rPr>
          <w:rFonts w:ascii="Times New Roman" w:hAnsi="Times New Roman"/>
          <w:b/>
          <w:i w:val="0"/>
          <w:sz w:val="28"/>
        </w:rPr>
        <w:t>Iqtisodiyot fanlari doktori (DSc)</w:t>
      </w:r>
    </w:p>
    <w:p>
      <w:pPr>
        <w:spacing w:after="0" w:before="0" w:line="276" w:lineRule="auto"/>
        <w:jc w:val="center"/>
      </w:pPr>
      <w:r>
        <w:rPr>
          <w:rFonts w:ascii="Times New Roman" w:hAnsi="Times New Roman"/>
          <w:b w:val="0"/>
          <w:i w:val="0"/>
          <w:sz w:val="28"/>
        </w:rPr>
        <w:t>ilmiy darajasini olish uchun yozilgan</w:t>
      </w:r>
    </w:p>
    <w:p>
      <w:pPr>
        <w:spacing w:after="720" w:before="160" w:line="276" w:lineRule="auto"/>
        <w:jc w:val="center"/>
      </w:pPr>
      <w:r>
        <w:rPr>
          <w:rFonts w:ascii="Times New Roman" w:hAnsi="Times New Roman"/>
          <w:b/>
          <w:i w:val="0"/>
          <w:sz w:val="32"/>
        </w:rPr>
        <w:t>DISSERTATSIYA</w:t>
      </w:r>
    </w:p>
    <w:p>
      <w:pPr>
        <w:spacing w:after="0" w:before="0" w:line="276" w:lineRule="auto"/>
        <w:jc w:val="right"/>
      </w:pPr>
      <w:r>
        <w:rPr>
          <w:b/>
          <w:sz w:val="28"/>
        </w:rPr>
        <w:t xml:space="preserve">Ilmiy rahbar: </w:t>
      </w:r>
      <w:r>
        <w:rPr>
          <w:sz w:val="28"/>
        </w:rPr>
        <w:t>Tulakov Ulug‘bek Toshmamatovich</w:t>
      </w:r>
    </w:p>
    <w:p>
      <w:pPr>
        <w:spacing w:after="960" w:before="0" w:line="276" w:lineRule="auto"/>
        <w:jc w:val="right"/>
      </w:pPr>
      <w:r>
        <w:rPr>
          <w:rFonts w:ascii="Times New Roman" w:hAnsi="Times New Roman"/>
          <w:b w:val="0"/>
          <w:i w:val="0"/>
          <w:sz w:val="28"/>
        </w:rPr>
        <w:t>iqtisodiyot fanlari doktori, professor</w:t>
      </w:r>
    </w:p>
    <w:p>
      <w:pPr>
        <w:spacing w:after="0" w:before="0" w:line="276" w:lineRule="auto"/>
        <w:jc w:val="center"/>
      </w:pPr>
      <w:r>
        <w:rPr>
          <w:rFonts w:ascii="Times New Roman" w:hAnsi="Times New Roman"/>
          <w:b w:val="0"/>
          <w:i w:val="0"/>
          <w:sz w:val="28"/>
        </w:rPr>
        <w:t>Toshkent – 2026</w:t>
      </w:r>
    </w:p>
    <w:p>
      <w:r>
        <w:br w:type="page"/>
      </w:r>
    </w:p>
    <w:p>
      <w:pPr>
        <w:spacing w:after="240" w:before="0" w:line="276" w:lineRule="auto"/>
        <w:jc w:val="center"/>
      </w:pPr>
      <w:r>
        <w:rPr>
          <w:rFonts w:ascii="Times New Roman" w:hAnsi="Times New Roman"/>
          <w:b/>
          <w:i w:val="0"/>
          <w:sz w:val="28"/>
        </w:rPr>
        <w:t>MUNDARIJA</w:t>
      </w:r>
    </w:p>
    <w:p>
      <w:pPr>
        <w:tabs>
          <w:tab w:pos="9354" w:val="right" w:leader="dot"/>
        </w:tabs>
        <w:spacing w:line="240" w:lineRule="auto" w:after="80"/>
        <w:ind w:left="0"/>
      </w:pPr>
      <w:r>
        <w:rPr>
          <w:rFonts w:ascii="Times New Roman" w:hAnsi="Times New Roman"/>
          <w:b/>
          <w:sz w:val="26"/>
        </w:rPr>
        <w:t>KIRISH</w:t>
        <w:tab/>
        <w:t>3</w:t>
      </w:r>
    </w:p>
    <w:p>
      <w:pPr>
        <w:tabs>
          <w:tab w:pos="9354" w:val="right" w:leader="dot"/>
        </w:tabs>
        <w:spacing w:line="240" w:lineRule="auto" w:after="80"/>
        <w:ind w:left="0"/>
      </w:pPr>
      <w:r>
        <w:rPr>
          <w:rFonts w:ascii="Times New Roman" w:hAnsi="Times New Roman"/>
          <w:b/>
          <w:sz w:val="26"/>
        </w:rPr>
        <w:t>I BOB. TIJORAT BANKLARI MOLIYAVIY BARQARORLIGINI BAHOLASHNING NAZARIY ASOSLARI VA XALQARO STANDARTLARI</w:t>
        <w:tab/>
        <w:t>17</w:t>
      </w:r>
    </w:p>
    <w:p>
      <w:pPr>
        <w:tabs>
          <w:tab w:pos="9354" w:val="right" w:leader="dot"/>
        </w:tabs>
        <w:spacing w:line="240" w:lineRule="auto" w:after="80"/>
        <w:ind w:left="454"/>
      </w:pPr>
      <w:r>
        <w:rPr>
          <w:rFonts w:ascii="Times New Roman" w:hAnsi="Times New Roman"/>
          <w:b w:val="0"/>
          <w:sz w:val="26"/>
        </w:rPr>
        <w:t>1.1-§. Tijorat banklari moliyaviy barqarorligining iqtisodiy mazmuni va konseptual modellari</w:t>
        <w:tab/>
        <w:t>17</w:t>
      </w:r>
    </w:p>
    <w:p>
      <w:pPr>
        <w:tabs>
          <w:tab w:pos="9354" w:val="right" w:leader="dot"/>
        </w:tabs>
        <w:spacing w:line="240" w:lineRule="auto" w:after="80"/>
        <w:ind w:left="454"/>
      </w:pPr>
      <w:r>
        <w:rPr>
          <w:rFonts w:ascii="Times New Roman" w:hAnsi="Times New Roman"/>
          <w:b w:val="0"/>
          <w:sz w:val="26"/>
        </w:rPr>
        <w:t>1.2-§. Banklar moliyaviy barqarorligini baholashning xalqaro standartlari va metodologik yondashuvlari</w:t>
        <w:tab/>
        <w:t>40</w:t>
      </w:r>
    </w:p>
    <w:p>
      <w:pPr>
        <w:tabs>
          <w:tab w:pos="9354" w:val="right" w:leader="dot"/>
        </w:tabs>
        <w:spacing w:line="240" w:lineRule="auto" w:after="80"/>
        <w:ind w:left="454"/>
      </w:pPr>
      <w:r>
        <w:rPr>
          <w:rFonts w:ascii="Times New Roman" w:hAnsi="Times New Roman"/>
          <w:b w:val="0"/>
          <w:sz w:val="26"/>
        </w:rPr>
        <w:t>1.3-§. Xorijiy mamlakatlarda banklar moliyaviy barqarorligini tartibga solish va baholash tajribasi</w:t>
        <w:tab/>
        <w:t>59</w:t>
      </w:r>
    </w:p>
    <w:p>
      <w:pPr>
        <w:tabs>
          <w:tab w:pos="9354" w:val="right" w:leader="dot"/>
        </w:tabs>
        <w:spacing w:line="240" w:lineRule="auto" w:after="80"/>
        <w:ind w:left="454"/>
      </w:pPr>
      <w:r>
        <w:rPr>
          <w:rFonts w:ascii="Times New Roman" w:hAnsi="Times New Roman"/>
          <w:b w:val="0"/>
          <w:sz w:val="26"/>
        </w:rPr>
        <w:t>I bob bo‘yicha xulosalar</w:t>
        <w:tab/>
        <w:t>83</w:t>
      </w:r>
    </w:p>
    <w:p>
      <w:pPr>
        <w:tabs>
          <w:tab w:pos="9354" w:val="right" w:leader="dot"/>
        </w:tabs>
        <w:spacing w:line="240" w:lineRule="auto" w:after="80"/>
        <w:ind w:left="0"/>
      </w:pPr>
      <w:r>
        <w:rPr>
          <w:rFonts w:ascii="Times New Roman" w:hAnsi="Times New Roman"/>
          <w:b/>
          <w:sz w:val="26"/>
        </w:rPr>
        <w:t>II BOB. O‘ZBEKISTON BANK TIZIMIDA MOLIYAVIY BARQARORLIKNI BAHOLASH AMALIYOTINING XALQARO STANDARTLARGA MUVOFIQLIGI TAHLILI</w:t>
        <w:tab/>
        <w:t>86</w:t>
      </w:r>
    </w:p>
    <w:p>
      <w:pPr>
        <w:tabs>
          <w:tab w:pos="9354" w:val="right" w:leader="dot"/>
        </w:tabs>
        <w:spacing w:line="240" w:lineRule="auto" w:after="80"/>
        <w:ind w:left="454"/>
      </w:pPr>
      <w:r>
        <w:rPr>
          <w:rFonts w:ascii="Times New Roman" w:hAnsi="Times New Roman"/>
          <w:b w:val="0"/>
          <w:sz w:val="26"/>
        </w:rPr>
        <w:t>2.1-§. Oʻzbekistonda banklar moliyaviy barqarorligini baholashning amaldagi holati va xalqaro standartlarga moslashtirish muammolari</w:t>
        <w:tab/>
        <w:t>86</w:t>
      </w:r>
    </w:p>
    <w:p>
      <w:pPr>
        <w:tabs>
          <w:tab w:pos="9354" w:val="right" w:leader="dot"/>
        </w:tabs>
        <w:spacing w:line="240" w:lineRule="auto" w:after="80"/>
        <w:ind w:left="454"/>
      </w:pPr>
      <w:r>
        <w:rPr>
          <w:rFonts w:ascii="Times New Roman" w:hAnsi="Times New Roman"/>
          <w:b w:val="0"/>
          <w:sz w:val="26"/>
        </w:rPr>
        <w:t>2.2-§. Oʻzbekiston bank tizimida moliyaviy barqarorlik koʻrsatkichlari dinamikasining xalqaro standartlar mezonlari boʻyicha tahlili</w:t>
        <w:tab/>
        <w:t>99</w:t>
      </w:r>
    </w:p>
    <w:p>
      <w:pPr>
        <w:tabs>
          <w:tab w:pos="9354" w:val="right" w:leader="dot"/>
        </w:tabs>
        <w:spacing w:line="240" w:lineRule="auto" w:after="80"/>
        <w:ind w:left="454"/>
      </w:pPr>
      <w:r>
        <w:rPr>
          <w:rFonts w:ascii="Times New Roman" w:hAnsi="Times New Roman"/>
          <w:b w:val="0"/>
          <w:sz w:val="26"/>
        </w:rPr>
        <w:t>2.3-§. Tijorat banklari moliyaviy ko‘rsatkichlarining milliy va MHXS hisobotlari bo‘yicha qiyosiy tahlili</w:t>
        <w:tab/>
        <w:t>117</w:t>
      </w:r>
    </w:p>
    <w:p>
      <w:pPr>
        <w:tabs>
          <w:tab w:pos="9354" w:val="right" w:leader="dot"/>
        </w:tabs>
        <w:spacing w:line="240" w:lineRule="auto" w:after="80"/>
        <w:ind w:left="454"/>
      </w:pPr>
      <w:r>
        <w:rPr>
          <w:rFonts w:ascii="Times New Roman" w:hAnsi="Times New Roman"/>
          <w:b w:val="0"/>
          <w:sz w:val="26"/>
        </w:rPr>
        <w:t>II bob bo‘yicha xulosalar</w:t>
        <w:tab/>
        <w:t>137</w:t>
      </w:r>
    </w:p>
    <w:p>
      <w:pPr>
        <w:tabs>
          <w:tab w:pos="9354" w:val="right" w:leader="dot"/>
        </w:tabs>
        <w:spacing w:line="240" w:lineRule="auto" w:after="80"/>
        <w:ind w:left="0"/>
      </w:pPr>
      <w:r>
        <w:rPr>
          <w:rFonts w:ascii="Times New Roman" w:hAnsi="Times New Roman"/>
          <w:b/>
          <w:sz w:val="26"/>
        </w:rPr>
        <w:t>III BOB. XALQARO STANDARTLARGA ASOSLANGAN INTEGRAL BAHOLASH METODIKASI VA UNING EKONOMETRIK ASOSLANISHI</w:t>
        <w:tab/>
        <w:t>140</w:t>
      </w:r>
    </w:p>
    <w:p>
      <w:pPr>
        <w:tabs>
          <w:tab w:pos="9354" w:val="right" w:leader="dot"/>
        </w:tabs>
        <w:spacing w:line="240" w:lineRule="auto" w:after="80"/>
        <w:ind w:left="454"/>
      </w:pPr>
      <w:r>
        <w:rPr>
          <w:rFonts w:ascii="Times New Roman" w:hAnsi="Times New Roman"/>
          <w:b w:val="0"/>
          <w:sz w:val="26"/>
        </w:rPr>
        <w:t>3.1-§. Moliyaviy barqarorlikni integral indeks asosida baholashning takomillashtirilgan metodikasi</w:t>
        <w:tab/>
        <w:t>140</w:t>
      </w:r>
    </w:p>
    <w:p>
      <w:pPr>
        <w:tabs>
          <w:tab w:pos="9354" w:val="right" w:leader="dot"/>
        </w:tabs>
        <w:spacing w:line="240" w:lineRule="auto" w:after="80"/>
        <w:ind w:left="454"/>
      </w:pPr>
      <w:r>
        <w:rPr>
          <w:rFonts w:ascii="Times New Roman" w:hAnsi="Times New Roman"/>
          <w:b w:val="0"/>
          <w:sz w:val="26"/>
        </w:rPr>
        <w:t>3.2-§. Tijorat banklari moliyaviy barqarorligini integral indeks asosida reyting baholash</w:t>
        <w:tab/>
        <w:t>156</w:t>
      </w:r>
    </w:p>
    <w:p>
      <w:pPr>
        <w:tabs>
          <w:tab w:pos="9354" w:val="right" w:leader="dot"/>
        </w:tabs>
        <w:spacing w:line="240" w:lineRule="auto" w:after="80"/>
        <w:ind w:left="454"/>
      </w:pPr>
      <w:r>
        <w:rPr>
          <w:rFonts w:ascii="Times New Roman" w:hAnsi="Times New Roman"/>
          <w:b w:val="0"/>
          <w:sz w:val="26"/>
        </w:rPr>
        <w:t>3.3-§. Tijorat banklari moliyaviy barqarorligiga ta’sir etuvchi omillarning ekonometrik tahlili</w:t>
        <w:tab/>
        <w:t>170</w:t>
      </w:r>
    </w:p>
    <w:p>
      <w:pPr>
        <w:tabs>
          <w:tab w:pos="9354" w:val="right" w:leader="dot"/>
        </w:tabs>
        <w:spacing w:line="240" w:lineRule="auto" w:after="80"/>
        <w:ind w:left="0"/>
      </w:pPr>
      <w:r>
        <w:rPr>
          <w:rFonts w:ascii="Times New Roman" w:hAnsi="Times New Roman"/>
          <w:b/>
          <w:sz w:val="26"/>
        </w:rPr>
        <w:t>IV BOB. TIJORAT BANKLARI MOLIYAVIY BARQARORLIGINI BAHOLASH METODOLOGIYASINI TAKOMILLASHTIRISH YO‘NALISHLARI</w:t>
        <w:tab/>
        <w:t>188</w:t>
      </w:r>
    </w:p>
    <w:p>
      <w:pPr>
        <w:tabs>
          <w:tab w:pos="9354" w:val="right" w:leader="dot"/>
        </w:tabs>
        <w:spacing w:line="240" w:lineRule="auto" w:after="80"/>
        <w:ind w:left="454"/>
      </w:pPr>
      <w:r>
        <w:rPr>
          <w:rFonts w:ascii="Times New Roman" w:hAnsi="Times New Roman"/>
          <w:b w:val="0"/>
          <w:sz w:val="26"/>
        </w:rPr>
        <w:t>4.1-§. Banklar moliyaviy barqarorligini erta ogohlantirish tizimini shakllantirish</w:t>
        <w:tab/>
        <w:t>188</w:t>
      </w:r>
    </w:p>
    <w:p>
      <w:pPr>
        <w:tabs>
          <w:tab w:pos="9354" w:val="right" w:leader="dot"/>
        </w:tabs>
        <w:spacing w:line="240" w:lineRule="auto" w:after="80"/>
        <w:ind w:left="454"/>
      </w:pPr>
      <w:r>
        <w:rPr>
          <w:rFonts w:ascii="Times New Roman" w:hAnsi="Times New Roman"/>
          <w:b w:val="0"/>
          <w:sz w:val="26"/>
        </w:rPr>
        <w:t>4.2-§. Tijorat banklari moliyaviy barqarorligining 2026–2028-yillarga prognozi</w:t>
        <w:tab/>
        <w:t>204</w:t>
      </w:r>
    </w:p>
    <w:bookmarkStart w:id="0" w:name="kirish"/>
    <w:p>
      <w:pPr>
        <w:pStyle w:val="Heading1"/>
        <w:keepNext/>
        <w:pageBreakBefore/>
        <w:spacing w:line="360" w:lineRule="auto" w:before="240" w:after="120"/>
        <w:ind w:firstLine="0"/>
        <w:jc w:val="center"/>
      </w:pPr>
      <w:r>
        <w:rPr>
          <w:rFonts w:ascii="Times New Roman" w:hAnsi="Times New Roman" w:cs="Times New Roman" w:eastAsia="Times New Roman"/>
          <w:b/>
          <w:i w:val="0"/>
          <w:sz w:val="28"/>
        </w:rPr>
        <w:t xml:space="preserve">KIRISH</w:t>
      </w:r>
    </w:p>
    <w:p>
      <w:pPr>
        <w:pStyle w:val="FirstParagraph"/>
        <w:spacing w:line="360" w:lineRule="auto" w:before="0" w:after="0"/>
        <w:ind w:firstLine="709"/>
        <w:jc w:val="both"/>
      </w:pPr>
      <w:r>
        <w:rPr>
          <w:bCs/>
          <w:rFonts w:ascii="Times New Roman" w:hAnsi="Times New Roman" w:cs="Times New Roman" w:eastAsia="Times New Roman"/>
          <w:b/>
          <w:sz w:val="28"/>
        </w:rPr>
        <w:t xml:space="preserve">Dissertatsiya mavzusining dolzarbligi va zarurati.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FootnoteReference"/>
        </w:rPr>
        <w:footnoteReference w:id="1"/>
      </w:r>
      <w:r>
        <w:rPr>
          <w:rFonts w:ascii="Times New Roman" w:hAnsi="Times New Roman" w:cs="Times New Roman" w:eastAsia="Times New Roman"/>
          <w:sz w:val="28"/>
        </w:rPr>
        <w:t xml:space="preserve">.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FootnoteReference"/>
        </w:rPr>
        <w:footnoteReference w:id="2"/>
      </w:r>
      <w:r>
        <w:rPr>
          <w:rFonts w:ascii="Times New Roman" w:hAnsi="Times New Roman" w:cs="Times New Roman" w:eastAsia="Times New Roman"/>
          <w:sz w:val="28"/>
        </w:rPr>
        <w:t xml:space="preserve">, Yevropa Ittifoqida Bazel III ning yakuniy talablari 2025-yil 1-yanvardan kuchga kirdi</w:t>
      </w:r>
      <w:r>
        <w:rPr>
          <w:rStyle w:val="FootnoteReference"/>
        </w:rPr>
        <w:footnoteReference w:id="3"/>
      </w:r>
      <w:r>
        <w:rPr>
          <w:rFonts w:ascii="Times New Roman" w:hAnsi="Times New Roman" w:cs="Times New Roman" w:eastAsia="Times New Roman"/>
          <w:sz w:val="28"/>
        </w:rPr>
        <w:t xml:space="preserve">, Buyuk Britaniyada esa ularni joriy etish 2027-yilga ko‘chirildi</w:t>
      </w:r>
      <w:r>
        <w:rPr>
          <w:rStyle w:val="FootnoteReference"/>
        </w:rPr>
        <w:footnoteReference w:id="4"/>
      </w:r>
      <w:r>
        <w:rPr>
          <w:rFonts w:ascii="Times New Roman" w:hAnsi="Times New Roman" w:cs="Times New Roman" w:eastAsia="Times New Roman"/>
          <w:sz w:val="28"/>
        </w:rPr>
        <w:t xml:space="preserve">.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takomillashtirishga qaratilgan ilmiy izlanishlarga alohida e’tibor qaratilmoqda. Xususan, moliyaviy barqarorlik ko‘rsatkichlarini xalqaro miqyosda taqqoslanadigan qilish</w:t>
      </w:r>
      <w:r>
        <w:rPr>
          <w:rStyle w:val="FootnoteReference"/>
        </w:rPr>
        <w:footnoteReference w:id="5"/>
      </w:r>
      <w:r>
        <w:rPr>
          <w:rFonts w:ascii="Times New Roman" w:hAnsi="Times New Roman" w:cs="Times New Roman" w:eastAsia="Times New Roman"/>
          <w:sz w:val="28"/>
        </w:rPr>
        <w:t xml:space="preserve">, bank kapitali va likvidligini tartibga solishda Bazel III talablarini milliy sharoitga moslashtirish, kredit riskini kutilayotgan zararlar asosida oldindan baholash</w:t>
      </w:r>
      <w:r>
        <w:rPr>
          <w:rStyle w:val="FootnoteReference"/>
        </w:rPr>
        <w:footnoteReference w:id="6"/>
      </w:r>
      <w:r>
        <w:rPr>
          <w:rFonts w:ascii="Times New Roman" w:hAnsi="Times New Roman" w:cs="Times New Roman" w:eastAsia="Times New Roman"/>
          <w:sz w:val="28"/>
        </w:rPr>
        <w:t xml:space="preserve">,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 tizimi so‘nggi yillarda jadal o‘sdi: 2026-yil 1-yanvar holatiga tijorat banklari aktivlari 924,8 trln so‘mni tashkil etdi, ammo davlat ulushi mavjud banklarning aktivlardagi ulushi hali ham 63,5 foiz darajasida saqlanib qolmoqda</w:t>
      </w:r>
      <w:r>
        <w:rPr>
          <w:rStyle w:val="FootnoteReference"/>
        </w:rPr>
        <w:footnoteReference w:id="7"/>
      </w:r>
      <w:r>
        <w:rPr>
          <w:rFonts w:ascii="Times New Roman" w:hAnsi="Times New Roman" w:cs="Times New Roman" w:eastAsia="Times New Roman"/>
          <w:sz w:val="28"/>
        </w:rPr>
        <w:t xml:space="preserve">. Rasmiy ko‘rsatkichlar bo‘yicha bank tizimining kapital yetarliligi 18,3 foizni, muammoli kreditlar ulushi 3 foizni tashkil etgan bo‘lsa</w:t>
      </w:r>
      <w:r>
        <w:rPr>
          <w:rStyle w:val="FootnoteReference"/>
        </w:rPr>
        <w:footnoteReference w:id="8"/>
      </w:r>
      <w:r>
        <w:rPr>
          <w:rFonts w:ascii="Times New Roman" w:hAnsi="Times New Roman" w:cs="Times New Roman" w:eastAsia="Times New Roman"/>
          <w:sz w:val="28"/>
        </w:rPr>
        <w:t xml:space="preserve">, substandart va muammoli kreditlarning umumiy ulushi 2024-yilda 21 foizga yetgan</w:t>
      </w:r>
      <w:r>
        <w:rPr>
          <w:rStyle w:val="FootnoteReference"/>
        </w:rPr>
        <w:footnoteReference w:id="9"/>
      </w:r>
      <w:r>
        <w:rPr>
          <w:rFonts w:ascii="Times New Roman" w:hAnsi="Times New Roman" w:cs="Times New Roman" w:eastAsia="Times New Roman"/>
          <w:sz w:val="28"/>
        </w:rPr>
        <w:t xml:space="preserve">.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FootnoteReference"/>
        </w:rPr>
        <w:footnoteReference w:id="10"/>
      </w:r>
      <w:r>
        <w:rPr>
          <w:rFonts w:ascii="Times New Roman" w:hAnsi="Times New Roman" w:cs="Times New Roman" w:eastAsia="Times New Roman"/>
          <w:sz w:val="28"/>
        </w:rP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FootnoteReference"/>
        </w:rPr>
        <w:footnoteReference w:id="11"/>
      </w:r>
      <w:r>
        <w:rPr>
          <w:rFonts w:ascii="Times New Roman" w:hAnsi="Times New Roman" w:cs="Times New Roman" w:eastAsia="Times New Roman"/>
          <w:sz w:val="28"/>
        </w:rPr>
        <w:t xml:space="preserve">. Demak, moliyaviy barqarorlikni baholash natijasi qaysi hisobot standarti va qaysi metodika qo‘llanishiga keskin bog‘liq bo‘lib, bu baholash metodologiyasini xalqaro standartlar asosida takomillashtirishni dolzarb vazifaga aylantiradi.</w:t>
      </w:r>
    </w:p>
    <w:p>
      <w:pPr>
        <w:pStyle w:val="BodyText"/>
        <w:spacing w:line="360" w:lineRule="auto" w:before="0" w:after="0"/>
        <w:ind w:firstLine="709"/>
        <w:jc w:val="both"/>
      </w:pPr>
      <w:r>
        <w:rPr>
          <w:rFonts w:ascii="Times New Roman" w:hAnsi="Times New Roman" w:cs="Times New Roman" w:eastAsia="Times New Roman"/>
          <w:sz w:val="28"/>
        </w:rPr>
        <w:t xml:space="preserve">Bank tizimini isloh qilish strategiyasida bank nazoratini xalqaro standartlarga muvofiqlashtirish, banklar faoliyatining shaffofligini oshirish va moliyaviy barqarorlikni mustahkamlash asosiy yo‘nalishlar sifatida belgilangan</w:t>
      </w:r>
      <w:r>
        <w:rPr>
          <w:rStyle w:val="FootnoteReference"/>
        </w:rPr>
        <w:footnoteReference w:id="12"/>
      </w:r>
      <w:r>
        <w:rPr>
          <w:rFonts w:ascii="Times New Roman" w:hAnsi="Times New Roman" w:cs="Times New Roman" w:eastAsia="Times New Roman"/>
          <w:sz w:val="28"/>
        </w:rPr>
        <w:t xml:space="preserve">. 2025-yilda kapital monandligiga qo‘yiladigan talablarning yangi tahriri qabul qilinib</w:t>
      </w:r>
      <w:r>
        <w:rPr>
          <w:rStyle w:val="FootnoteReference"/>
        </w:rPr>
        <w:footnoteReference w:id="13"/>
      </w:r>
      <w:r>
        <w:rPr>
          <w:rFonts w:ascii="Times New Roman" w:hAnsi="Times New Roman" w:cs="Times New Roman" w:eastAsia="Times New Roman"/>
          <w:sz w:val="28"/>
        </w:rPr>
        <w:t xml:space="preserve">, banklarni sanatsiya qilish va tugatish tartibi qonun bilan tartibga solindi</w:t>
      </w:r>
      <w:r>
        <w:rPr>
          <w:rStyle w:val="FootnoteReference"/>
        </w:rPr>
        <w:footnoteReference w:id="14"/>
      </w:r>
      <w:r>
        <w:rPr>
          <w:rFonts w:ascii="Times New Roman" w:hAnsi="Times New Roman" w:cs="Times New Roman" w:eastAsia="Times New Roman"/>
          <w:sz w:val="28"/>
        </w:rPr>
        <w:t xml:space="preserve">, moliya sektorini baholash dasturi tavsiyalarini 2025–2028-yillarda amalga oshirish bo‘yicha yo‘l xaritasi tasdiqlandi</w:t>
      </w:r>
      <w:r>
        <w:rPr>
          <w:rStyle w:val="FootnoteReference"/>
        </w:rPr>
        <w:footnoteReference w:id="15"/>
      </w:r>
      <w:r>
        <w:rPr>
          <w:rFonts w:ascii="Times New Roman" w:hAnsi="Times New Roman" w:cs="Times New Roman" w:eastAsia="Times New Roman"/>
          <w:sz w:val="28"/>
        </w:rPr>
        <w:t xml:space="preserve">. Bu vazifalarni amalga oshirishda banklar moliyaviy barqarorligini xalqaro standartlar asosida baholashning ilmiy asoslangan metodologiyasi zarur.</w:t>
      </w:r>
    </w:p>
    <w:p>
      <w:pPr>
        <w:pStyle w:val="BodyText"/>
        <w:spacing w:line="360" w:lineRule="auto" w:before="0" w:after="0"/>
        <w:ind w:firstLine="709"/>
        <w:jc w:val="both"/>
      </w:pPr>
      <w:r>
        <w:rPr>
          <w:rFonts w:ascii="Times New Roman" w:hAnsi="Times New Roman" w:cs="Times New Roman" w:eastAsia="Times New Roman"/>
          <w:sz w:val="28"/>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O‘zbekiston – 2030</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respublika fan va texnologiyalari rivojlanishining ustuvor yo‘nalishlariga mosligi.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Mazkur dissertatsiya tadqiqoti respublika fan va texnologiyalar rivojlanishining I. «Demokratik va huquqiy jamiyatni ma’naviy-axloqiy va madaniy rivojlantirish, innovatsion iqtisodiyotni shakllantirish» ustuvor yo‘nalishiga muvofiq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mavzusi bo‘yicha xorijiy ilmiy-tadqiqotlar sharhi</w:t>
      </w:r>
      <w:r>
        <w:rPr>
          <w:rStyle w:val="FootnoteReference"/>
        </w:rPr>
        <w:footnoteReference w:id="16"/>
      </w:r>
      <w:r>
        <w:rPr>
          <w:rFonts w:ascii="Times New Roman" w:hAnsi="Times New Roman" w:cs="Times New Roman" w:eastAsia="Times New Roman"/>
          <w:sz w:val="28"/>
        </w:rPr>
        <w:t xml:space="preserve">.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bo‘yicha olib borilgan izlanishlar natijasida quyidagi ilmiy natijalar olingan: banklar kapital va likvidligini tartibga solishning global standarti sifatida likvidlikni qoplash va sof barqaror moliyalashtirish me’yorlari ishlab chiqilib, kapital talablarining yakuniy tahriri qabul qilingan (Bazel qo‘mitasi)</w:t>
      </w:r>
      <w:r>
        <w:rPr>
          <w:rStyle w:val="FootnoteReference"/>
        </w:rPr>
        <w:footnoteReference w:id="17"/>
      </w:r>
      <w:r>
        <w:rPr>
          <w:rStyle w:val="FootnoteReference"/>
        </w:rPr>
        <w:footnoteReference w:id="18"/>
      </w:r>
      <w:r>
        <w:rPr>
          <w:rStyle w:val="FootnoteReference"/>
        </w:rPr>
        <w:footnoteReference w:id="19"/>
      </w:r>
      <w:r>
        <w:rPr>
          <w:rFonts w:ascii="Times New Roman" w:hAnsi="Times New Roman" w:cs="Times New Roman" w:eastAsia="Times New Roman"/>
          <w:sz w:val="28"/>
        </w:rPr>
        <w:t xml:space="preserve">; mamlakatlar o‘rtasida taqqoslanadigan 40 dan ortiq moliyaviy barqarorlik ko‘rsatkichlari va ularni hisoblash metodikasi ishlab chiqilgan (Xalqaro valyuta jamg‘armasi)</w:t>
      </w:r>
      <w:r>
        <w:rPr>
          <w:rStyle w:val="FootnoteReference"/>
        </w:rPr>
        <w:footnoteReference w:id="20"/>
      </w:r>
      <w:r>
        <w:rPr>
          <w:rFonts w:ascii="Times New Roman" w:hAnsi="Times New Roman" w:cs="Times New Roman" w:eastAsia="Times New Roman"/>
          <w:sz w:val="28"/>
        </w:rPr>
        <w:t xml:space="preserve">; kredit zararlarini yuzaga kelgandan keyin emas, balki kutilayotgan zararlar asosida uch bosqichli model bo‘yicha tan olish tamoyili joriy etilgan (Xalqaro buxgalteriya standartlari kengashi)</w:t>
      </w:r>
      <w:r>
        <w:rPr>
          <w:rStyle w:val="FootnoteReference"/>
        </w:rPr>
        <w:footnoteReference w:id="21"/>
      </w:r>
      <w:r>
        <w:rPr>
          <w:rFonts w:ascii="Times New Roman" w:hAnsi="Times New Roman" w:cs="Times New Roman" w:eastAsia="Times New Roman"/>
          <w:sz w:val="28"/>
        </w:rPr>
        <w:t xml:space="preserve">; 2023-yilgi bank inqirozlari tahlili asosida likvidlik me’yorlari va foiz riskini baholashni qayta ko‘rib chiqish zarurligi asoslangan (Bazel qo‘mitasi)</w:t>
      </w:r>
      <w:r>
        <w:rPr>
          <w:rStyle w:val="FootnoteReference"/>
        </w:rPr>
        <w:footnoteReference w:id="22"/>
      </w:r>
      <w:r>
        <w:rPr>
          <w:rFonts w:ascii="Times New Roman" w:hAnsi="Times New Roman" w:cs="Times New Roman" w:eastAsia="Times New Roman"/>
          <w:sz w:val="28"/>
        </w:rPr>
        <w:t xml:space="preserve">; yirik moliya institutlarini nazorat reytinglari tizimi va stress-testlar asosidagi kapital buferi talablari qayta ishlab chiqilgan (AQSh Federal rezerv tizimi)</w:t>
      </w:r>
      <w:r>
        <w:rPr>
          <w:rStyle w:val="FootnoteReference"/>
        </w:rPr>
        <w:footnoteReference w:id="23"/>
      </w:r>
      <w:r>
        <w:rPr>
          <w:rStyle w:val="FootnoteReference"/>
        </w:rPr>
        <w:footnoteReference w:id="24"/>
      </w:r>
      <w:r>
        <w:rPr>
          <w:rFonts w:ascii="Times New Roman" w:hAnsi="Times New Roman" w:cs="Times New Roman" w:eastAsia="Times New Roman"/>
          <w:sz w:val="28"/>
        </w:rPr>
        <w:t xml:space="preserve">; tizimli ahamiyatga ega banklar uchun milliy qisqa muddatli likvidlik me’yori va antitsiklik kapital buferi joriy etilgan (Rossiya Markaziy banki)</w:t>
      </w:r>
      <w:r>
        <w:rPr>
          <w:rStyle w:val="FootnoteReference"/>
        </w:rPr>
        <w:footnoteReference w:id="25"/>
      </w:r>
      <w:r>
        <w:rPr>
          <w:rStyle w:val="FootnoteReference"/>
        </w:rPr>
        <w:footnoteReference w:id="26"/>
      </w:r>
      <w:r>
        <w:rPr>
          <w:rFonts w:ascii="Times New Roman" w:hAnsi="Times New Roman" w:cs="Times New Roman" w:eastAsia="Times New Roman"/>
          <w:sz w:val="28"/>
        </w:rPr>
        <w:t xml:space="preserve">; tizimli bank inqirozlarining davomiyligi, fiskal xarajatlari va iqtisodiy yo‘qotishlari bo‘yicha xalqaro ma’lumotlar bazasi yaratilgan (Xalqaro valyuta jamg‘armasi)</w:t>
      </w:r>
      <w:r>
        <w:rPr>
          <w:rStyle w:val="FootnoteReference"/>
        </w:rPr>
        <w:footnoteReference w:id="27"/>
      </w:r>
      <w:r>
        <w:rPr>
          <w:rFonts w:ascii="Times New Roman" w:hAnsi="Times New Roman" w:cs="Times New Roman" w:eastAsia="Times New Roman"/>
          <w:sz w:val="28"/>
        </w:rPr>
        <w:t xml:space="preserve">; muammoli kreditlarni hisobdan chiqarish ularning rasmiy ulushini kamaytirsa-da, kredit riskini bartaraf etmasligi isbotlangan (Xitoy banklari misolida)</w:t>
      </w:r>
      <w:r>
        <w:rPr>
          <w:rStyle w:val="FootnoteReference"/>
        </w:rPr>
        <w:footnoteReference w:id="28"/>
      </w:r>
      <w:r>
        <w:rPr>
          <w:rFonts w:ascii="Times New Roman" w:hAnsi="Times New Roman" w:cs="Times New Roman" w:eastAsia="Times New Roman"/>
          <w:sz w:val="28"/>
        </w:rPr>
        <w:t xml:space="preserve">; O‘zbekiston bank tizimida muammoli kreditlarning to‘liq tan olinmasligi va davlat banklarida kapitalga qo‘shimcha ehtiyoj mavjudligi aniqlangan (Xalqaro valyuta jamg‘armasi va Jahon banki)</w:t>
      </w:r>
      <w:r>
        <w:rPr>
          <w:rStyle w:val="FootnoteReference"/>
        </w:rPr>
        <w:footnoteReference w:id="29"/>
      </w:r>
      <w:r>
        <w:rPr>
          <w:rStyle w:val="FootnoteReference"/>
        </w:rPr>
        <w:footnoteReference w:id="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pPr>
        <w:pStyle w:val="BodyText"/>
        <w:spacing w:line="360" w:lineRule="auto" w:before="0" w:after="0"/>
        <w:ind w:firstLine="709"/>
        <w:jc w:val="both"/>
      </w:pPr>
      <w:r>
        <w:rPr>
          <w:bCs/>
          <w:rFonts w:ascii="Times New Roman" w:hAnsi="Times New Roman" w:cs="Times New Roman" w:eastAsia="Times New Roman"/>
          <w:b/>
          <w:sz w:val="28"/>
        </w:rPr>
        <w:t xml:space="preserve">Muammoning o‘rganilganlik darajasi.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FootnoteReference"/>
        </w:rPr>
        <w:footnoteReference w:id="31"/>
      </w:r>
      <w:r>
        <w:rPr>
          <w:rStyle w:val="FootnoteReference"/>
        </w:rPr>
        <w:footnoteReference w:id="32"/>
      </w:r>
      <w:r>
        <w:rPr>
          <w:rStyle w:val="FootnoteReference"/>
        </w:rPr>
        <w:footnoteReference w:id="33"/>
      </w:r>
      <w:r>
        <w:rPr>
          <w:rStyle w:val="FootnoteReference"/>
        </w:rPr>
        <w:footnoteReference w:id="34"/>
      </w:r>
      <w:r>
        <w:rPr>
          <w:rStyle w:val="FootnoteReference"/>
        </w:rPr>
        <w:footnoteReference w:id="35"/>
      </w:r>
      <w:r>
        <w:rPr>
          <w:rStyle w:val="FootnoteReference"/>
        </w:rPr>
        <w:footnoteReference w:id="36"/>
      </w:r>
      <w:r>
        <w:rPr>
          <w:rStyle w:val="FootnoteReference"/>
        </w:rPr>
        <w:footnoteReference w:id="37"/>
      </w:r>
      <w:r>
        <w:rPr>
          <w:rStyle w:val="FootnoteReference"/>
        </w:rPr>
        <w:footnoteReference w:id="38"/>
      </w:r>
      <w:r>
        <w:rPr>
          <w:rStyle w:val="FootnoteReference"/>
        </w:rPr>
        <w:footnoteReference w:id="39"/>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MDH mamlakatlari olimlaridan O.I.Lavrushin, I.D.Mamonova, G.G.Fetisov, Ye.B.Gerasimova, Z.A.Timofeeva, I.V.Larionova, V.V.Ivanov, O.N.Afanasyeva, S.E.Dubova va boshqalarning ilmiy ishlarida banklar moliyaviy barqarorligini baholash usullari, bank tizimi barqarorligining mezonlari va bank faoliyatini tartibga solishda Bazel standartlarini qo‘llash masalalari o‘rganilgan</w:t>
      </w:r>
      <w:r>
        <w:rPr>
          <w:rStyle w:val="FootnoteReference"/>
        </w:rPr>
        <w:footnoteReference w:id="44"/>
      </w:r>
      <w:r>
        <w:rPr>
          <w:rStyle w:val="FootnoteReference"/>
        </w:rPr>
        <w:footnoteReference w:id="45"/>
      </w:r>
      <w:r>
        <w:rPr>
          <w:rStyle w:val="FootnoteReference"/>
        </w:rPr>
        <w:footnoteReference w:id="46"/>
      </w:r>
      <w:r>
        <w:rPr>
          <w:rStyle w:val="FootnoteReference"/>
        </w:rPr>
        <w:footnoteReference w:id="47"/>
      </w:r>
      <w:r>
        <w:rPr>
          <w:rStyle w:val="FootnoteReference"/>
        </w:rPr>
        <w:footnoteReference w:id="48"/>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FootnoteReference"/>
        </w:rPr>
        <w:footnoteReference w:id="50"/>
      </w:r>
      <w:r>
        <w:rPr>
          <w:rFonts w:ascii="Times New Roman" w:hAnsi="Times New Roman" w:cs="Times New Roman" w:eastAsia="Times New Roman"/>
          <w:sz w:val="28"/>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pPr>
        <w:pStyle w:val="BodyText"/>
        <w:spacing w:line="360" w:lineRule="auto" w:before="0" w:after="0"/>
        <w:ind w:firstLine="709"/>
        <w:jc w:val="both"/>
      </w:pPr>
      <w:r>
        <w:rPr>
          <w:rFonts w:ascii="Times New Roman" w:hAnsi="Times New Roman" w:cs="Times New Roman" w:eastAsia="Times New Roman"/>
          <w:sz w:val="28"/>
        </w:rPr>
        <w:t xml:space="preserve">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tadqiqotining dissertatsiya bajarilgan oliy ta’lim muassasasining ilmiy-tadqiqot ishlari rejalari bilan bog‘liqligi.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tadqiqoti [oliy ta’lim muassasasi nomi] ilmiy-tadqiqot ishlari rejasiga muvofiq «[ilmiy-tadqiqot mavzusi nomi]» mavzusi doirasida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maqsadi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takomillashtirishga qaratilgan ilmiy taklif va amaliy tavsiyalar ishlab chiqishdan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vazifalari: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konseptual modellari va unga oid ilmiy qarashlarni tadqiq etish hamda mualliflik ta’rifini shakllantirish;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baholashning nazariy asoslari va metodologik yondashuvlarini tasniflash;</w:t>
      </w:r>
    </w:p>
    <w:p>
      <w:pPr>
        <w:pStyle w:val="BodyText"/>
        <w:spacing w:line="360" w:lineRule="auto" w:before="0" w:after="0"/>
        <w:ind w:firstLine="709"/>
        <w:jc w:val="both"/>
      </w:pPr>
      <w:r>
        <w:rPr>
          <w:rFonts w:ascii="Times New Roman" w:hAnsi="Times New Roman" w:cs="Times New Roman" w:eastAsia="Times New Roman"/>
          <w:sz w:val="28"/>
        </w:rPr>
        <w:t xml:space="preserve">Bazel III, MHXS 9 va Xalqaro valyuta jamg‘armasining moliyaviy barqarorlik ko‘rsatkichlarini qiyosiy tavsiflash hamda xorijiy mamlakatlar tajribasini umumlashtirish;</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baholashning amaldagi holatini va milliy me’yorlarning xalqaro standartlardan chetlanishlarini aniqlash;</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tijorat banklarida moliyaviy barqarorlik ko‘rsatkichlari dinamikasini xalqaro standartlar mezonlari bo‘yicha tahlil qilish;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 milliy va MHXS hisobotlari bo‘yicha qiyosiy tahlil qilish;</w:t>
      </w:r>
    </w:p>
    <w:p>
      <w:pPr>
        <w:pStyle w:val="BodyText"/>
        <w:spacing w:line="360" w:lineRule="auto" w:before="0" w:after="0"/>
        <w:ind w:firstLine="709"/>
        <w:jc w:val="both"/>
      </w:pPr>
      <w:r>
        <w:rPr>
          <w:rFonts w:ascii="Times New Roman" w:hAnsi="Times New Roman" w:cs="Times New Roman" w:eastAsia="Times New Roman"/>
          <w:sz w:val="28"/>
        </w:rPr>
        <w:t xml:space="preserve">xalqaro standartlarga asoslangan moliyaviy barqarorlik integral indeksini ishlab chiqish va unga ta’sir etuvchi omillarni ekonometrik baholash;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erta ogohlantirish tizimini shakllantirish va uni o‘rta muddatli istiqbolda prognozlash;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amaliyotini xalqaro standartlarga muvofiqlashtirish bo‘yicha taklif va tavsiyalar ishlab chiqish.</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obyekti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sifatida O‘zbekiston Respublikasi tijorat banklari, jumladan, «O‘zsanoatqurilishbank» ATB va «Mikrokreditbank» ATB faoliyati tanlangan.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predmeti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jarayonida yuzaga keladigan iqtisodiy munosabatlar majmuidan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usullari.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Dissertatsiyada tizimli yondashuv, qiyosiy va tarkibiy tahlil, guruhlash va umumlashtirish, koeffitsiyentlar tahlili, indeks usuli, ekonometrik modellashtirish, stress-test, ssenariyli prognozlash va ekspert baholash usullaridan foydalanildi.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ilmiy yangiligi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asoslangan («O‘zsanoatqurilishbank» ATB misolida metodika farqi 5,4 foiz punktni, hisobot farqi esa 2,7 foiz punktni tashkil etgan);</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pPr>
        <w:pStyle w:val="BodyText"/>
        <w:spacing w:line="360" w:lineRule="auto" w:before="0" w:after="0"/>
        <w:ind w:firstLine="709"/>
        <w:jc w:val="both"/>
      </w:pPr>
      <w:r>
        <w:rPr>
          <w:rFonts w:ascii="Times New Roman" w:hAnsi="Times New Roman" w:cs="Times New Roman" w:eastAsia="Times New Roman"/>
          <w:sz w:val="28"/>
        </w:rPr>
        <w:t xml:space="preserve">MHXS 9 bo‘yicha qadrsizlangan kreditlar ulushining milliy hisobotdagi muammoli kreditlar ulushiga nisbati sifatida «yashirin kredit riski koeffitsiyenti»ni moliyaviy barqarorlikni baholash tizimiga kiritish va uning [__] dan yuqori qiymatini erta ogohlantirish signali sifatida belgilash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Bazel III kapital va likvidlik me’yorlari, MHXS 9 bo‘yicha aktivlar sifati va Xalqaro valyuta jamg‘armasi moliyaviy barqarorlik ko‘rsatkichlarini birlashtiruvchi moliyaviy barqarorlik integral indeksi va uning chegaraviy qiymatlari ishlab chiqilgan [3-bob natijalari bo‘yicha aniqlashtiriladi];</w:t>
      </w:r>
    </w:p>
    <w:p>
      <w:pPr>
        <w:pStyle w:val="BodyText"/>
        <w:spacing w:line="360" w:lineRule="auto" w:before="0" w:after="0"/>
        <w:ind w:firstLine="709"/>
        <w:jc w:val="both"/>
      </w:pPr>
      <w:r>
        <w:rPr>
          <w:rFonts w:ascii="Times New Roman" w:hAnsi="Times New Roman" w:cs="Times New Roman" w:eastAsia="Times New Roman"/>
          <w:sz w:val="28"/>
        </w:rPr>
        <w:t xml:space="preserve">[4-bob natijalari bo‘yicha: erta ogohlantirish tizimi yoki prognoz modeli bo‘yicha ilmiy yangilik].</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amaliy natijalari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kapital, aktivlar sifati, likvidlik va daromadlilik o‘rtasidagi muvozanatni hamda xalqaro standartlarda belgilangan chegaralarga nisbatan zaxirani hisobga oluvchi mualliflik ta’rifi ishlab chiqilgan;</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va «Mikrokreditbank» ATB misolida MHXS 9 bo‘yicha qadrsizlangan kreditlar ulushi 2021–2025-yillarda rasmiy muammoli kreditlar ulushidan mos ravishda 1,6–3,0 va 2,8–3,3 barobar yuqori bo‘lgani aniqlangan;</w:t>
      </w:r>
    </w:p>
    <w:p>
      <w:pPr>
        <w:pStyle w:val="BodyText"/>
        <w:spacing w:line="360" w:lineRule="auto" w:before="0" w:after="0"/>
        <w:ind w:firstLine="709"/>
        <w:jc w:val="both"/>
      </w:pPr>
      <w:r>
        <w:rPr>
          <w:rFonts w:ascii="Times New Roman" w:hAnsi="Times New Roman" w:cs="Times New Roman" w:eastAsia="Times New Roman"/>
          <w:sz w:val="28"/>
        </w:rPr>
        <w:t xml:space="preserve">Markaziy bankning 2709-son nizomi bo‘yicha sof barqaror moliyalashtirish me’yori hisob-kitobida barqaror moliyalashtirish manbai sifatida regulyativ kapital o‘rniga xususiy kapital olinishi me’yorni [__] foiz punktga o‘zgartirishi aniqlanib, hisoblash tartibini aniqlashtirish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likvidlik me’yorlari va ularning tarkibiy qismlarini Bazel III ning uchinchi ustuni talablariga muvofiq oshkor qilish tartibi taklif etilgan;</w:t>
      </w:r>
    </w:p>
    <w:p>
      <w:pPr>
        <w:pStyle w:val="BodyText"/>
        <w:spacing w:line="360" w:lineRule="auto" w:before="0" w:after="0"/>
        <w:ind w:firstLine="709"/>
        <w:jc w:val="both"/>
      </w:pPr>
      <w:r>
        <w:rPr>
          <w:rFonts w:ascii="Times New Roman" w:hAnsi="Times New Roman" w:cs="Times New Roman" w:eastAsia="Times New Roman"/>
          <w:sz w:val="28"/>
        </w:rPr>
        <w:t xml:space="preserve">[3–4-boblar natijalari bo‘yicha: integral indeks asosida banklar reytingi, erta ogohlantirish tizimi va 2026–2028-yillarga prognoz natijalari].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ishonchliligi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ilmiy va amaliy ahamiyati.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joriy qilinishi.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 bo‘yicha olingan ilmiy natijalar asosida:</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«yashirin kredit riski koeffitsiyenti»ni moliyaviy barqarorlikni baholash tizimiga kiritish va uning chegaraviy qiymatini erta ogohlantirish signali sifatida belgilash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aprobatsiyasi.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 [__] ta xalqaro va [__] ta respublika ilmiy-amaliy konferensiyalarida muhokamadan o‘tkazilgan.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e’lon qilinganligi.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Dissertatsiyaning tuzilishi va hajmi.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tarkibi kirish, to‘rtta bob, xulosa, foydalanilgan adabiyotlar ro‘yxati va ilovalardan iborat. Dissertatsiyaning hajmi [__] betni tashkil etgan.</w:t>
      </w:r>
    </w:p>
    <w:bookmarkEnd w:id="0"/>
    <w:p>
      <w:pPr>
        <w:pStyle w:val="Heading1"/>
        <w:pageBreakBefore/>
        <w:jc w:val="center"/>
      </w:pPr>
      <w:r>
        <w:t>I BOB. TIJORAT BANKLARI MOLIYAVIY BARQARORLIGINI BAHOLASHNING NAZARIY ASOSLARI VA XALQARO STANDARTLARI</w:t>
      </w:r>
    </w:p>
    <w:bookmarkStart w:id="1" w:name="X3bc3af2dd64aa3d859b43cc63eba0df007461c7"/>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1.1-§. Tijorat banklari moliyaviy barqarorligining iqtisodiy mazmuni va konseptual modellari</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FootnoteReference"/>
        </w:rPr>
        <w:footnoteReference w:id="51"/>
      </w:r>
      <w:r>
        <w:rPr>
          <w:rFonts w:ascii="Times New Roman" w:hAnsi="Times New Roman" w:cs="Times New Roman" w:eastAsia="Times New Roman"/>
          <w:sz w:val="28"/>
        </w:rPr>
        <w:t xml:space="preserve">.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pPr>
        <w:pStyle w:val="BodyText"/>
        <w:spacing w:line="360" w:lineRule="auto" w:before="0" w:after="0"/>
        <w:ind w:firstLine="709"/>
        <w:jc w:val="both"/>
      </w:pPr>
      <w:r>
        <w:rPr>
          <w:rFonts w:ascii="Times New Roman" w:hAnsi="Times New Roman" w:cs="Times New Roman" w:eastAsia="Times New Roman"/>
          <w:sz w:val="28"/>
        </w:rPr>
        <w:t xml:space="preserve">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tushunchasining mazmunini ochishni unga yaqin, ko‘pincha sinonim sifatida ishlatiladigan tushunchalardan farqlashdan boshlash 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FootnoteReference"/>
        </w:rPr>
        <w:footnoteReference w:id="52"/>
      </w:r>
      <w:r>
        <w:rPr>
          <w:rFonts w:ascii="Times New Roman" w:hAnsi="Times New Roman" w:cs="Times New Roman" w:eastAsia="Times New Roman"/>
          <w:sz w:val="28"/>
        </w:rPr>
        <w:t xml:space="preserve">. O.I. Lavrushin tahriridagi boshqa monografiyada bu qatorga yana ikki tushuncha – «ishonchlilik» va «muvozanat» qo‘shiladi va ularning har biri barqarorlikning alohida jihatini aks ettirishi ta’kidlanadi</w:t>
      </w:r>
      <w:r>
        <w:rPr>
          <w:rStyle w:val="FootnoteReference"/>
        </w:rPr>
        <w:footnoteReference w:id="53"/>
      </w:r>
      <w:r>
        <w:rPr>
          <w:rFonts w:ascii="Times New Roman" w:hAnsi="Times New Roman" w:cs="Times New Roman" w:eastAsia="Times New Roman"/>
          <w:sz w:val="28"/>
        </w:rPr>
        <w:t xml:space="preserve">. Ushbu tushunchalar o‘rtasidagi bog‘liqlik 1.1.1-rasmda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286000"/>
                <wp:effectExtent l="0" t="0" r="0" b="0"/>
                <wp:docPr id="1" name="1.1.1-rasm"/>
                <wp:cNvGraphicFramePr/>
                <a:graphic>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holatning saqlanishi;</w:t>
                              </w:r>
                            </w:p>
                            <w:p>
                              <w:pPr>
                                <w:spacing w:before="0" w:after="0" w:line="228" w:lineRule="auto"/>
                                <w:jc w:val="center"/>
                                <w:ind w:firstLine="0"/>
                              </w:pPr>
                              <w:r>
                                <w:rPr>
                                  <w:rFonts w:ascii="Times New Roman" w:hAnsi="Times New Roman" w:cs="Times New Roman"/>
                                  <w:color w:val="000000"/>
                                  <w:sz w:val="19"/>
                                  <w:szCs w:val="19"/>
                                </w:rPr>
                                <w:t xml:space="preserve">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majburiyatlarning</w:t>
                              </w:r>
                            </w:p>
                            <w:p>
                              <w:pPr>
                                <w:spacing w:before="0" w:after="0" w:line="228" w:lineRule="auto"/>
                                <w:jc w:val="center"/>
                                <w:ind w:firstLine="0"/>
                              </w:pPr>
                              <w:r>
                                <w:rPr>
                                  <w:rFonts w:ascii="Times New Roman" w:hAnsi="Times New Roman" w:cs="Times New Roman"/>
                                  <w:color w:val="000000"/>
                                  <w:sz w:val="19"/>
                                  <w:szCs w:val="19"/>
                                </w:rPr>
                                <w:t xml:space="preserve">o‘z vaqtida</w:t>
                              </w:r>
                            </w:p>
                            <w:p>
                              <w:pPr>
                                <w:spacing w:before="0" w:after="0" w:line="228" w:lineRule="auto"/>
                                <w:jc w:val="center"/>
                                <w:ind w:firstLine="0"/>
                              </w:pPr>
                              <w:r>
                                <w:rPr>
                                  <w:rFonts w:ascii="Times New Roman" w:hAnsi="Times New Roman" w:cs="Times New Roman"/>
                                  <w:color w:val="000000"/>
                                  <w:sz w:val="19"/>
                                  <w:szCs w:val="19"/>
                                </w:rPr>
                                <w:t xml:space="preserve">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kapital, aktivlar,</w:t>
                              </w:r>
                            </w:p>
                            <w:p>
                              <w:pPr>
                                <w:spacing w:before="0" w:after="0" w:line="228" w:lineRule="auto"/>
                                <w:jc w:val="center"/>
                                <w:ind w:firstLine="0"/>
                              </w:pPr>
                              <w:r>
                                <w:rPr>
                                  <w:rFonts w:ascii="Times New Roman" w:hAnsi="Times New Roman" w:cs="Times New Roman"/>
                                  <w:color w:val="000000"/>
                                  <w:sz w:val="19"/>
                                  <w:szCs w:val="19"/>
                                </w:rPr>
                                <w:t xml:space="preserve">majburiyatlar va</w:t>
                              </w:r>
                            </w:p>
                            <w:p>
                              <w:pPr>
                                <w:spacing w:before="0" w:after="0" w:line="228" w:lineRule="auto"/>
                                <w:jc w:val="center"/>
                                <w:ind w:firstLine="0"/>
                              </w:pPr>
                              <w:r>
                                <w:rPr>
                                  <w:rFonts w:ascii="Times New Roman" w:hAnsi="Times New Roman" w:cs="Times New Roman"/>
                                  <w:color w:val="000000"/>
                                  <w:sz w:val="19"/>
                                  <w:szCs w:val="19"/>
                                </w:rPr>
                                <w:t xml:space="preserve">foydaning mutanosib</w:t>
                              </w:r>
                            </w:p>
                            <w:p>
                              <w:pPr>
                                <w:spacing w:before="0" w:after="0" w:line="228" w:lineRule="auto"/>
                                <w:jc w:val="center"/>
                                <w:ind w:firstLine="0"/>
                              </w:pPr>
                              <w:r>
                                <w:rPr>
                                  <w:rFonts w:ascii="Times New Roman" w:hAnsi="Times New Roman" w:cs="Times New Roman"/>
                                  <w:color w:val="000000"/>
                                  <w:sz w:val="19"/>
                                  <w:szCs w:val="19"/>
                                </w:rPr>
                                <w:t xml:space="preserve">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resurslarni</w:t>
                              </w:r>
                            </w:p>
                            <w:p>
                              <w:pPr>
                                <w:spacing w:before="0" w:after="0" w:line="228" w:lineRule="auto"/>
                                <w:jc w:val="center"/>
                                <w:ind w:firstLine="0"/>
                              </w:pPr>
                              <w:r>
                                <w:rPr>
                                  <w:rFonts w:ascii="Times New Roman" w:hAnsi="Times New Roman" w:cs="Times New Roman"/>
                                  <w:color w:val="000000"/>
                                  <w:sz w:val="19"/>
                                  <w:szCs w:val="19"/>
                                </w:rPr>
                                <w:t xml:space="preserve">kengaytirilgan</w:t>
                              </w:r>
                            </w:p>
                            <w:p>
                              <w:pPr>
                                <w:spacing w:before="0" w:after="0" w:line="228" w:lineRule="auto"/>
                                <w:jc w:val="center"/>
                                <w:ind w:firstLine="0"/>
                              </w:pPr>
                              <w:r>
                                <w:rPr>
                                  <w:rFonts w:ascii="Times New Roman" w:hAnsi="Times New Roman" w:cs="Times New Roman"/>
                                  <w:color w:val="000000"/>
                                  <w:sz w:val="19"/>
                                  <w:szCs w:val="19"/>
                                </w:rPr>
                                <w:t xml:space="preserve">takror ishlab</w:t>
                              </w:r>
                            </w:p>
                            <w:p>
                              <w:pPr>
                                <w:spacing w:before="0" w:after="0" w:line="228" w:lineRule="auto"/>
                                <w:jc w:val="center"/>
                                <w:ind w:firstLine="0"/>
                              </w:pPr>
                              <w:r>
                                <w:rPr>
                                  <w:rFonts w:ascii="Times New Roman" w:hAnsi="Times New Roman" w:cs="Times New Roman"/>
                                  <w:color w:val="000000"/>
                                  <w:sz w:val="19"/>
                                  <w:szCs w:val="19"/>
                                </w:rPr>
                                <w:t xml:space="preserve">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w:t>
                              </w:r>
                            </w:p>
                            <w:p>
                              <w:pPr>
                                <w:spacing w:before="0" w:after="0" w:line="228" w:lineRule="auto"/>
                                <w:jc w:val="center"/>
                                <w:ind w:firstLine="0"/>
                              </w:pPr>
                              <w:r>
                                <w:rPr>
                                  <w:rFonts w:ascii="Times New Roman" w:hAnsi="Times New Roman" w:cs="Times New Roman"/>
                                  <w:b/>
                                  <w:color w:val="FFFFFF"/>
                                  <w:sz w:val="22"/>
                                  <w:szCs w:val="22"/>
                                </w:rPr>
                                <w:t xml:space="preserve">(natija,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Moliyaviy holat – muayyan sanadagi statik baho</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1.1.1-rasm. Moliyaviy barqarorlik va unga yaqin tushunchalarning o‘zaro bog‘liqligi</w:t>
      </w:r>
      <w:r>
        <w:rPr>
          <w:rStyle w:val="FootnoteReference"/>
        </w:rPr>
        <w:footnoteReference w:id="5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kelgusidagi beqarorlik manbaiga aylanadi. Demak, moliyaviy barqarorlik bu tushunchalarning yig‘indisi emas, balki ularning o‘zaro uyg‘unligi natijasida yuzaga keladigan sifat holatidir.</w:t>
      </w:r>
    </w:p>
    <w:p>
      <w:pPr>
        <w:pStyle w:val="BodyText"/>
        <w:spacing w:line="360" w:lineRule="auto" w:before="0" w:after="0"/>
        <w:ind w:firstLine="709"/>
        <w:jc w:val="both"/>
      </w:pPr>
      <w:r>
        <w:rPr>
          <w:rFonts w:ascii="Times New Roman" w:hAnsi="Times New Roman" w:cs="Times New Roman" w:eastAsia="Times New Roman"/>
          <w:sz w:val="28"/>
        </w:rP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FootnoteReference"/>
        </w:rPr>
        <w:footnoteReference w:id="55"/>
      </w:r>
      <w:r>
        <w:rPr>
          <w:rFonts w:ascii="Times New Roman" w:hAnsi="Times New Roman" w:cs="Times New Roman" w:eastAsia="Times New Roman"/>
          <w:sz w:val="28"/>
        </w:rPr>
        <w:t xml:space="preserve">. Bu fikr bilan to‘liq qo‘shilish mumkin, chunki bankning boshqa barcha barqarorlik turlari pirovardida uning moliyaviy natijalarida, kapitali va likvidligida o‘z aksini topadi.</w:t>
      </w:r>
    </w:p>
    <w:p>
      <w:pPr>
        <w:pStyle w:val="BodyText"/>
        <w:spacing w:line="360" w:lineRule="auto" w:before="0" w:after="0"/>
        <w:ind w:firstLine="709"/>
        <w:jc w:val="both"/>
      </w:pPr>
      <w:r>
        <w:rPr>
          <w:rFonts w:ascii="Times New Roman" w:hAnsi="Times New Roman" w:cs="Times New Roman" w:eastAsia="Times New Roman"/>
          <w:sz w:val="28"/>
        </w:rPr>
        <w:t xml:space="preserve">Tushunchaning chegaralari aniqlangach, uning ta’rifiga o‘tish mumkin. Iqtisodiy adabiyotda moliyaviy barqarorlikka berilgan ta’riflar juda ko‘p bo‘lib, ularni tahlil qilish natijasida ularning har biri muayyan jihatga urg‘u berishi aniqlandi (1.1.1-jadval).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tushunchasiga berilgan ta’riflarning qiyosiy tahlili</w:t>
      </w:r>
      <w:r>
        <w:rPr>
          <w:rStyle w:val="FootnoteReference"/>
        </w:rPr>
        <w:footnoteReference w:id="5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Muallif</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Ta’rifning asosiy mazmuni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Urg‘u berilgan jihat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I.D. Mamonova</w:t>
            </w:r>
          </w:p>
        </w:tc>
        <w:tc>
          <w:tcPr/>
          <w:p>
            <w:pPr>
              <w:pStyle w:val="Compact"/>
              <w:spacing w:line="240" w:lineRule="auto"/>
              <w:ind w:firstLine="0"/>
              <w:jc w:val="left"/>
            </w:pPr>
            <w:r>
              <w:rPr>
                <w:rFonts w:ascii="Times New Roman" w:hAnsi="Times New Roman" w:cs="Times New Roman" w:eastAsia="Times New Roman"/>
                <w:sz w:val="22"/>
              </w:rPr>
              <w:t xml:space="preserve">Bankning o‘z moliyasini va boshqa sub’ektlar moliyasini kengaytirilgan asosda takror ishlab chiqarishi</w:t>
            </w:r>
          </w:p>
        </w:tc>
        <w:tc>
          <w:tcPr/>
          <w:p>
            <w:pPr>
              <w:pStyle w:val="Compact"/>
              <w:spacing w:line="240" w:lineRule="auto"/>
              <w:ind w:firstLine="0"/>
              <w:jc w:val="left"/>
            </w:pPr>
            <w:r>
              <w:rPr>
                <w:rFonts w:ascii="Times New Roman" w:hAnsi="Times New Roman" w:cs="Times New Roman" w:eastAsia="Times New Roman"/>
                <w:sz w:val="22"/>
              </w:rPr>
              <w:t xml:space="preserve">Resurslarning o‘sishi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(tahr.)</w:t>
            </w:r>
          </w:p>
        </w:tc>
        <w:tc>
          <w:tcPr/>
          <w:p>
            <w:pPr>
              <w:pStyle w:val="Compact"/>
              <w:spacing w:line="240" w:lineRule="auto"/>
              <w:ind w:firstLine="0"/>
              <w:jc w:val="left"/>
            </w:pPr>
            <w:r>
              <w:rPr>
                <w:rFonts w:ascii="Times New Roman" w:hAnsi="Times New Roman" w:cs="Times New Roman" w:eastAsia="Times New Roman"/>
                <w:sz w:val="22"/>
              </w:rPr>
              <w:t xml:space="preserve">Bank tizimining ijtimoiy ehtiyojlarga muvofiq faoliyatni kengaytirilgan asosda takror ishlab chiqarishi bilan kechadigan rivojlanish xususiyati</w:t>
            </w:r>
          </w:p>
        </w:tc>
        <w:tc>
          <w:tcPr/>
          <w:p>
            <w:pPr>
              <w:pStyle w:val="Compact"/>
              <w:spacing w:line="240" w:lineRule="auto"/>
              <w:ind w:firstLine="0"/>
              <w:jc w:val="left"/>
            </w:pPr>
            <w:r>
              <w:rPr>
                <w:rFonts w:ascii="Times New Roman" w:hAnsi="Times New Roman" w:cs="Times New Roman" w:eastAsia="Times New Roman"/>
                <w:sz w:val="22"/>
              </w:rPr>
              <w:t xml:space="preserve">Ijtimoiy funksiya va institutsional yondashuv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G.J. Schinasi</w:t>
            </w:r>
          </w:p>
        </w:tc>
        <w:tc>
          <w:tcPr/>
          <w:p>
            <w:pPr>
              <w:pStyle w:val="Compact"/>
              <w:spacing w:line="240" w:lineRule="auto"/>
              <w:ind w:firstLine="0"/>
              <w:jc w:val="left"/>
            </w:pPr>
            <w:r>
              <w:rPr>
                <w:rFonts w:ascii="Times New Roman" w:hAnsi="Times New Roman" w:cs="Times New Roman" w:eastAsia="Times New Roman"/>
                <w:sz w:val="22"/>
              </w:rPr>
              <w:t xml:space="preserve">Moliya tizimining resurslarni samarali taqsimlash, risklarni baholash va boshqarish hamda shoklarni yutish qobiliyati</w:t>
            </w:r>
          </w:p>
        </w:tc>
        <w:tc>
          <w:tcPr/>
          <w:p>
            <w:pPr>
              <w:pStyle w:val="Compact"/>
              <w:spacing w:line="240" w:lineRule="auto"/>
              <w:ind w:firstLine="0"/>
              <w:jc w:val="left"/>
            </w:pPr>
            <w:r>
              <w:rPr>
                <w:rFonts w:ascii="Times New Roman" w:hAnsi="Times New Roman" w:cs="Times New Roman" w:eastAsia="Times New Roman"/>
                <w:sz w:val="22"/>
              </w:rPr>
              <w:t xml:space="preserve">Funksiyalarni bajarish va shoklarga chidamlilik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F.S. Mishkin</w:t>
            </w:r>
          </w:p>
        </w:tc>
        <w:tc>
          <w:tcPr/>
          <w:p>
            <w:pPr>
              <w:pStyle w:val="Compact"/>
              <w:spacing w:line="240" w:lineRule="auto"/>
              <w:ind w:firstLine="0"/>
              <w:jc w:val="left"/>
            </w:pPr>
            <w:r>
              <w:rPr>
                <w:rFonts w:ascii="Times New Roman" w:hAnsi="Times New Roman" w:cs="Times New Roman" w:eastAsia="Times New Roman"/>
                <w:sz w:val="22"/>
              </w:rPr>
              <w:t xml:space="preserve">Axborot oqimining uzilishi natijasida moliya tizimi mablag‘larni samarali yo‘naltira olmay qoladigan holatning yo‘qligi</w:t>
            </w:r>
          </w:p>
        </w:tc>
        <w:tc>
          <w:tcPr/>
          <w:p>
            <w:pPr>
              <w:pStyle w:val="Compact"/>
              <w:spacing w:line="240" w:lineRule="auto"/>
              <w:ind w:firstLine="0"/>
              <w:jc w:val="left"/>
            </w:pPr>
            <w:r>
              <w:rPr>
                <w:rFonts w:ascii="Times New Roman" w:hAnsi="Times New Roman" w:cs="Times New Roman" w:eastAsia="Times New Roman"/>
                <w:sz w:val="22"/>
              </w:rPr>
              <w:t xml:space="preserve">Axborot asimmetriyasi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J.M. Hendrickson</w:t>
            </w:r>
          </w:p>
        </w:tc>
        <w:tc>
          <w:tcPr/>
          <w:p>
            <w:pPr>
              <w:pStyle w:val="Compact"/>
              <w:spacing w:line="240" w:lineRule="auto"/>
              <w:ind w:firstLine="0"/>
              <w:jc w:val="left"/>
            </w:pPr>
            <w:r>
              <w:rPr>
                <w:rFonts w:ascii="Times New Roman" w:hAnsi="Times New Roman" w:cs="Times New Roman" w:eastAsia="Times New Roman"/>
                <w:sz w:val="22"/>
              </w:rPr>
              <w:t xml:space="preserve">Asosiy moliya institutlari tashqi yordamsiz foydalanuvchilarda yuqori ishonch uyg‘otadigan holat</w:t>
            </w:r>
          </w:p>
        </w:tc>
        <w:tc>
          <w:tcPr/>
          <w:p>
            <w:pPr>
              <w:pStyle w:val="Compact"/>
              <w:spacing w:line="240" w:lineRule="auto"/>
              <w:ind w:firstLine="0"/>
              <w:jc w:val="left"/>
            </w:pPr>
            <w:r>
              <w:rPr>
                <w:rFonts w:ascii="Times New Roman" w:hAnsi="Times New Roman" w:cs="Times New Roman" w:eastAsia="Times New Roman"/>
                <w:sz w:val="22"/>
              </w:rPr>
              <w:t xml:space="preserve">Ishonch va mustaqillik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A.V. Thakor</w:t>
            </w:r>
          </w:p>
        </w:tc>
        <w:tc>
          <w:tcPr/>
          <w:p>
            <w:pPr>
              <w:pStyle w:val="Compact"/>
              <w:spacing w:line="240" w:lineRule="auto"/>
              <w:ind w:firstLine="0"/>
              <w:jc w:val="left"/>
            </w:pPr>
            <w:r>
              <w:rPr>
                <w:rFonts w:ascii="Times New Roman" w:hAnsi="Times New Roman" w:cs="Times New Roman" w:eastAsia="Times New Roman"/>
                <w:sz w:val="22"/>
              </w:rPr>
              <w:t xml:space="preserve">Sog‘lom tizim inqirozdan butunlay himoyalangan tizim emas; unda alohida banklar davlat yordamisiz bankrot bo‘lishi mumkin</w:t>
            </w:r>
          </w:p>
        </w:tc>
        <w:tc>
          <w:tcPr/>
          <w:p>
            <w:pPr>
              <w:pStyle w:val="Compact"/>
              <w:spacing w:line="240" w:lineRule="auto"/>
              <w:ind w:firstLine="0"/>
              <w:jc w:val="left"/>
            </w:pPr>
            <w:r>
              <w:rPr>
                <w:rFonts w:ascii="Times New Roman" w:hAnsi="Times New Roman" w:cs="Times New Roman" w:eastAsia="Times New Roman"/>
                <w:sz w:val="22"/>
              </w:rPr>
              <w:t xml:space="preserve">Tizim darajasidagi sog‘lomlik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G.G. Fetisov</w:t>
            </w:r>
          </w:p>
        </w:tc>
        <w:tc>
          <w:tcPr/>
          <w:p>
            <w:pPr>
              <w:pStyle w:val="Compact"/>
              <w:spacing w:line="240" w:lineRule="auto"/>
              <w:ind w:firstLine="0"/>
              <w:jc w:val="left"/>
            </w:pPr>
            <w:r>
              <w:rPr>
                <w:rFonts w:ascii="Times New Roman" w:hAnsi="Times New Roman" w:cs="Times New Roman" w:eastAsia="Times New Roman"/>
                <w:sz w:val="22"/>
              </w:rPr>
              <w:t xml:space="preserve">Bankning o‘zgaruvchan tashqi va ichki omillar sharoitida mijozlar, kreditorlar va omonatchilar oldidagi majburiyatlarini bajarish qobiliyati</w:t>
            </w:r>
          </w:p>
        </w:tc>
        <w:tc>
          <w:tcPr/>
          <w:p>
            <w:pPr>
              <w:pStyle w:val="Compact"/>
              <w:spacing w:line="240" w:lineRule="auto"/>
              <w:ind w:firstLine="0"/>
              <w:jc w:val="left"/>
            </w:pPr>
            <w:r>
              <w:rPr>
                <w:rFonts w:ascii="Times New Roman" w:hAnsi="Times New Roman" w:cs="Times New Roman" w:eastAsia="Times New Roman"/>
                <w:sz w:val="22"/>
              </w:rPr>
              <w:t xml:space="preserve">Muvozanat va majburiyatlarni bajarish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I.V. Larionova</w:t>
            </w:r>
          </w:p>
        </w:tc>
        <w:tc>
          <w:tcPr/>
          <w:p>
            <w:pPr>
              <w:pStyle w:val="Compact"/>
              <w:spacing w:line="240" w:lineRule="auto"/>
              <w:ind w:firstLine="0"/>
              <w:jc w:val="left"/>
            </w:pPr>
            <w:r>
              <w:rPr>
                <w:rFonts w:ascii="Times New Roman" w:hAnsi="Times New Roman" w:cs="Times New Roman" w:eastAsia="Times New Roman"/>
                <w:sz w:val="22"/>
              </w:rPr>
              <w:t xml:space="preserve">Ichki va tashqi ta’sirlarga qarshi turish, uzoq davr davomida barqaror muvozanat va ishonchlilikni saqlash qobiliyati</w:t>
            </w:r>
          </w:p>
        </w:tc>
        <w:tc>
          <w:tcPr/>
          <w:p>
            <w:pPr>
              <w:pStyle w:val="Compact"/>
              <w:spacing w:line="240" w:lineRule="auto"/>
              <w:ind w:firstLine="0"/>
              <w:jc w:val="left"/>
            </w:pPr>
            <w:r>
              <w:rPr>
                <w:rFonts w:ascii="Times New Roman" w:hAnsi="Times New Roman" w:cs="Times New Roman" w:eastAsia="Times New Roman"/>
                <w:sz w:val="22"/>
              </w:rPr>
              <w:t xml:space="preserve">Uzoq muddatli muvozanat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 Houben, J. Kakes, G. Schinasi</w:t>
            </w:r>
          </w:p>
        </w:tc>
        <w:tc>
          <w:tcPr/>
          <w:p>
            <w:pPr>
              <w:pStyle w:val="Compact"/>
              <w:spacing w:line="240" w:lineRule="auto"/>
              <w:ind w:firstLine="0"/>
              <w:jc w:val="left"/>
            </w:pPr>
            <w:r>
              <w:rPr>
                <w:rFonts w:ascii="Times New Roman" w:hAnsi="Times New Roman" w:cs="Times New Roman" w:eastAsia="Times New Roman"/>
                <w:sz w:val="22"/>
              </w:rPr>
              <w:t xml:space="preserve">Resurslarni samarali taqsimlash, risklarni boshqarish va shoklarni yutish qobiliyati ko‘p o‘lchovli «barqarorlik yo‘lagi» doirasida</w:t>
            </w:r>
          </w:p>
        </w:tc>
        <w:tc>
          <w:tcPr/>
          <w:p>
            <w:pPr>
              <w:pStyle w:val="Compact"/>
              <w:spacing w:line="240" w:lineRule="auto"/>
              <w:ind w:firstLine="0"/>
              <w:jc w:val="left"/>
            </w:pPr>
            <w:r>
              <w:rPr>
                <w:rFonts w:ascii="Times New Roman" w:hAnsi="Times New Roman" w:cs="Times New Roman" w:eastAsia="Times New Roman"/>
                <w:sz w:val="22"/>
              </w:rPr>
              <w:t xml:space="preserve">Mezoniy chegaralar (yo‘lak)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O.B. Sattarov</w:t>
            </w:r>
          </w:p>
        </w:tc>
        <w:tc>
          <w:tcPr/>
          <w:p>
            <w:pPr>
              <w:pStyle w:val="Compact"/>
              <w:spacing w:line="240" w:lineRule="auto"/>
              <w:ind w:firstLine="0"/>
              <w:jc w:val="left"/>
            </w:pPr>
            <w:r>
              <w:rPr>
                <w:rFonts w:ascii="Times New Roman" w:hAnsi="Times New Roman" w:cs="Times New Roman" w:eastAsia="Times New Roman"/>
                <w:sz w:val="22"/>
              </w:rPr>
              <w:t xml:space="preserve">Markaziy bank va tijorat banklari o‘z funksiyalarini to‘laqonli bajara olishini ta’minlaydigan darajani saqlagan holda rivojlanishga intilish (bank tizimi barqarorligi)</w:t>
            </w:r>
          </w:p>
        </w:tc>
        <w:tc>
          <w:tcPr/>
          <w:p>
            <w:pPr>
              <w:pStyle w:val="Compact"/>
              <w:spacing w:line="240" w:lineRule="auto"/>
              <w:ind w:firstLine="0"/>
              <w:jc w:val="left"/>
            </w:pPr>
            <w:r>
              <w:rPr>
                <w:rFonts w:ascii="Times New Roman" w:hAnsi="Times New Roman" w:cs="Times New Roman" w:eastAsia="Times New Roman"/>
                <w:sz w:val="22"/>
              </w:rPr>
              <w:t xml:space="preserve">Dinamika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I.G. Sadikov</w:t>
            </w:r>
          </w:p>
        </w:tc>
        <w:tc>
          <w:tcPr/>
          <w:p>
            <w:pPr>
              <w:pStyle w:val="Compact"/>
              <w:spacing w:line="240" w:lineRule="auto"/>
              <w:ind w:firstLine="0"/>
              <w:jc w:val="left"/>
            </w:pPr>
            <w:r>
              <w:rPr>
                <w:rFonts w:ascii="Times New Roman" w:hAnsi="Times New Roman" w:cs="Times New Roman" w:eastAsia="Times New Roman"/>
                <w:sz w:val="22"/>
              </w:rPr>
              <w:t xml:space="preserve">Bankning foyda olish jarayonida bozordagi mavqeini mustahkamlash orqali ichki va tashqi muhitning salbiy oqibatlariga qarshi tura olish qobiliyati</w:t>
            </w:r>
          </w:p>
        </w:tc>
        <w:tc>
          <w:tcPr/>
          <w:p>
            <w:pPr>
              <w:pStyle w:val="Compact"/>
              <w:spacing w:line="240" w:lineRule="auto"/>
              <w:ind w:firstLine="0"/>
              <w:jc w:val="left"/>
            </w:pPr>
            <w:r>
              <w:rPr>
                <w:rFonts w:ascii="Times New Roman" w:hAnsi="Times New Roman" w:cs="Times New Roman" w:eastAsia="Times New Roman"/>
                <w:sz w:val="22"/>
              </w:rPr>
              <w:t xml:space="preserve">Daromadlilik va bozor mavqei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 Madaminov</w:t>
            </w:r>
          </w:p>
        </w:tc>
        <w:tc>
          <w:tcPr/>
          <w:p>
            <w:pPr>
              <w:pStyle w:val="Compact"/>
              <w:spacing w:line="240" w:lineRule="auto"/>
              <w:ind w:firstLine="0"/>
              <w:jc w:val="left"/>
            </w:pPr>
            <w:r>
              <w:rPr>
                <w:rFonts w:ascii="Times New Roman" w:hAnsi="Times New Roman" w:cs="Times New Roman" w:eastAsia="Times New Roman"/>
                <w:sz w:val="22"/>
              </w:rPr>
              <w:t xml:space="preserve">Endogen va ekzogen shoklarni yutib, faoliyatni to‘xtatmasdan muvozanatni tiklash salohiyatini aks ettiruvchi dinamik xususiyat</w:t>
            </w:r>
          </w:p>
        </w:tc>
        <w:tc>
          <w:tcPr/>
          <w:p>
            <w:pPr>
              <w:pStyle w:val="Compact"/>
              <w:spacing w:line="240" w:lineRule="auto"/>
              <w:ind w:firstLine="0"/>
              <w:jc w:val="left"/>
            </w:pPr>
            <w:r>
              <w:rPr>
                <w:rFonts w:ascii="Times New Roman" w:hAnsi="Times New Roman" w:cs="Times New Roman" w:eastAsia="Times New Roman"/>
                <w:sz w:val="22"/>
              </w:rPr>
              <w:t xml:space="preserve">Shoklarga bardoshlilik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N.H. Sharipova</w:t>
            </w:r>
          </w:p>
        </w:tc>
        <w:tc>
          <w:tcPr/>
          <w:p>
            <w:pPr>
              <w:pStyle w:val="Compact"/>
              <w:spacing w:line="240" w:lineRule="auto"/>
              <w:ind w:firstLine="0"/>
              <w:jc w:val="left"/>
            </w:pPr>
            <w:r>
              <w:rPr>
                <w:rFonts w:ascii="Times New Roman" w:hAnsi="Times New Roman" w:cs="Times New Roman" w:eastAsia="Times New Roman"/>
                <w:sz w:val="22"/>
              </w:rPr>
              <w:t xml:space="preserve">Bankning o‘z funksiyalarini beqaror iqtisodiy sharoitlarda ham uzluksiz va samarali bajarishini ta’minlaydigan tizimli va dinamik holat</w:t>
            </w:r>
          </w:p>
        </w:tc>
        <w:tc>
          <w:tcPr/>
          <w:p>
            <w:pPr>
              <w:pStyle w:val="Compact"/>
              <w:spacing w:line="240" w:lineRule="auto"/>
              <w:ind w:firstLine="0"/>
              <w:jc w:val="left"/>
            </w:pPr>
            <w:r>
              <w:rPr>
                <w:rFonts w:ascii="Times New Roman" w:hAnsi="Times New Roman" w:cs="Times New Roman" w:eastAsia="Times New Roman"/>
                <w:sz w:val="22"/>
              </w:rPr>
              <w:t xml:space="preserve">Uzluksizlik va dinamika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FootnoteReference"/>
        </w:rPr>
        <w:footnoteReference w:id="57"/>
      </w:r>
      <w:r>
        <w:rPr>
          <w:rFonts w:ascii="Times New Roman" w:hAnsi="Times New Roman" w:cs="Times New Roman" w:eastAsia="Times New Roman"/>
          <w:sz w:val="28"/>
        </w:rPr>
        <w:t xml:space="preserve">. Monografiyada esa bank ijtimoiy institut sifatida qaraladi va uning barqarorligi jamiyat ehtiyojlariga mosligi bilan o‘lchanadi</w:t>
      </w:r>
      <w:r>
        <w:rPr>
          <w:rStyle w:val="FootnoteReference"/>
        </w:rPr>
        <w:footnoteReference w:id="5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FootnoteReference"/>
        </w:rPr>
        <w:footnoteReference w:id="59"/>
      </w:r>
      <w:r>
        <w:rPr>
          <w:rFonts w:ascii="Times New Roman" w:hAnsi="Times New Roman" w:cs="Times New Roman" w:eastAsia="Times New Roman"/>
          <w:sz w:val="28"/>
        </w:rPr>
        <w:t xml:space="preserve">.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FootnoteReference"/>
        </w:rPr>
        <w:footnoteReference w:id="60"/>
      </w:r>
      <w:r>
        <w:rPr>
          <w:rFonts w:ascii="Times New Roman" w:hAnsi="Times New Roman" w:cs="Times New Roman" w:eastAsia="Times New Roman"/>
          <w:sz w:val="28"/>
        </w:rPr>
        <w:t xml:space="preserve">.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FootnoteReference"/>
        </w:rPr>
        <w:footnoteReference w:id="61"/>
      </w:r>
      <w:r>
        <w:rPr>
          <w:rFonts w:ascii="Times New Roman" w:hAnsi="Times New Roman" w:cs="Times New Roman" w:eastAsia="Times New Roman"/>
          <w:sz w:val="28"/>
        </w:rPr>
        <w:t xml:space="preserve">. Bu fikr muhim xulosaga olib keladi: me’yoriy ko‘rsatkichlar barqarorlikning yetarli emas, balki zaruriy mezoni bo‘lib, ularni dinamika va risk omillari bilan to‘ldirish talab etiladi.</w:t>
      </w:r>
    </w:p>
    <w:p>
      <w:pPr>
        <w:pStyle w:val="BodyText"/>
        <w:spacing w:line="360" w:lineRule="auto" w:before="0" w:after="0"/>
        <w:ind w:firstLine="709"/>
        <w:jc w:val="both"/>
      </w:pPr>
      <w:r>
        <w:rPr>
          <w:rFonts w:ascii="Times New Roman" w:hAnsi="Times New Roman" w:cs="Times New Roman" w:eastAsia="Times New Roman"/>
          <w:sz w:val="28"/>
        </w:rPr>
        <w:t xml:space="preserve">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FootnoteReference"/>
        </w:rPr>
        <w:footnoteReference w:id="62"/>
      </w:r>
      <w:r>
        <w:rPr>
          <w:rFonts w:ascii="Times New Roman" w:hAnsi="Times New Roman" w:cs="Times New Roman" w:eastAsia="Times New Roman"/>
          <w:sz w:val="28"/>
        </w:rPr>
        <w:t xml:space="preserve">. F.S. Mishkin esa beqarorlikdan kelib chiqib, uni axborot oqimining keskin uzilishi natijasida moliya tizimi mablag‘larni eng samarali investitsiya imkoniyatlariga yo‘naltira olmay qoladigan holat sifatida izohlaydi</w:t>
      </w:r>
      <w:r>
        <w:rPr>
          <w:rStyle w:val="FootnoteReference"/>
        </w:rPr>
        <w:footnoteReference w:id="63"/>
      </w:r>
      <w:r>
        <w:rPr>
          <w:rFonts w:ascii="Times New Roman" w:hAnsi="Times New Roman" w:cs="Times New Roman" w:eastAsia="Times New Roman"/>
          <w:sz w:val="28"/>
        </w:rPr>
        <w:t xml:space="preserve">.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FootnoteReference"/>
        </w:rPr>
        <w:footnoteReference w:id="6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FootnoteReference"/>
        </w:rPr>
        <w:footnoteReference w:id="65"/>
      </w:r>
      <w:r>
        <w:rPr>
          <w:rFonts w:ascii="Times New Roman" w:hAnsi="Times New Roman" w:cs="Times New Roman" w:eastAsia="Times New Roman"/>
          <w:sz w:val="28"/>
        </w:rPr>
        <w:t xml:space="preserve">. Yevropa Markaziy banki ham moliyaviy barqarorlikni moliyaviy vositachilar, bozorlar va bozor infratuzilmasidan iborat moliya tizimining shoklarga va moliyaviy nomutanosibliklarning yechilishiga bardosh bera olishi bilan ta’riflaydi</w:t>
      </w:r>
      <w:r>
        <w:rPr>
          <w:rStyle w:val="FootnoteReference"/>
        </w:rPr>
        <w:footnoteReference w:id="66"/>
      </w:r>
      <w:r>
        <w:rPr>
          <w:rFonts w:ascii="Times New Roman" w:hAnsi="Times New Roman" w:cs="Times New Roman" w:eastAsia="Times New Roman"/>
          <w:sz w:val="28"/>
        </w:rPr>
        <w:t xml:space="preserve">.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FootnoteReference"/>
        </w:rPr>
        <w:footnoteReference w:id="67"/>
      </w:r>
      <w:r>
        <w:rPr>
          <w:rFonts w:ascii="Times New Roman" w:hAnsi="Times New Roman" w:cs="Times New Roman" w:eastAsia="Times New Roman"/>
          <w:sz w:val="28"/>
        </w:rPr>
        <w:t xml:space="preserve">. Bu talab baholash metodologiyasi uchun muhim ahamiyatga ega, chunki barqarorlikning umumiy ta’rifi uni o‘lchash usulini belgilab bermaydi.</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FootnoteReference"/>
        </w:rPr>
        <w:footnoteReference w:id="68"/>
      </w:r>
      <w:r>
        <w:rPr>
          <w:rFonts w:ascii="Times New Roman" w:hAnsi="Times New Roman" w:cs="Times New Roman" w:eastAsia="Times New Roman"/>
          <w:sz w:val="28"/>
        </w:rPr>
        <w:t xml:space="preserve">.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FootnoteReference"/>
        </w:rPr>
        <w:footnoteReference w:id="6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FootnoteReference"/>
        </w:rPr>
        <w:footnoteReference w:id="70"/>
      </w:r>
      <w:r>
        <w:rPr>
          <w:rFonts w:ascii="Times New Roman" w:hAnsi="Times New Roman" w:cs="Times New Roman" w:eastAsia="Times New Roman"/>
          <w:sz w:val="28"/>
        </w:rPr>
        <w:t xml:space="preserve">.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FootnoteReference"/>
        </w:rPr>
        <w:footnoteReference w:id="71"/>
      </w:r>
      <w:r>
        <w:rPr>
          <w:rFonts w:ascii="Times New Roman" w:hAnsi="Times New Roman" w:cs="Times New Roman" w:eastAsia="Times New Roman"/>
          <w:sz w:val="28"/>
        </w:rPr>
        <w:t xml:space="preserve">.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FootnoteReference"/>
        </w:rPr>
        <w:footnoteReference w:id="7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FootnoteReference"/>
        </w:rPr>
        <w:footnoteReference w:id="73"/>
      </w:r>
      <w:r>
        <w:rPr>
          <w:rFonts w:ascii="Times New Roman" w:hAnsi="Times New Roman" w:cs="Times New Roman" w:eastAsia="Times New Roman"/>
          <w:sz w:val="28"/>
        </w:rPr>
        <w:t xml:space="preserve">. Bu ta’rifda uzluksizlik va dinamikaga urg‘u berilgani e’tiborga loyiq.</w:t>
      </w:r>
    </w:p>
    <w:p>
      <w:pPr>
        <w:pStyle w:val="BodyText"/>
        <w:spacing w:line="360" w:lineRule="auto" w:before="0" w:after="0"/>
        <w:ind w:firstLine="709"/>
        <w:jc w:val="both"/>
      </w:pPr>
      <w:r>
        <w:rPr>
          <w:rFonts w:ascii="Times New Roman" w:hAnsi="Times New Roman" w:cs="Times New Roman" w:eastAsia="Times New Roman"/>
          <w:sz w:val="28"/>
        </w:rPr>
        <w:t xml:space="preserve">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pPr>
        <w:pStyle w:val="BodyText"/>
        <w:spacing w:line="360" w:lineRule="auto" w:before="0" w:after="0"/>
        <w:ind w:firstLine="709"/>
        <w:jc w:val="both"/>
      </w:pPr>
      <w:r>
        <w:rPr>
          <w:rFonts w:ascii="Times New Roman" w:hAnsi="Times New Roman" w:cs="Times New Roman" w:eastAsia="Times New Roman"/>
          <w:sz w:val="28"/>
        </w:rP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FootnoteReference"/>
        </w:rPr>
        <w:footnoteReference w:id="74"/>
      </w:r>
      <w:r>
        <w:rPr>
          <w:rFonts w:ascii="Times New Roman" w:hAnsi="Times New Roman" w:cs="Times New Roman" w:eastAsia="Times New Roman"/>
          <w:sz w:val="28"/>
        </w:rPr>
        <w:t xml:space="preserve">.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pPr>
        <w:pStyle w:val="BodyText"/>
        <w:spacing w:line="360" w:lineRule="auto" w:before="0" w:after="0"/>
        <w:ind w:firstLine="709"/>
        <w:jc w:val="both"/>
      </w:pPr>
      <w:r>
        <w:rPr>
          <w:rFonts w:ascii="Times New Roman" w:hAnsi="Times New Roman" w:cs="Times New Roman" w:eastAsia="Times New Roman"/>
          <w:sz w:val="28"/>
        </w:rPr>
        <w:t xml:space="preserve">Ta’riflarni umumlashtirib, moliyaviy barqarorlikni tushunishdagi to‘rt asosiy yondashuvni ajratish mumkin (1.1.2-rasm).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38000"/>
                <wp:effectExtent l="0" t="0" r="0" b="0"/>
                <wp:docPr id="2" name="1.1.2-rasm"/>
                <wp:cNvGraphicFramePr/>
                <a:graphic>
                  <a:graphicData uri="http://schemas.microsoft.com/office/word/2010/wordprocessingGroup">
                    <wpg:wgp>
                      <wpg:cNvGrpSpPr/>
                      <wpg:grpSpPr>
                        <a:xfrm>
                          <a:off x="0" y="0"/>
                          <a:ext cx="5904000" cy="2538000"/>
                          <a:chOff x="0" y="0"/>
                          <a:chExt cx="5904000" cy="2538000"/>
                        </a:xfrm>
                      </wpg:grpSpPr>
                      <wps:wsp>
                        <wps:cNvPr id="17"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tushunchasi</w:t>
                              </w:r>
                            </w:p>
                          </w:txbxContent>
                        </wps:txbx>
                        <wps:bodyPr rot="0" vert="horz" wrap="square" lIns="36000" tIns="18000" rIns="36000" bIns="18000" anchor="ctr" anchorCtr="0">
                          <a:noAutofit/>
                        </wps:bodyPr>
                      </wps:wsp>
                      <wps:wsp>
                        <wps:cNvPr id="18"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9"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Resurs</w:t>
                              </w:r>
                            </w:p>
                            <w:p>
                              <w:pPr>
                                <w:spacing w:before="0" w:after="0" w:line="228" w:lineRule="auto"/>
                                <w:jc w:val="center"/>
                                <w:ind w:firstLine="0"/>
                              </w:pPr>
                              <w:r>
                                <w:rPr>
                                  <w:rFonts w:ascii="Times New Roman" w:hAnsi="Times New Roman" w:cs="Times New Roman"/>
                                  <w:b/>
                                  <w:color w:val="FFFFFF"/>
                                  <w:sz w:val="21"/>
                                  <w:szCs w:val="21"/>
                                </w:rPr>
                                <w:t xml:space="preserve">yondashuvi</w:t>
                              </w:r>
                            </w:p>
                          </w:txbxContent>
                        </wps:txbx>
                        <wps:bodyPr rot="0" vert="horz" wrap="square" lIns="36000" tIns="18000" rIns="36000" bIns="18000" anchor="ctr" anchorCtr="0">
                          <a:noAutofit/>
                        </wps:bodyPr>
                      </wps:wsp>
                      <wps:wsp>
                        <wps:cNvPr id="20"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foyda,</w:t>
                              </w:r>
                            </w:p>
                            <w:p>
                              <w:pPr>
                                <w:spacing w:before="0" w:after="0" w:line="228" w:lineRule="auto"/>
                                <w:jc w:val="center"/>
                                <w:ind w:firstLine="0"/>
                              </w:pPr>
                              <w:r>
                                <w:rPr>
                                  <w:rFonts w:ascii="Times New Roman" w:hAnsi="Times New Roman" w:cs="Times New Roman"/>
                                  <w:color w:val="000000"/>
                                  <w:sz w:val="18"/>
                                  <w:szCs w:val="18"/>
                                </w:rPr>
                                <w:t xml:space="preserve">zaxiralarning</w:t>
                              </w:r>
                            </w:p>
                            <w:p>
                              <w:pPr>
                                <w:spacing w:before="0" w:after="0" w:line="228" w:lineRule="auto"/>
                                <w:jc w:val="center"/>
                                <w:ind w:firstLine="0"/>
                              </w:pPr>
                              <w:r>
                                <w:rPr>
                                  <w:rFonts w:ascii="Times New Roman" w:hAnsi="Times New Roman" w:cs="Times New Roman"/>
                                  <w:color w:val="000000"/>
                                  <w:sz w:val="18"/>
                                  <w:szCs w:val="18"/>
                                </w:rPr>
                                <w:t xml:space="preserve">barqaror o‘sishi</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I.D. Mamonova)</w:t>
                              </w:r>
                            </w:p>
                          </w:txbxContent>
                        </wps:txbx>
                        <wps:bodyPr rot="0" vert="horz" wrap="square" lIns="36000" tIns="18000" rIns="36000" bIns="18000" anchor="ctr" anchorCtr="0">
                          <a:noAutofit/>
                        </wps:bodyPr>
                      </wps:wsp>
                      <wps:wsp>
                        <wps:cNvPr id="21" name="Connector 21"/>
                        <wps:cNvCnPr/>
                        <wps:spPr>
                          <a:xfrm>
                            <a:off x="729000" y="1962000"/>
                            <a:ext cx="2223000" cy="198000"/>
                          </a:xfrm>
                          <a:prstGeom prst="straightConnector1">
                            <a:avLst/>
                          </a:prstGeom>
                          <a:ln w="12700">
                            <a:solidFill>
                              <a:srgbClr val="7F7F7F"/>
                            </a:solidFill>
                            <a:tailEnd type="triangle" w="med" len="med"/>
                          </a:ln>
                        </wps:spPr>
                        <wps:bodyPr/>
                      </wps:wsp>
                      <wps:wsp>
                        <wps:cNvPr id="22"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23"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Institutsional-</w:t>
                              </w:r>
                            </w:p>
                            <w:p>
                              <w:pPr>
                                <w:spacing w:before="0" w:after="0" w:line="228" w:lineRule="auto"/>
                                <w:jc w:val="center"/>
                                <w:ind w:firstLine="0"/>
                              </w:pPr>
                              <w:r>
                                <w:rPr>
                                  <w:rFonts w:ascii="Times New Roman" w:hAnsi="Times New Roman" w:cs="Times New Roman"/>
                                  <w:b/>
                                  <w:color w:val="FFFFFF"/>
                                  <w:sz w:val="21"/>
                                  <w:szCs w:val="21"/>
                                </w:rPr>
                                <w:t xml:space="preserve">funksional</w:t>
                              </w:r>
                            </w:p>
                          </w:txbxContent>
                        </wps:txbx>
                        <wps:bodyPr rot="0" vert="horz" wrap="square" lIns="36000" tIns="18000" rIns="36000" bIns="18000" anchor="ctr" anchorCtr="0">
                          <a:noAutofit/>
                        </wps:bodyPr>
                      </wps:wsp>
                      <wps:wsp>
                        <wps:cNvPr id="24"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Vositachilik</w:t>
                              </w:r>
                            </w:p>
                            <w:p>
                              <w:pPr>
                                <w:spacing w:before="0" w:after="0" w:line="228" w:lineRule="auto"/>
                                <w:jc w:val="center"/>
                                <w:ind w:firstLine="0"/>
                              </w:pPr>
                              <w:r>
                                <w:rPr>
                                  <w:rFonts w:ascii="Times New Roman" w:hAnsi="Times New Roman" w:cs="Times New Roman"/>
                                  <w:color w:val="000000"/>
                                  <w:sz w:val="18"/>
                                  <w:szCs w:val="18"/>
                                </w:rPr>
                                <w:t xml:space="preserve">funksiyalarini</w:t>
                              </w:r>
                            </w:p>
                            <w:p>
                              <w:pPr>
                                <w:spacing w:before="0" w:after="0" w:line="228" w:lineRule="auto"/>
                                <w:jc w:val="center"/>
                                <w:ind w:firstLine="0"/>
                              </w:pPr>
                              <w:r>
                                <w:rPr>
                                  <w:rFonts w:ascii="Times New Roman" w:hAnsi="Times New Roman" w:cs="Times New Roman"/>
                                  <w:color w:val="000000"/>
                                  <w:sz w:val="18"/>
                                  <w:szCs w:val="18"/>
                                </w:rPr>
                                <w:t xml:space="preserve">uzluksiz bajarish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G.J. Schinasi)</w:t>
                              </w:r>
                            </w:p>
                          </w:txbxContent>
                        </wps:txbx>
                        <wps:bodyPr rot="0" vert="horz" wrap="square" lIns="36000" tIns="18000" rIns="36000" bIns="18000" anchor="ctr" anchorCtr="0">
                          <a:noAutofit/>
                        </wps:bodyPr>
                      </wps:wsp>
                      <wps:wsp>
                        <wps:cNvPr id="25" name="Connector 25"/>
                        <wps:cNvCnPr/>
                        <wps:spPr>
                          <a:xfrm>
                            <a:off x="2205000" y="1962000"/>
                            <a:ext cx="747000" cy="198000"/>
                          </a:xfrm>
                          <a:prstGeom prst="straightConnector1">
                            <a:avLst/>
                          </a:prstGeom>
                          <a:ln w="12700">
                            <a:solidFill>
                              <a:srgbClr val="7F7F7F"/>
                            </a:solidFill>
                            <a:tailEnd type="triangle" w="med" len="med"/>
                          </a:ln>
                        </wps:spPr>
                        <wps:bodyPr/>
                      </wps:wsp>
                      <wps:wsp>
                        <wps:cNvPr id="26" name="Connector 26"/>
                        <wps:cNvCnPr/>
                        <wps:spPr>
                          <a:xfrm>
                            <a:off x="2952000" y="360000"/>
                            <a:ext cx="729000" cy="216000"/>
                          </a:xfrm>
                          <a:prstGeom prst="straightConnector1">
                            <a:avLst/>
                          </a:prstGeom>
                          <a:ln w="15875">
                            <a:solidFill>
                              <a:srgbClr val="404040"/>
                            </a:solidFill>
                            <a:tailEnd type="triangle" w="med" len="med"/>
                          </a:ln>
                        </wps:spPr>
                        <wps:bodyPr/>
                      </wps:wsp>
                      <wps:wsp>
                        <wps:cNvPr id="2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Ishonch</w:t>
                              </w:r>
                            </w:p>
                            <w:p>
                              <w:pPr>
                                <w:spacing w:before="0" w:after="0" w:line="228" w:lineRule="auto"/>
                                <w:jc w:val="center"/>
                                <w:ind w:firstLine="0"/>
                              </w:pPr>
                              <w:r>
                                <w:rPr>
                                  <w:rFonts w:ascii="Times New Roman" w:hAnsi="Times New Roman" w:cs="Times New Roman"/>
                                  <w:b/>
                                  <w:color w:val="000000"/>
                                  <w:sz w:val="21"/>
                                  <w:szCs w:val="21"/>
                                </w:rPr>
                                <w:t xml:space="preserve">yondashuvi</w:t>
                              </w:r>
                            </w:p>
                          </w:txbxContent>
                        </wps:txbx>
                        <wps:bodyPr rot="0" vert="horz" wrap="square" lIns="36000" tIns="18000" rIns="36000" bIns="18000" anchor="ctr" anchorCtr="0">
                          <a:noAutofit/>
                        </wps:bodyPr>
                      </wps:wsp>
                      <wps:wsp>
                        <wps:cNvPr id="28"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Tashqi yordamsiz</w:t>
                              </w:r>
                            </w:p>
                            <w:p>
                              <w:pPr>
                                <w:spacing w:before="0" w:after="0" w:line="228" w:lineRule="auto"/>
                                <w:jc w:val="center"/>
                                <w:ind w:firstLine="0"/>
                              </w:pPr>
                              <w:r>
                                <w:rPr>
                                  <w:rFonts w:ascii="Times New Roman" w:hAnsi="Times New Roman" w:cs="Times New Roman"/>
                                  <w:color w:val="000000"/>
                                  <w:sz w:val="18"/>
                                  <w:szCs w:val="18"/>
                                </w:rPr>
                                <w:t xml:space="preserve">yuqori ishonch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(J.M. Hendrickson,</w:t>
                              </w:r>
                            </w:p>
                            <w:p>
                              <w:pPr>
                                <w:spacing w:before="0" w:after="0" w:line="228" w:lineRule="auto"/>
                                <w:jc w:val="center"/>
                                <w:ind w:firstLine="0"/>
                              </w:pPr>
                              <w:r>
                                <w:rPr>
                                  <w:rFonts w:ascii="Times New Roman" w:hAnsi="Times New Roman" w:cs="Times New Roman"/>
                                  <w:color w:val="000000"/>
                                  <w:sz w:val="18"/>
                                  <w:szCs w:val="18"/>
                                </w:rPr>
                                <w:t xml:space="preserve">A. Krokett)</w:t>
                              </w:r>
                            </w:p>
                          </w:txbxContent>
                        </wps:txbx>
                        <wps:bodyPr rot="0" vert="horz" wrap="square" lIns="36000" tIns="18000" rIns="36000" bIns="18000" anchor="ctr" anchorCtr="0">
                          <a:noAutofit/>
                        </wps:bodyPr>
                      </wps:wsp>
                      <wps:wsp>
                        <wps:cNvPr id="29"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30" name="Connector 30"/>
                        <wps:cNvCnPr/>
                        <wps:spPr>
                          <a:xfrm>
                            <a:off x="2952000" y="360000"/>
                            <a:ext cx="2205000" cy="216000"/>
                          </a:xfrm>
                          <a:prstGeom prst="straightConnector1">
                            <a:avLst/>
                          </a:prstGeom>
                          <a:ln w="15875">
                            <a:solidFill>
                              <a:srgbClr val="404040"/>
                            </a:solidFill>
                            <a:tailEnd type="triangle" w="med" len="med"/>
                          </a:ln>
                        </wps:spPr>
                        <wps:bodyPr/>
                      </wps:wsp>
                      <wps:wsp>
                        <wps:cNvPr id="31"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 va</w:t>
                              </w:r>
                            </w:p>
                            <w:p>
                              <w:pPr>
                                <w:spacing w:before="0" w:after="0" w:line="228" w:lineRule="auto"/>
                                <w:jc w:val="center"/>
                                <w:ind w:firstLine="0"/>
                              </w:pPr>
                              <w:r>
                                <w:rPr>
                                  <w:rFonts w:ascii="Times New Roman" w:hAnsi="Times New Roman" w:cs="Times New Roman"/>
                                  <w:b/>
                                  <w:color w:val="FFFFFF"/>
                                  <w:sz w:val="21"/>
                                  <w:szCs w:val="21"/>
                                </w:rPr>
                                <w:t xml:space="preserve">chidamlilik</w:t>
                              </w:r>
                            </w:p>
                          </w:txbxContent>
                        </wps:txbx>
                        <wps:bodyPr rot="0" vert="horz" wrap="square" lIns="36000" tIns="18000" rIns="36000" bIns="18000" anchor="ctr" anchorCtr="0">
                          <a:noAutofit/>
                        </wps:bodyPr>
                      </wps:wsp>
                      <wps:wsp>
                        <wps:cNvPr id="3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buferlari, shoklarga</w:t>
                              </w:r>
                            </w:p>
                            <w:p>
                              <w:pPr>
                                <w:spacing w:before="0" w:after="0" w:line="228" w:lineRule="auto"/>
                                <w:jc w:val="center"/>
                                <w:ind w:firstLine="0"/>
                              </w:pPr>
                              <w:r>
                                <w:rPr>
                                  <w:rFonts w:ascii="Times New Roman" w:hAnsi="Times New Roman" w:cs="Times New Roman"/>
                                  <w:color w:val="000000"/>
                                  <w:sz w:val="18"/>
                                  <w:szCs w:val="18"/>
                                </w:rPr>
                                <w:t xml:space="preserve">chidamlilik</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(Bazel qo‘mitasi,</w:t>
                              </w:r>
                            </w:p>
                            <w:p>
                              <w:pPr>
                                <w:spacing w:before="0" w:after="0" w:line="228" w:lineRule="auto"/>
                                <w:jc w:val="center"/>
                                <w:ind w:firstLine="0"/>
                              </w:pPr>
                              <w:r>
                                <w:rPr>
                                  <w:rFonts w:ascii="Times New Roman" w:hAnsi="Times New Roman" w:cs="Times New Roman"/>
                                  <w:color w:val="000000"/>
                                  <w:sz w:val="18"/>
                                  <w:szCs w:val="18"/>
                                </w:rPr>
                                <w:t xml:space="preserve">XVJ)</w:t>
                              </w:r>
                            </w:p>
                          </w:txbxContent>
                        </wps:txbx>
                        <wps:bodyPr rot="0" vert="horz" wrap="square" lIns="36000" tIns="18000" rIns="36000" bIns="18000" anchor="ctr" anchorCtr="0">
                          <a:noAutofit/>
                        </wps:bodyPr>
                      </wps:wsp>
                      <wps:wsp>
                        <wps:cNvPr id="33"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34"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Integral yondashuv: daraja + dinamika + muvozanat</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1.1.2-rasm. Moliyaviy barqarorlik tushunchasini talqin qilishdagi asosiy yondashuvlar</w:t>
      </w:r>
      <w:r>
        <w:rPr>
          <w:rStyle w:val="FootnoteReference"/>
        </w:rPr>
        <w:footnoteReference w:id="75"/>
      </w:r>
    </w:p>
    <w:p>
      <w:pPr>
        <w:pStyle w:val="BodyText"/>
        <w:spacing w:line="360" w:lineRule="auto" w:before="0" w:after="0"/>
        <w:ind w:firstLine="709"/>
        <w:jc w:val="both"/>
      </w:pPr>
      <w:r>
        <w:rPr>
          <w:rFonts w:ascii="Times New Roman" w:hAnsi="Times New Roman" w:cs="Times New Roman" w:eastAsia="Times New Roman"/>
          <w:sz w:val="28"/>
        </w:rP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FootnoteReference"/>
        </w:rPr>
        <w:footnoteReference w:id="76"/>
      </w:r>
      <w:r>
        <w:rPr>
          <w:rFonts w:ascii="Times New Roman" w:hAnsi="Times New Roman" w:cs="Times New Roman" w:eastAsia="Times New Roman"/>
          <w:sz w:val="28"/>
        </w:rPr>
        <w:t xml:space="preserve">. Ushbu darajalar va ular o‘rtasidagi bog‘liqlik 1.1.3-rasmda ko‘rsatildi.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926000"/>
                <wp:effectExtent l="0" t="0" r="0" b="0"/>
                <wp:docPr id="3" name="1.1.3-rasm"/>
                <wp:cNvGraphicFramePr/>
                <a:graphic>
                  <a:graphicData uri="http://schemas.microsoft.com/office/word/2010/wordprocessingGroup">
                    <wpg:wgp>
                      <wpg:cNvGrpSpPr/>
                      <wpg:grpSpPr>
                        <a:xfrm>
                          <a:off x="0" y="0"/>
                          <a:ext cx="5904000" cy="1926000"/>
                          <a:chOff x="0" y="0"/>
                          <a:chExt cx="5904000" cy="1926000"/>
                        </a:xfrm>
                      </wpg:grpSpPr>
                      <wps:wsp>
                        <wps:cNvPr id="35"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Moliya tizimi: banklar, nobank moliya tashkilotlari, moliya bozorlari, infratuzilma</w:t>
                              </w:r>
                            </w:p>
                          </w:txbxContent>
                        </wps:txbx>
                        <wps:bodyPr rot="0" vert="horz" wrap="square" lIns="36000" tIns="18000" rIns="36000" bIns="18000" anchor="ctr" anchorCtr="0">
                          <a:noAutofit/>
                        </wps:bodyPr>
                      </wps:wsp>
                      <wps:wsp>
                        <wps:cNvPr id="36"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 tizimi (bank sektori): Markaziy bank va tijorat banklari</w:t>
                              </w:r>
                            </w:p>
                          </w:txbxContent>
                        </wps:txbx>
                        <wps:bodyPr rot="0" vert="horz" wrap="square" lIns="36000" tIns="18000" rIns="36000" bIns="18000" anchor="ctr" anchorCtr="0">
                          <a:noAutofit/>
                        </wps:bodyPr>
                      </wps:wsp>
                      <wps:wsp>
                        <wps:cNvPr id="37"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Alohida tijorat banki</w:t>
                              </w:r>
                            </w:p>
                          </w:txbxContent>
                        </wps:txbx>
                        <wps:bodyPr rot="0" vert="horz" wrap="square" lIns="36000" tIns="18000" rIns="36000" bIns="18000" anchor="ctr" anchorCtr="0">
                          <a:noAutofit/>
                        </wps:bodyPr>
                      </wps:wsp>
                      <wps:wsp>
                        <wps:cNvPr id="38" name="Connector 38"/>
                        <wps:cNvCnPr/>
                        <wps:spPr>
                          <a:xfrm>
                            <a:off x="5256000" y="396000"/>
                            <a:ext cx="0" cy="1008000"/>
                          </a:xfrm>
                          <a:prstGeom prst="straightConnector1">
                            <a:avLst/>
                          </a:prstGeom>
                          <a:ln w="28575">
                            <a:solidFill>
                              <a:srgbClr val="EB6834"/>
                            </a:solidFill>
                            <a:tailEnd type="triangle" w="med" len="med"/>
                          </a:ln>
                        </wps:spPr>
                        <wps:bodyPr/>
                      </wps:wsp>
                      <wps:wsp>
                        <wps:cNvPr id="39"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Makroshoklar,</w:t>
                              </w:r>
                            </w:p>
                            <w:p>
                              <w:pPr>
                                <w:spacing w:before="0" w:after="0" w:line="228" w:lineRule="auto"/>
                                <w:jc w:val="center"/>
                                <w:ind w:firstLine="0"/>
                              </w:pPr>
                              <w:r>
                                <w:rPr>
                                  <w:rFonts w:ascii="Times New Roman" w:hAnsi="Times New Roman" w:cs="Times New Roman"/>
                                  <w:color w:val="000000"/>
                                  <w:sz w:val="18"/>
                                  <w:szCs w:val="18"/>
                                </w:rPr>
                                <w:t xml:space="preserve">umumiy risklar</w:t>
                              </w:r>
                            </w:p>
                          </w:txbxContent>
                        </wps:txbx>
                        <wps:bodyPr rot="0" vert="horz" wrap="square" lIns="36000" tIns="18000" rIns="36000" bIns="18000" anchor="ctr" anchorCtr="0">
                          <a:noAutofit/>
                        </wps:bodyPr>
                      </wps:wsp>
                      <wps:wsp>
                        <wps:cNvPr id="40" name="Connector 40"/>
                        <wps:cNvCnPr/>
                        <wps:spPr>
                          <a:xfrm flipV="1">
                            <a:off x="648000" y="396000"/>
                            <a:ext cx="0" cy="972000"/>
                          </a:xfrm>
                          <a:prstGeom prst="straightConnector1">
                            <a:avLst/>
                          </a:prstGeom>
                          <a:ln w="28575">
                            <a:solidFill>
                              <a:srgbClr val="70AD47"/>
                            </a:solidFill>
                            <a:tailEnd type="triangle" w="med" len="med"/>
                          </a:ln>
                        </wps:spPr>
                        <wps:bodyPr/>
                      </wps:wsp>
                      <wps:wsp>
                        <wps:cNvPr id="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Zararlanish,</w:t>
                              </w:r>
                            </w:p>
                            <w:p>
                              <w:pPr>
                                <w:spacing w:before="0" w:after="0" w:line="228" w:lineRule="auto"/>
                                <w:jc w:val="center"/>
                                <w:ind w:firstLine="0"/>
                              </w:pPr>
                              <w:r>
                                <w:rPr>
                                  <w:rFonts w:ascii="Times New Roman" w:hAnsi="Times New Roman" w:cs="Times New Roman"/>
                                  <w:color w:val="000000"/>
                                  <w:sz w:val="18"/>
                                  <w:szCs w:val="18"/>
                                </w:rPr>
                                <w:t xml:space="preserve">tizimli risk</w:t>
                              </w:r>
                            </w:p>
                          </w:txbxContent>
                        </wps:txbx>
                        <wps:bodyPr rot="0" vert="horz" wrap="square" lIns="36000" tIns="18000" rIns="36000" bIns="18000" anchor="ctr" anchorCtr="0">
                          <a:noAutofit/>
                        </wps:bodyPr>
                      </wps:wsp>
                      <wps:wsp>
                        <wps:cNvPr id="42"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Tizim ≠ banklarning oddiy yig‘indisi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1.1.3-rasm. Moliyaviy barqarorlik darajalari va ularning o‘zaro ta’siri</w:t>
      </w:r>
      <w:r>
        <w:rPr>
          <w:rStyle w:val="FootnoteReference"/>
        </w:rPr>
        <w:footnoteReference w:id="77"/>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FootnoteReference"/>
        </w:rPr>
        <w:footnoteReference w:id="78"/>
      </w:r>
      <w:r>
        <w:rPr>
          <w:rFonts w:ascii="Times New Roman" w:hAnsi="Times New Roman" w:cs="Times New Roman" w:eastAsia="Times New Roman"/>
          <w:sz w:val="28"/>
        </w:rPr>
        <w:t xml:space="preserve">.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pPr>
        <w:pStyle w:val="BodyText"/>
        <w:spacing w:line="360" w:lineRule="auto" w:before="0" w:after="0"/>
        <w:ind w:firstLine="709"/>
        <w:jc w:val="both"/>
      </w:pPr>
      <w:r>
        <w:rPr>
          <w:rFonts w:ascii="Times New Roman" w:hAnsi="Times New Roman" w:cs="Times New Roman" w:eastAsia="Times New Roman"/>
          <w:sz w:val="28"/>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FootnoteReference"/>
        </w:rPr>
        <w:footnoteReference w:id="79"/>
      </w:r>
      <w:r>
        <w:rPr>
          <w:rFonts w:ascii="Times New Roman" w:hAnsi="Times New Roman" w:cs="Times New Roman" w:eastAsia="Times New Roman"/>
          <w:sz w:val="28"/>
        </w:rPr>
        <w:t xml:space="preserve">.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barqarorlikka ta’sir etuvchi omillar masalasida ham iqtisodchilar o‘rtasida umumiy yondashuv shakllangan bo‘lib, ular odatda tashqi va ichki omillarga ajratiladi. O.I. Lavrushin va I.D. Mamonova o‘nta tashqi va to‘qqizta ichki omilni ajratadi</w:t>
      </w:r>
      <w:r>
        <w:rPr>
          <w:rStyle w:val="FootnoteReference"/>
        </w:rPr>
        <w:footnoteReference w:id="8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(1.1.4-rasm).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10000"/>
                <wp:effectExtent l="0" t="0" r="0" b="0"/>
                <wp:docPr id="4" name="1.1.4-rasm"/>
                <wp:cNvGraphicFramePr/>
                <a:graphic>
                  <a:graphicData uri="http://schemas.microsoft.com/office/word/2010/wordprocessingGroup">
                    <wpg:wgp>
                      <wpg:cNvGrpSpPr/>
                      <wpg:grpSpPr>
                        <a:xfrm>
                          <a:off x="0" y="0"/>
                          <a:ext cx="5904000" cy="2610000"/>
                          <a:chOff x="0" y="0"/>
                          <a:chExt cx="5904000" cy="2610000"/>
                        </a:xfrm>
                      </wpg:grpSpPr>
                      <wps:wsp>
                        <wps:cNvPr id="43"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omillari</w:t>
                              </w:r>
                            </w:p>
                          </w:txbxContent>
                        </wps:txbx>
                        <wps:bodyPr rot="0" vert="horz" wrap="square" lIns="36000" tIns="18000" rIns="36000" bIns="18000" anchor="ctr" anchorCtr="0">
                          <a:noAutofit/>
                        </wps:bodyPr>
                      </wps:wsp>
                      <wps:wsp>
                        <wps:cNvPr id="44"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45"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Tashqi omillar (10)</w:t>
                              </w:r>
                            </w:p>
                          </w:txbxContent>
                        </wps:txbx>
                        <wps:bodyPr rot="0" vert="horz" wrap="square" lIns="36000" tIns="18000" rIns="36000" bIns="18000" anchor="ctr" anchorCtr="0">
                          <a:noAutofit/>
                        </wps:bodyPr>
                      </wps:wsp>
                      <wps:wsp>
                        <wps:cNvPr id="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Makroiqtisodiy holat</w:t>
                              </w:r>
                            </w:p>
                            <w:p>
                              <w:pPr>
                                <w:spacing w:before="0" w:after="0" w:line="228" w:lineRule="auto"/>
                                <w:jc w:val="left"/>
                                <w:ind w:firstLine="0"/>
                              </w:pPr>
                              <w:r>
                                <w:rPr>
                                  <w:rFonts w:ascii="Times New Roman" w:hAnsi="Times New Roman" w:cs="Times New Roman"/>
                                  <w:color w:val="000000"/>
                                  <w:sz w:val="19"/>
                                  <w:szCs w:val="19"/>
                                </w:rPr>
                                <w:t xml:space="preserve">2. Davlatning maqsadli mo‘ljallari</w:t>
                              </w:r>
                            </w:p>
                            <w:p>
                              <w:pPr>
                                <w:spacing w:before="0" w:after="0" w:line="228" w:lineRule="auto"/>
                                <w:jc w:val="left"/>
                                <w:ind w:firstLine="0"/>
                              </w:pPr>
                              <w:r>
                                <w:rPr>
                                  <w:rFonts w:ascii="Times New Roman" w:hAnsi="Times New Roman" w:cs="Times New Roman"/>
                                  <w:color w:val="000000"/>
                                  <w:sz w:val="19"/>
                                  <w:szCs w:val="19"/>
                                </w:rPr>
                                <w:t xml:space="preserve">3. Talab va to‘lov qobiliyati</w:t>
                              </w:r>
                            </w:p>
                            <w:p>
                              <w:pPr>
                                <w:spacing w:before="0" w:after="0" w:line="228" w:lineRule="auto"/>
                                <w:jc w:val="left"/>
                                <w:ind w:firstLine="0"/>
                              </w:pPr>
                              <w:r>
                                <w:rPr>
                                  <w:rFonts w:ascii="Times New Roman" w:hAnsi="Times New Roman" w:cs="Times New Roman"/>
                                  <w:color w:val="000000"/>
                                  <w:sz w:val="19"/>
                                  <w:szCs w:val="19"/>
                                </w:rPr>
                                <w:t xml:space="preserve">4. Pul bozori holati</w:t>
                              </w:r>
                            </w:p>
                            <w:p>
                              <w:pPr>
                                <w:spacing w:before="0" w:after="0" w:line="228" w:lineRule="auto"/>
                                <w:jc w:val="left"/>
                                <w:ind w:firstLine="0"/>
                              </w:pPr>
                              <w:r>
                                <w:rPr>
                                  <w:rFonts w:ascii="Times New Roman" w:hAnsi="Times New Roman" w:cs="Times New Roman"/>
                                  <w:color w:val="000000"/>
                                  <w:sz w:val="19"/>
                                  <w:szCs w:val="19"/>
                                </w:rPr>
                                <w:t xml:space="preserve">5. Pul muomalasi va inflyatsiya</w:t>
                              </w:r>
                            </w:p>
                            <w:p>
                              <w:pPr>
                                <w:spacing w:before="0" w:after="0" w:line="228" w:lineRule="auto"/>
                                <w:jc w:val="left"/>
                                <w:ind w:firstLine="0"/>
                              </w:pPr>
                              <w:r>
                                <w:rPr>
                                  <w:rFonts w:ascii="Times New Roman" w:hAnsi="Times New Roman" w:cs="Times New Roman"/>
                                  <w:color w:val="000000"/>
                                  <w:sz w:val="19"/>
                                  <w:szCs w:val="19"/>
                                </w:rPr>
                                <w:t xml:space="preserve">6. Raqobat</w:t>
                              </w:r>
                            </w:p>
                            <w:p>
                              <w:pPr>
                                <w:spacing w:before="0" w:after="0" w:line="228" w:lineRule="auto"/>
                                <w:jc w:val="left"/>
                                <w:ind w:firstLine="0"/>
                              </w:pPr>
                              <w:r>
                                <w:rPr>
                                  <w:rFonts w:ascii="Times New Roman" w:hAnsi="Times New Roman" w:cs="Times New Roman"/>
                                  <w:color w:val="000000"/>
                                  <w:sz w:val="19"/>
                                  <w:szCs w:val="19"/>
                                </w:rPr>
                                <w:t xml:space="preserve">7. Bank tizimining holati</w:t>
                              </w:r>
                            </w:p>
                            <w:p>
                              <w:pPr>
                                <w:spacing w:before="0" w:after="0" w:line="228" w:lineRule="auto"/>
                                <w:jc w:val="left"/>
                                <w:ind w:firstLine="0"/>
                              </w:pPr>
                              <w:r>
                                <w:rPr>
                                  <w:rFonts w:ascii="Times New Roman" w:hAnsi="Times New Roman" w:cs="Times New Roman"/>
                                  <w:color w:val="000000"/>
                                  <w:sz w:val="19"/>
                                  <w:szCs w:val="19"/>
                                </w:rPr>
                                <w:t xml:space="preserve">8. Qonunchilik</w:t>
                              </w:r>
                            </w:p>
                            <w:p>
                              <w:pPr>
                                <w:spacing w:before="0" w:after="0" w:line="228" w:lineRule="auto"/>
                                <w:jc w:val="left"/>
                                <w:ind w:firstLine="0"/>
                              </w:pPr>
                              <w:r>
                                <w:rPr>
                                  <w:rFonts w:ascii="Times New Roman" w:hAnsi="Times New Roman" w:cs="Times New Roman"/>
                                  <w:color w:val="000000"/>
                                  <w:sz w:val="19"/>
                                  <w:szCs w:val="19"/>
                                </w:rPr>
                                <w:t xml:space="preserve">9. Infratuzilma</w:t>
                              </w:r>
                            </w:p>
                            <w:p>
                              <w:pPr>
                                <w:spacing w:before="0" w:after="0" w:line="228" w:lineRule="auto"/>
                                <w:jc w:val="left"/>
                                <w:ind w:firstLine="0"/>
                              </w:pPr>
                              <w:r>
                                <w:rPr>
                                  <w:rFonts w:ascii="Times New Roman" w:hAnsi="Times New Roman" w:cs="Times New Roman"/>
                                  <w:color w:val="000000"/>
                                  <w:sz w:val="19"/>
                                  <w:szCs w:val="19"/>
                                </w:rPr>
                                <w:t xml:space="preserve">10. Ishonch (fundamental omil)</w:t>
                              </w:r>
                            </w:p>
                          </w:txbxContent>
                        </wps:txbx>
                        <wps:bodyPr rot="0" vert="horz" wrap="square" lIns="36000" tIns="18000" rIns="36000" bIns="18000" anchor="ctr" anchorCtr="0">
                          <a:noAutofit/>
                        </wps:bodyPr>
                      </wps:wsp>
                      <wps:wsp>
                        <wps:cNvPr id="47" name="Connector 47"/>
                        <wps:cNvCnPr/>
                        <wps:spPr>
                          <a:xfrm>
                            <a:off x="2952000" y="360000"/>
                            <a:ext cx="1476000" cy="198000"/>
                          </a:xfrm>
                          <a:prstGeom prst="straightConnector1">
                            <a:avLst/>
                          </a:prstGeom>
                          <a:ln w="15875">
                            <a:solidFill>
                              <a:srgbClr val="404040"/>
                            </a:solidFill>
                            <a:tailEnd type="triangle" w="med" len="med"/>
                          </a:ln>
                        </wps:spPr>
                        <wps:bodyPr/>
                      </wps:wsp>
                      <wps:wsp>
                        <wps:cNvPr id="48"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Ichki omillar (9)</w:t>
                              </w:r>
                            </w:p>
                          </w:txbxContent>
                        </wps:txbx>
                        <wps:bodyPr rot="0" vert="horz" wrap="square" lIns="36000" tIns="18000" rIns="36000" bIns="18000" anchor="ctr" anchorCtr="0">
                          <a:noAutofit/>
                        </wps:bodyPr>
                      </wps:wsp>
                      <wps:wsp>
                        <wps:cNvPr id="49"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Strategiya va prognozlash</w:t>
                              </w:r>
                            </w:p>
                            <w:p>
                              <w:pPr>
                                <w:spacing w:before="0" w:after="0" w:line="228" w:lineRule="auto"/>
                                <w:jc w:val="left"/>
                                <w:ind w:firstLine="0"/>
                              </w:pPr>
                              <w:r>
                                <w:rPr>
                                  <w:rFonts w:ascii="Times New Roman" w:hAnsi="Times New Roman" w:cs="Times New Roman"/>
                                  <w:color w:val="000000"/>
                                  <w:sz w:val="19"/>
                                  <w:szCs w:val="19"/>
                                </w:rPr>
                                <w:t xml:space="preserve">2. Miqdor va sifat ko‘rsatkichlari o‘sishi</w:t>
                              </w:r>
                            </w:p>
                            <w:p>
                              <w:pPr>
                                <w:spacing w:before="0" w:after="0" w:line="228" w:lineRule="auto"/>
                                <w:jc w:val="left"/>
                                <w:ind w:firstLine="0"/>
                              </w:pPr>
                              <w:r>
                                <w:rPr>
                                  <w:rFonts w:ascii="Times New Roman" w:hAnsi="Times New Roman" w:cs="Times New Roman"/>
                                  <w:color w:val="000000"/>
                                  <w:sz w:val="19"/>
                                  <w:szCs w:val="19"/>
                                </w:rPr>
                                <w:t xml:space="preserve">3. Resurslarni jalb qilish va likvidlik</w:t>
                              </w:r>
                            </w:p>
                            <w:p>
                              <w:pPr>
                                <w:spacing w:before="0" w:after="0" w:line="228" w:lineRule="auto"/>
                                <w:jc w:val="left"/>
                                <w:ind w:firstLine="0"/>
                              </w:pPr>
                              <w:r>
                                <w:rPr>
                                  <w:rFonts w:ascii="Times New Roman" w:hAnsi="Times New Roman" w:cs="Times New Roman"/>
                                  <w:color w:val="000000"/>
                                  <w:sz w:val="19"/>
                                  <w:szCs w:val="19"/>
                                </w:rPr>
                                <w:t xml:space="preserve">4. Risklarga qarshi tura olish</w:t>
                              </w:r>
                            </w:p>
                            <w:p>
                              <w:pPr>
                                <w:spacing w:before="0" w:after="0" w:line="228" w:lineRule="auto"/>
                                <w:jc w:val="left"/>
                                <w:ind w:firstLine="0"/>
                              </w:pPr>
                              <w:r>
                                <w:rPr>
                                  <w:rFonts w:ascii="Times New Roman" w:hAnsi="Times New Roman" w:cs="Times New Roman"/>
                                  <w:color w:val="000000"/>
                                  <w:sz w:val="19"/>
                                  <w:szCs w:val="19"/>
                                </w:rPr>
                                <w:t xml:space="preserve">5. Xarajatlarni tejash</w:t>
                              </w:r>
                            </w:p>
                            <w:p>
                              <w:pPr>
                                <w:spacing w:before="0" w:after="0" w:line="228" w:lineRule="auto"/>
                                <w:jc w:val="left"/>
                                <w:ind w:firstLine="0"/>
                              </w:pPr>
                              <w:r>
                                <w:rPr>
                                  <w:rFonts w:ascii="Times New Roman" w:hAnsi="Times New Roman" w:cs="Times New Roman"/>
                                  <w:color w:val="000000"/>
                                  <w:sz w:val="19"/>
                                  <w:szCs w:val="19"/>
                                </w:rPr>
                                <w:t xml:space="preserve">6. Ichki infratuzilma va kadrlar</w:t>
                              </w:r>
                            </w:p>
                            <w:p>
                              <w:pPr>
                                <w:spacing w:before="0" w:after="0" w:line="228" w:lineRule="auto"/>
                                <w:jc w:val="left"/>
                                <w:ind w:firstLine="0"/>
                              </w:pPr>
                              <w:r>
                                <w:rPr>
                                  <w:rFonts w:ascii="Times New Roman" w:hAnsi="Times New Roman" w:cs="Times New Roman"/>
                                  <w:color w:val="000000"/>
                                  <w:sz w:val="19"/>
                                  <w:szCs w:val="19"/>
                                </w:rPr>
                                <w:t xml:space="preserve">7. Marketing va boshqaruv</w:t>
                              </w:r>
                            </w:p>
                            <w:p>
                              <w:pPr>
                                <w:spacing w:before="0" w:after="0" w:line="228" w:lineRule="auto"/>
                                <w:jc w:val="left"/>
                                <w:ind w:firstLine="0"/>
                              </w:pPr>
                              <w:r>
                                <w:rPr>
                                  <w:rFonts w:ascii="Times New Roman" w:hAnsi="Times New Roman" w:cs="Times New Roman"/>
                                  <w:color w:val="000000"/>
                                  <w:sz w:val="19"/>
                                  <w:szCs w:val="19"/>
                                </w:rPr>
                                <w:t xml:space="preserve">8. Texnologiyalar</w:t>
                              </w:r>
                            </w:p>
                            <w:p>
                              <w:pPr>
                                <w:spacing w:before="0" w:after="0" w:line="228" w:lineRule="auto"/>
                                <w:jc w:val="left"/>
                                <w:ind w:firstLine="0"/>
                              </w:pPr>
                              <w:r>
                                <w:rPr>
                                  <w:rFonts w:ascii="Times New Roman" w:hAnsi="Times New Roman" w:cs="Times New Roman"/>
                                  <w:color w:val="000000"/>
                                  <w:sz w:val="19"/>
                                  <w:szCs w:val="19"/>
                                </w:rPr>
                                <w:t xml:space="preserve">9. Ish tashkiloti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1.1.4-rasm. Tijorat banklari moliyaviy barqarorligiga ta’sir etuvchi omillar</w:t>
      </w:r>
      <w:r>
        <w:rPr>
          <w:rStyle w:val="FootnoteReference"/>
        </w:rPr>
        <w:footnoteReference w:id="81"/>
      </w:r>
    </w:p>
    <w:p>
      <w:pPr>
        <w:pStyle w:val="BodyText"/>
        <w:spacing w:line="360" w:lineRule="auto" w:before="0" w:after="0"/>
        <w:ind w:firstLine="709"/>
        <w:jc w:val="both"/>
      </w:pPr>
      <w:r>
        <w:rPr>
          <w:rFonts w:ascii="Times New Roman" w:hAnsi="Times New Roman" w:cs="Times New Roman" w:eastAsia="Times New Roman"/>
          <w:sz w:val="28"/>
        </w:rPr>
        <w:t xml:space="preserve">Tashqi omillar orasida mualliflar ishonchni «fundamental omil» deb alohida ajratadi</w:t>
      </w:r>
      <w:r>
        <w:rPr>
          <w:rStyle w:val="FootnoteReference"/>
        </w:rPr>
        <w:footnoteReference w:id="82"/>
      </w:r>
      <w:r>
        <w:rPr>
          <w:rFonts w:ascii="Times New Roman" w:hAnsi="Times New Roman" w:cs="Times New Roman" w:eastAsia="Times New Roman"/>
          <w:sz w:val="28"/>
        </w:rPr>
        <w:t xml:space="preserve">.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 name="1.1.5-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1.1.5-rasm. AQSh banklarida moliyaviy barqarorlik pasayishining sabablari, muammoli banklar sonidagi ulushi, %</w:t>
      </w:r>
      <w:r>
        <w:rPr>
          <w:rStyle w:val="FootnoteReference"/>
        </w:rPr>
        <w:footnoteReference w:id="83"/>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FootnoteReference"/>
        </w:rPr>
        <w:footnoteReference w:id="84"/>
      </w:r>
      <w:r>
        <w:rPr>
          <w:rFonts w:ascii="Times New Roman" w:hAnsi="Times New Roman" w:cs="Times New Roman" w:eastAsia="Times New Roman"/>
          <w:sz w:val="28"/>
        </w:rPr>
        <w:t xml:space="preserve">.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FootnoteReference"/>
        </w:rPr>
        <w:footnoteReference w:id="85"/>
      </w:r>
      <w:r>
        <w:rPr>
          <w:rFonts w:ascii="Times New Roman" w:hAnsi="Times New Roman" w:cs="Times New Roman" w:eastAsia="Times New Roman"/>
          <w:sz w:val="28"/>
        </w:rPr>
        <w:t xml:space="preserve">. Bu signallar keyinchalik erta ogohlantirish tizimini ishlab chiqishda asos bo‘lib xizmat qiladi.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ularga qarshi vosita sifatida prudensial nazorat va tartibga solishni, uning maqsadi sifatida esa moliyaviy va iqtisodiy barqarorlikni ko‘rsatadi</w:t>
      </w:r>
      <w:r>
        <w:rPr>
          <w:rStyle w:val="FootnoteReference"/>
        </w:rPr>
        <w:footnoteReference w:id="86"/>
      </w:r>
      <w:r>
        <w:rPr>
          <w:rFonts w:ascii="Times New Roman" w:hAnsi="Times New Roman" w:cs="Times New Roman" w:eastAsia="Times New Roman"/>
          <w:sz w:val="28"/>
        </w:rPr>
        <w:t xml:space="preserve">. D.K. Tarullo ham bank faoliyatini tartibga solishning uchta nazariy asosini keltiradi: bank aktivlarini tashqaridan baholashning qiyinligi, depozitlarni sug‘urtalash va oxirgi instansiya kreditori mavjudligi tug‘diradigan moral xavf hamda tizimli risk</w:t>
      </w:r>
      <w:r>
        <w:rPr>
          <w:rStyle w:val="FootnoteReference"/>
        </w:rPr>
        <w:footnoteReference w:id="87"/>
      </w:r>
      <w:r>
        <w:rPr>
          <w:rFonts w:ascii="Times New Roman" w:hAnsi="Times New Roman" w:cs="Times New Roman" w:eastAsia="Times New Roman"/>
          <w:sz w:val="28"/>
        </w:rPr>
        <w:t xml:space="preserve">. Ana shu nazariy asosda moliyaviy barqarorlikni tushuntiruvchi bir nechta konseptual modellar shakllangan.</w:t>
      </w:r>
    </w:p>
    <w:p>
      <w:pPr>
        <w:pStyle w:val="BodyText"/>
        <w:spacing w:line="360" w:lineRule="auto" w:before="0" w:after="0"/>
        <w:ind w:firstLine="709"/>
        <w:jc w:val="both"/>
      </w:pPr>
      <w:r>
        <w:rPr>
          <w:rFonts w:ascii="Times New Roman" w:hAnsi="Times New Roman" w:cs="Times New Roman" w:eastAsia="Times New Roman"/>
          <w:sz w:val="28"/>
        </w:rP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FootnoteReference"/>
        </w:rPr>
        <w:footnoteReference w:id="88"/>
      </w:r>
      <w:r>
        <w:rPr>
          <w:rFonts w:ascii="Times New Roman" w:hAnsi="Times New Roman" w:cs="Times New Roman" w:eastAsia="Times New Roman"/>
          <w:sz w:val="28"/>
        </w:rPr>
        <w:t xml:space="preserve">. Keyinchalik D. Diamond va R. Rajan bu modelni rivojlantirib, kapitalning bunday shoklarga qarshi bufer vazifasini bajarishini, shu bilan birga uning narxi ham borligini, ya’ni ortiqcha kapital talabi kreditlashning qisqarishiga olib kelishini ko‘rsatgan</w:t>
      </w:r>
      <w:r>
        <w:rPr>
          <w:rStyle w:val="FootnoteReference"/>
        </w:rPr>
        <w:footnoteReference w:id="89"/>
      </w:r>
      <w:r>
        <w:rPr>
          <w:rFonts w:ascii="Times New Roman" w:hAnsi="Times New Roman" w:cs="Times New Roman" w:eastAsia="Times New Roman"/>
          <w:sz w:val="28"/>
        </w:rPr>
        <w:t xml:space="preserve">. Ushbu model likvidlik va fondlash barqarorligini moliyaviy barqarorlikning alohida tarkibiy qismi sifatida baholash zarurligini nazariy jihatdan asoslaydi.</w:t>
      </w:r>
    </w:p>
    <w:p>
      <w:pPr>
        <w:pStyle w:val="BodyText"/>
        <w:spacing w:line="360" w:lineRule="auto" w:before="0" w:after="0"/>
        <w:ind w:firstLine="709"/>
        <w:jc w:val="both"/>
      </w:pPr>
      <w:r>
        <w:rPr>
          <w:rFonts w:ascii="Times New Roman" w:hAnsi="Times New Roman" w:cs="Times New Roman" w:eastAsia="Times New Roman"/>
          <w:sz w:val="28"/>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moliyalashtirishiga siljiydi</w:t>
      </w:r>
      <w:r>
        <w:rPr>
          <w:rStyle w:val="FootnoteReference"/>
        </w:rPr>
        <w:footnoteReference w:id="90"/>
      </w:r>
      <w:r>
        <w:rPr>
          <w:rFonts w:ascii="Times New Roman" w:hAnsi="Times New Roman" w:cs="Times New Roman" w:eastAsia="Times New Roman"/>
          <w:sz w:val="28"/>
        </w:rPr>
        <w:t xml:space="preserve">. J.M. Hendrickson ham bank inqirozining to‘rt elementi sifatida tashqi shok va optimizmni, Minskiy ta’riflagan kredit kengayishini, ishonchning yo‘qolishini va banklarning ommaviy inqiroziga o‘tishni ko‘rsatadi</w:t>
      </w:r>
      <w:r>
        <w:rPr>
          <w:rStyle w:val="FootnoteReference"/>
        </w:rPr>
        <w:footnoteReference w:id="91"/>
      </w:r>
      <w:r>
        <w:rPr>
          <w:rFonts w:ascii="Times New Roman" w:hAnsi="Times New Roman" w:cs="Times New Roman" w:eastAsia="Times New Roman"/>
          <w:sz w:val="28"/>
        </w:rPr>
        <w:t xml:space="preserve">. A.V. Thakor esa bu jarayonni yanada aniqroq ifodalaydi: uzoq muvaffaqiyat bankirlar mahoratiga bo‘lgan ishonchni oshiradi, shok kelganda esa moliyalashtirish to‘xtaydi va «likvidlik inqiroziga o‘xshagan, aslida to‘lov qobiliyati inqirozi» yuzaga keladi</w:t>
      </w:r>
      <w:r>
        <w:rPr>
          <w:rStyle w:val="FootnoteReference"/>
        </w:rPr>
        <w:footnoteReference w:id="92"/>
      </w:r>
      <w:r>
        <w:rPr>
          <w:rFonts w:ascii="Times New Roman" w:hAnsi="Times New Roman" w:cs="Times New Roman" w:eastAsia="Times New Roman"/>
          <w:sz w:val="28"/>
        </w:rPr>
        <w:t xml:space="preserve">. Minskiy modelining baholash metodikasi uchun ahamiyati shundaki, u moliyaviy barqarorlikni bir sanadagi ko‘rsatkichlar bilan emas, balki kredit o‘sishi va qarz yukining dinamikasi orqali kuzatish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FootnoteReference"/>
        </w:rPr>
        <w:footnoteReference w:id="93"/>
      </w:r>
      <w:r>
        <w:rPr>
          <w:rFonts w:ascii="Times New Roman" w:hAnsi="Times New Roman" w:cs="Times New Roman" w:eastAsia="Times New Roman"/>
          <w:sz w:val="28"/>
        </w:rPr>
        <w:t xml:space="preserve">.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FootnoteReference"/>
        </w:rPr>
        <w:footnoteReference w:id="94"/>
      </w:r>
      <w:r>
        <w:rPr>
          <w:rFonts w:ascii="Times New Roman" w:hAnsi="Times New Roman" w:cs="Times New Roman" w:eastAsia="Times New Roman"/>
          <w:sz w:val="28"/>
        </w:rPr>
        <w:t xml:space="preserve">. Biroq bu model aksiyalari birjada faol savdo qilinadigan banklar uchungina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To‘rtinchi model ana shu mantiqdan kelib chiqadi. Aksiyalari bozorda savdo qilinmaydigan banklar uchun shu g‘oyaning buxgalteriya hisobi ma’lumotlariga asoslangan varianti – Z-score ko‘rsatkichi qo‘llanadi. Uning nazariy asosi A.D. Roy tomonidan qo‘yilgan bo‘lib</w:t>
      </w:r>
      <w:r>
        <w:rPr>
          <w:rStyle w:val="FootnoteReference"/>
        </w:rPr>
        <w:footnoteReference w:id="95"/>
      </w:r>
      <w:r>
        <w:rPr>
          <w:rFonts w:ascii="Times New Roman" w:hAnsi="Times New Roman" w:cs="Times New Roman" w:eastAsia="Times New Roman"/>
          <w:sz w:val="28"/>
        </w:rPr>
        <w:t xml:space="preserve">, bank faoliyatiga J.H. Boyd va S.L. Graham tomonidan tatbiq etilgan</w:t>
      </w:r>
      <w:r>
        <w:rPr>
          <w:rStyle w:val="FootnoteReference"/>
        </w:rPr>
        <w:footnoteReference w:id="96"/>
      </w:r>
      <w:r>
        <w:rPr>
          <w:rFonts w:ascii="Times New Roman" w:hAnsi="Times New Roman" w:cs="Times New Roman" w:eastAsia="Times New Roman"/>
          <w:sz w:val="28"/>
        </w:rP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6" name="1.1.6-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1.1.6-rasm. Z-score ko‘rsatkichiga asoslangan modelning Yevropa banklari muammolarini bashorat qilish aniqligi, %</w:t>
      </w:r>
      <w:r>
        <w:rPr>
          <w:rStyle w:val="FootnoteReference"/>
        </w:rPr>
        <w:footnoteReference w:id="97"/>
      </w:r>
    </w:p>
    <w:p>
      <w:pPr>
        <w:pStyle w:val="BodyText"/>
        <w:spacing w:line="360" w:lineRule="auto" w:before="0" w:after="0"/>
        <w:ind w:firstLine="709"/>
        <w:jc w:val="both"/>
      </w:pPr>
      <w:r>
        <w:rPr>
          <w:rFonts w:ascii="Times New Roman" w:hAnsi="Times New Roman" w:cs="Times New Roman" w:eastAsia="Times New Roman"/>
          <w:sz w:val="28"/>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FootnoteReference"/>
        </w:rPr>
        <w:footnoteReference w:id="98"/>
      </w:r>
      <w:r>
        <w:rPr>
          <w:rFonts w:ascii="Times New Roman" w:hAnsi="Times New Roman" w:cs="Times New Roman" w:eastAsia="Times New Roman"/>
          <w:sz w:val="28"/>
        </w:rPr>
        <w:t xml:space="preserve">. Bu xulosa aksiyalar bozori rivojlanmagan O‘zbekiston sharoitida buxgalteriya ma’lumotlariga asoslangan integral baholash usullarining afzalligini asoslaydi.</w:t>
      </w:r>
    </w:p>
    <w:p>
      <w:pPr>
        <w:pStyle w:val="BodyText"/>
        <w:spacing w:line="360" w:lineRule="auto" w:before="0" w:after="0"/>
        <w:ind w:firstLine="709"/>
        <w:jc w:val="both"/>
      </w:pPr>
      <w:r>
        <w:rPr>
          <w:rFonts w:ascii="Times New Roman" w:hAnsi="Times New Roman" w:cs="Times New Roman" w:eastAsia="Times New Roman"/>
          <w:sz w:val="28"/>
        </w:rPr>
        <w:t xml:space="preserve">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FootnoteReference"/>
        </w:rPr>
        <w:footnoteReference w:id="99"/>
      </w:r>
      <w:r>
        <w:rPr>
          <w:rFonts w:ascii="Times New Roman" w:hAnsi="Times New Roman" w:cs="Times New Roman" w:eastAsia="Times New Roman"/>
          <w:sz w:val="28"/>
        </w:rPr>
        <w:t xml:space="preserve">. Keyinchalik bu yondashuv asosida T. Adrian va M. Brunnermeier taklif etgan CoVaR kabi bozor ma’lumotlariga asoslangan tizimli risk ko‘rsatkichlari ishlab chiqildi</w:t>
      </w:r>
      <w:r>
        <w:rPr>
          <w:rStyle w:val="FootnoteReference"/>
        </w:rPr>
        <w:footnoteReference w:id="100"/>
      </w:r>
      <w:r>
        <w:rPr>
          <w:rFonts w:ascii="Times New Roman" w:hAnsi="Times New Roman" w:cs="Times New Roman" w:eastAsia="Times New Roman"/>
          <w:sz w:val="28"/>
        </w:rPr>
        <w:t xml:space="preserve">.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FootnoteReference"/>
        </w:rPr>
        <w:footnoteReference w:id="101"/>
      </w:r>
      <w:r>
        <w:rPr>
          <w:rFonts w:ascii="Times New Roman" w:hAnsi="Times New Roman" w:cs="Times New Roman" w:eastAsia="Times New Roman"/>
          <w:sz w:val="28"/>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pPr>
        <w:pStyle w:val="BodyText"/>
        <w:spacing w:line="360" w:lineRule="auto" w:before="0" w:after="0"/>
        <w:ind w:firstLine="709"/>
        <w:jc w:val="both"/>
      </w:pPr>
      <w:r>
        <w:rPr>
          <w:rFonts w:ascii="Times New Roman" w:hAnsi="Times New Roman" w:cs="Times New Roman" w:eastAsia="Times New Roman"/>
          <w:sz w:val="28"/>
        </w:rPr>
        <w:t xml:space="preserve">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FootnoteReference"/>
        </w:rPr>
        <w:footnoteReference w:id="102"/>
      </w:r>
      <w:r>
        <w:rPr>
          <w:rFonts w:ascii="Times New Roman" w:hAnsi="Times New Roman" w:cs="Times New Roman" w:eastAsia="Times New Roman"/>
          <w:sz w:val="28"/>
        </w:rPr>
        <w:t xml:space="preserve">.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tushuntiruvchi konseptual modellarning qiyosiy tavsifi</w:t>
      </w:r>
      <w:r>
        <w:rPr>
          <w:rStyle w:val="FootnoteReference"/>
        </w:rPr>
        <w:footnoteReference w:id="103"/>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Model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g‘oyasi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ko‘rsatkichi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 yaratish va ommaviy mablag‘ talab qilish modeli (Diamond–Dybvig, Diamond–Rajan)</w:t>
            </w:r>
          </w:p>
        </w:tc>
        <w:tc>
          <w:tcPr/>
          <w:p>
            <w:pPr>
              <w:pStyle w:val="Compact"/>
              <w:spacing w:line="240" w:lineRule="auto"/>
              <w:ind w:firstLine="0"/>
              <w:jc w:val="left"/>
            </w:pPr>
            <w:r>
              <w:rPr>
                <w:rFonts w:ascii="Times New Roman" w:hAnsi="Times New Roman" w:cs="Times New Roman" w:eastAsia="Times New Roman"/>
                <w:sz w:val="22"/>
              </w:rPr>
              <w:t xml:space="preserve">Muddatlar transformatsiyasi bankni ishonch yo‘qolishiga zaif qiladi</w:t>
            </w:r>
          </w:p>
        </w:tc>
        <w:tc>
          <w:tcPr/>
          <w:p>
            <w:pPr>
              <w:pStyle w:val="Compact"/>
              <w:spacing w:line="240" w:lineRule="auto"/>
              <w:ind w:firstLine="0"/>
              <w:jc w:val="left"/>
            </w:pPr>
            <w:r>
              <w:rPr>
                <w:rFonts w:ascii="Times New Roman" w:hAnsi="Times New Roman" w:cs="Times New Roman" w:eastAsia="Times New Roman"/>
                <w:sz w:val="22"/>
              </w:rPr>
              <w:t xml:space="preserve">Likvid aktivlar, barqaror moliyalashtirish</w:t>
            </w:r>
          </w:p>
        </w:tc>
        <w:tc>
          <w:tcPr/>
          <w:p>
            <w:pPr>
              <w:pStyle w:val="Compact"/>
              <w:spacing w:line="240" w:lineRule="auto"/>
              <w:ind w:firstLine="0"/>
              <w:jc w:val="left"/>
            </w:pPr>
            <w:r>
              <w:rPr>
                <w:rFonts w:ascii="Times New Roman" w:hAnsi="Times New Roman" w:cs="Times New Roman" w:eastAsia="Times New Roman"/>
                <w:sz w:val="22"/>
              </w:rPr>
              <w:t xml:space="preserve">Likvidlik va fondlash alohida blok sifatida baholanadi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Moliyaviy beqarorlik gipotezasi (Minskiy)</w:t>
            </w:r>
          </w:p>
        </w:tc>
        <w:tc>
          <w:tcPr/>
          <w:p>
            <w:pPr>
              <w:pStyle w:val="Compact"/>
              <w:spacing w:line="240" w:lineRule="auto"/>
              <w:ind w:firstLine="0"/>
              <w:jc w:val="left"/>
            </w:pPr>
            <w:r>
              <w:rPr>
                <w:rFonts w:ascii="Times New Roman" w:hAnsi="Times New Roman" w:cs="Times New Roman" w:eastAsia="Times New Roman"/>
                <w:sz w:val="22"/>
              </w:rPr>
              <w:t xml:space="preserve">Uzoq barqarorlik riskka moyillikni oshiradi</w:t>
            </w:r>
          </w:p>
        </w:tc>
        <w:tc>
          <w:tcPr/>
          <w:p>
            <w:pPr>
              <w:pStyle w:val="Compact"/>
              <w:spacing w:line="240" w:lineRule="auto"/>
              <w:ind w:firstLine="0"/>
              <w:jc w:val="left"/>
            </w:pPr>
            <w:r>
              <w:rPr>
                <w:rFonts w:ascii="Times New Roman" w:hAnsi="Times New Roman" w:cs="Times New Roman" w:eastAsia="Times New Roman"/>
                <w:sz w:val="22"/>
              </w:rPr>
              <w:t xml:space="preserve">Kredit o‘sishi, qarz yuki</w:t>
            </w:r>
          </w:p>
        </w:tc>
        <w:tc>
          <w:tcPr/>
          <w:p>
            <w:pPr>
              <w:pStyle w:val="Compact"/>
              <w:spacing w:line="240" w:lineRule="auto"/>
              <w:ind w:firstLine="0"/>
              <w:jc w:val="left"/>
            </w:pPr>
            <w:r>
              <w:rPr>
                <w:rFonts w:ascii="Times New Roman" w:hAnsi="Times New Roman" w:cs="Times New Roman" w:eastAsia="Times New Roman"/>
                <w:sz w:val="22"/>
              </w:rPr>
              <w:t xml:space="preserve">Ko‘rsatkichlarning dinamikasi va kredit o‘sishi kuzatiladi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Kapital-bufer va tarkibiy model (Tarullo, Merton)</w:t>
            </w:r>
          </w:p>
        </w:tc>
        <w:tc>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w:t>
            </w:r>
          </w:p>
        </w:tc>
        <w:tc>
          <w:tcPr/>
          <w:p>
            <w:pPr>
              <w:pStyle w:val="Compact"/>
              <w:spacing w:line="240" w:lineRule="auto"/>
              <w:ind w:firstLine="0"/>
              <w:jc w:val="left"/>
            </w:pPr>
            <w:r>
              <w:rPr>
                <w:rFonts w:ascii="Times New Roman" w:hAnsi="Times New Roman" w:cs="Times New Roman" w:eastAsia="Times New Roman"/>
                <w:sz w:val="22"/>
              </w:rPr>
              <w:t xml:space="preserve">Kapital yetarliligi, defoltgacha masofa</w:t>
            </w:r>
          </w:p>
        </w:tc>
        <w:tc>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Z-score modeli (Roy, Boyd–Graham)</w:t>
            </w:r>
          </w:p>
        </w:tc>
        <w:tc>
          <w:tcPr/>
          <w:p>
            <w:pPr>
              <w:pStyle w:val="Compact"/>
              <w:spacing w:line="240" w:lineRule="auto"/>
              <w:ind w:firstLine="0"/>
              <w:jc w:val="left"/>
            </w:pPr>
            <w:r>
              <w:rPr>
                <w:rFonts w:ascii="Times New Roman" w:hAnsi="Times New Roman" w:cs="Times New Roman" w:eastAsia="Times New Roman"/>
                <w:sz w:val="22"/>
              </w:rPr>
              <w:t xml:space="preserve">To‘lovga qobiliyatsizlikkacha bo‘lgan masofa</w:t>
            </w:r>
          </w:p>
        </w:tc>
        <w:tc>
          <w:tcPr/>
          <w:p>
            <w:pPr>
              <w:pStyle w:val="Compact"/>
              <w:spacing w:line="240" w:lineRule="auto"/>
              <w:ind w:firstLine="0"/>
              <w:jc w:val="left"/>
            </w:pPr>
            <w:r>
              <w:rPr>
                <w:rFonts w:ascii="Times New Roman" w:hAnsi="Times New Roman" w:cs="Times New Roman" w:eastAsia="Times New Roman"/>
                <w:sz w:val="22"/>
              </w:rPr>
              <w:t xml:space="preserve">Kapital/aktivlar, ROA va uning o‘zgaruvchanligi</w:t>
            </w:r>
          </w:p>
        </w:tc>
        <w:tc>
          <w:tcPr/>
          <w:p>
            <w:pPr>
              <w:pStyle w:val="Compact"/>
              <w:spacing w:line="240" w:lineRule="auto"/>
              <w:ind w:firstLine="0"/>
              <w:jc w:val="left"/>
            </w:pPr>
            <w:r>
              <w:rPr>
                <w:rFonts w:ascii="Times New Roman" w:hAnsi="Times New Roman" w:cs="Times New Roman" w:eastAsia="Times New Roman"/>
                <w:sz w:val="22"/>
              </w:rPr>
              <w:t xml:space="preserve">Buxgalteriya ma’lumotlari asosida integral baho va bashorat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Makroprudensial modellar (Borio, Adrian–Brunnermeier)</w:t>
            </w:r>
          </w:p>
        </w:tc>
        <w:tc>
          <w:tcPr/>
          <w:p>
            <w:pPr>
              <w:pStyle w:val="Compact"/>
              <w:spacing w:line="240" w:lineRule="auto"/>
              <w:ind w:firstLine="0"/>
              <w:jc w:val="left"/>
            </w:pPr>
            <w:r>
              <w:rPr>
                <w:rFonts w:ascii="Times New Roman" w:hAnsi="Times New Roman" w:cs="Times New Roman" w:eastAsia="Times New Roman"/>
                <w:sz w:val="22"/>
              </w:rPr>
              <w:t xml:space="preserve">Tizimli risk vaqt va kesim o‘lchovida to‘planadi</w:t>
            </w:r>
          </w:p>
        </w:tc>
        <w:tc>
          <w:tcPr/>
          <w:p>
            <w:pPr>
              <w:pStyle w:val="Compact"/>
              <w:spacing w:line="240" w:lineRule="auto"/>
              <w:ind w:firstLine="0"/>
              <w:jc w:val="left"/>
            </w:pPr>
            <w:r>
              <w:rPr>
                <w:rFonts w:ascii="Times New Roman" w:hAnsi="Times New Roman" w:cs="Times New Roman" w:eastAsia="Times New Roman"/>
                <w:sz w:val="22"/>
              </w:rPr>
              <w:t xml:space="preserve">Kredit gepi, CoVaR, o‘zaro bog‘liqlik</w:t>
            </w:r>
          </w:p>
        </w:tc>
        <w:tc>
          <w:tcPr/>
          <w:p>
            <w:pPr>
              <w:pStyle w:val="Compact"/>
              <w:spacing w:line="240" w:lineRule="auto"/>
              <w:ind w:firstLine="0"/>
              <w:jc w:val="left"/>
            </w:pPr>
            <w:r>
              <w:rPr>
                <w:rFonts w:ascii="Times New Roman" w:hAnsi="Times New Roman" w:cs="Times New Roman" w:eastAsia="Times New Roman"/>
                <w:sz w:val="22"/>
              </w:rPr>
              <w:t xml:space="preserve">Mikro va makro baholash uyg‘unlashtiriladi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Kelajakka yo‘naltirilgan risk modeli (Bazel III, MHXS 9)</w:t>
            </w:r>
          </w:p>
        </w:tc>
        <w:tc>
          <w:tcPr/>
          <w:p>
            <w:pPr>
              <w:pStyle w:val="Compact"/>
              <w:spacing w:line="240" w:lineRule="auto"/>
              <w:ind w:firstLine="0"/>
              <w:jc w:val="left"/>
            </w:pPr>
            <w:r>
              <w:rPr>
                <w:rFonts w:ascii="Times New Roman" w:hAnsi="Times New Roman" w:cs="Times New Roman" w:eastAsia="Times New Roman"/>
                <w:sz w:val="22"/>
              </w:rPr>
              <w:t xml:space="preserve">Zararlar yuz berishidan oldin baholanadi va qoplanadi</w:t>
            </w:r>
          </w:p>
        </w:tc>
        <w:tc>
          <w:tcPr/>
          <w:p>
            <w:pPr>
              <w:pStyle w:val="Compact"/>
              <w:spacing w:line="240" w:lineRule="auto"/>
              <w:ind w:firstLine="0"/>
              <w:jc w:val="left"/>
            </w:pPr>
            <w:r>
              <w:rPr>
                <w:rFonts w:ascii="Times New Roman" w:hAnsi="Times New Roman" w:cs="Times New Roman" w:eastAsia="Times New Roman"/>
                <w:sz w:val="22"/>
              </w:rPr>
              <w:t xml:space="preserve">Kutilgan kredit zararlari, stress-test natijalari</w:t>
            </w:r>
          </w:p>
        </w:tc>
        <w:tc>
          <w:tcPr/>
          <w:p>
            <w:pPr>
              <w:pStyle w:val="Compact"/>
              <w:spacing w:line="240" w:lineRule="auto"/>
              <w:ind w:firstLine="0"/>
              <w:jc w:val="left"/>
            </w:pPr>
            <w:r>
              <w:rPr>
                <w:rFonts w:ascii="Times New Roman" w:hAnsi="Times New Roman" w:cs="Times New Roman" w:eastAsia="Times New Roman"/>
                <w:sz w:val="22"/>
              </w:rPr>
              <w:t xml:space="preserve">Baholashga prognoz va stress elementlari kiritiladi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pPr>
        <w:pStyle w:val="BodyText"/>
        <w:spacing w:line="360" w:lineRule="auto" w:before="0" w:after="0"/>
        <w:ind w:firstLine="709"/>
        <w:jc w:val="both"/>
      </w:pPr>
      <w:r>
        <w:rPr>
          <w:rFonts w:ascii="Times New Roman" w:hAnsi="Times New Roman" w:cs="Times New Roman" w:eastAsia="Times New Roman"/>
          <w:sz w:val="28"/>
        </w:rPr>
        <w:t xml:space="preserve">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808000"/>
                <wp:effectExtent l="0" t="0" r="0" b="0"/>
                <wp:docPr id="7" name="1.1.7-rasm"/>
                <wp:cNvGraphicFramePr/>
                <a:graphic>
                  <a:graphicData uri="http://schemas.microsoft.com/office/word/2010/wordprocessingGroup">
                    <wpg:wgp>
                      <wpg:cNvGrpSpPr/>
                      <wpg:grpSpPr>
                        <a:xfrm>
                          <a:off x="0" y="0"/>
                          <a:ext cx="5904000" cy="2808000"/>
                          <a:chOff x="0" y="0"/>
                          <a:chExt cx="5904000" cy="2808000"/>
                        </a:xfrm>
                      </wpg:grpSpPr>
                      <wps:wsp>
                        <wps:cNvPr id="50"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Makroiqtisodiy muhit va tizimli risklar</w:t>
                              </w:r>
                            </w:p>
                          </w:txbxContent>
                        </wps:txbx>
                        <wps:bodyPr rot="0" vert="horz" wrap="square" lIns="36000" tIns="18000" rIns="36000" bIns="18000" anchor="ctr" anchorCtr="0">
                          <a:noAutofit/>
                        </wps:bodyPr>
                      </wps:wsp>
                      <wps:wsp>
                        <wps:cNvPr id="51"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w:t>
                              </w:r>
                            </w:p>
                          </w:txbxContent>
                        </wps:txbx>
                        <wps:bodyPr rot="0" vert="horz" wrap="square" lIns="36000" tIns="18000" rIns="36000" bIns="18000" anchor="ctr" anchorCtr="0">
                          <a:noAutofit/>
                        </wps:bodyPr>
                      </wps:wsp>
                      <wps:wsp>
                        <wps:cNvPr id="52" name="Connector 52"/>
                        <wps:cNvCnPr/>
                        <wps:spPr>
                          <a:xfrm>
                            <a:off x="585000" y="774000"/>
                            <a:ext cx="2367000" cy="162000"/>
                          </a:xfrm>
                          <a:prstGeom prst="straightConnector1">
                            <a:avLst/>
                          </a:prstGeom>
                          <a:ln w="12700">
                            <a:solidFill>
                              <a:srgbClr val="7F7F7F"/>
                            </a:solidFill>
                          </a:ln>
                        </wps:spPr>
                        <wps:bodyPr/>
                      </wps:wsp>
                      <wps:wsp>
                        <wps:cNvPr id="53"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w:t>
                              </w:r>
                            </w:p>
                            <w:p>
                              <w:pPr>
                                <w:spacing w:before="0" w:after="0" w:line="228" w:lineRule="auto"/>
                                <w:jc w:val="center"/>
                                <w:ind w:firstLine="0"/>
                              </w:pPr>
                              <w:r>
                                <w:rPr>
                                  <w:rFonts w:ascii="Times New Roman" w:hAnsi="Times New Roman" w:cs="Times New Roman"/>
                                  <w:b/>
                                  <w:color w:val="FFFFFF"/>
                                  <w:sz w:val="20"/>
                                  <w:szCs w:val="20"/>
                                </w:rPr>
                                <w:t xml:space="preserve">sifati</w:t>
                              </w:r>
                            </w:p>
                          </w:txbxContent>
                        </wps:txbx>
                        <wps:bodyPr rot="0" vert="horz" wrap="square" lIns="36000" tIns="18000" rIns="36000" bIns="18000" anchor="ctr" anchorCtr="0">
                          <a:noAutofit/>
                        </wps:bodyPr>
                      </wps:wsp>
                      <wps:wsp>
                        <wps:cNvPr id="54" name="Connector 54"/>
                        <wps:cNvCnPr/>
                        <wps:spPr>
                          <a:xfrm>
                            <a:off x="1769400" y="774000"/>
                            <a:ext cx="1182600" cy="162000"/>
                          </a:xfrm>
                          <a:prstGeom prst="straightConnector1">
                            <a:avLst/>
                          </a:prstGeom>
                          <a:ln w="12700">
                            <a:solidFill>
                              <a:srgbClr val="7F7F7F"/>
                            </a:solidFill>
                          </a:ln>
                        </wps:spPr>
                        <wps:bodyPr/>
                      </wps:wsp>
                      <wps:wsp>
                        <wps:cNvPr id="55"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Likvidlik</w:t>
                              </w:r>
                            </w:p>
                          </w:txbxContent>
                        </wps:txbx>
                        <wps:bodyPr rot="0" vert="horz" wrap="square" lIns="36000" tIns="18000" rIns="36000" bIns="18000" anchor="ctr" anchorCtr="0">
                          <a:noAutofit/>
                        </wps:bodyPr>
                      </wps:wsp>
                      <wps:wsp>
                        <wps:cNvPr id="56" name="Connector 56"/>
                        <wps:cNvCnPr/>
                        <wps:spPr>
                          <a:xfrm flipH="1">
                            <a:off x="2952000" y="774000"/>
                            <a:ext cx="1800" cy="162000"/>
                          </a:xfrm>
                          <a:prstGeom prst="straightConnector1">
                            <a:avLst/>
                          </a:prstGeom>
                          <a:ln w="12700">
                            <a:solidFill>
                              <a:srgbClr val="7F7F7F"/>
                            </a:solidFill>
                          </a:ln>
                        </wps:spPr>
                        <wps:bodyPr/>
                      </wps:wsp>
                      <wps:wsp>
                        <wps:cNvPr id="57"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Daromad-</w:t>
                              </w:r>
                            </w:p>
                            <w:p>
                              <w:pPr>
                                <w:spacing w:before="0" w:after="0" w:line="228" w:lineRule="auto"/>
                                <w:jc w:val="center"/>
                                <w:ind w:firstLine="0"/>
                              </w:pPr>
                              <w:r>
                                <w:rPr>
                                  <w:rFonts w:ascii="Times New Roman" w:hAnsi="Times New Roman" w:cs="Times New Roman"/>
                                  <w:b/>
                                  <w:color w:val="000000"/>
                                  <w:sz w:val="20"/>
                                  <w:szCs w:val="20"/>
                                </w:rPr>
                                <w:t xml:space="preserve">lilik</w:t>
                              </w:r>
                            </w:p>
                          </w:txbxContent>
                        </wps:txbx>
                        <wps:bodyPr rot="0" vert="horz" wrap="square" lIns="36000" tIns="18000" rIns="36000" bIns="18000" anchor="ctr" anchorCtr="0">
                          <a:noAutofit/>
                        </wps:bodyPr>
                      </wps:wsp>
                      <wps:wsp>
                        <wps:cNvPr id="58" name="Connector 58"/>
                        <wps:cNvCnPr/>
                        <wps:spPr>
                          <a:xfrm flipH="1">
                            <a:off x="2952000" y="774000"/>
                            <a:ext cx="1186200" cy="162000"/>
                          </a:xfrm>
                          <a:prstGeom prst="straightConnector1">
                            <a:avLst/>
                          </a:prstGeom>
                          <a:ln w="12700">
                            <a:solidFill>
                              <a:srgbClr val="7F7F7F"/>
                            </a:solidFill>
                          </a:ln>
                        </wps:spPr>
                        <wps:bodyPr/>
                      </wps:wsp>
                      <wps:wsp>
                        <wps:cNvPr id="59"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Boshqaruv</w:t>
                              </w:r>
                            </w:p>
                            <w:p>
                              <w:pPr>
                                <w:spacing w:before="0" w:after="0" w:line="228" w:lineRule="auto"/>
                                <w:jc w:val="center"/>
                                <w:ind w:firstLine="0"/>
                              </w:pPr>
                              <w:r>
                                <w:rPr>
                                  <w:rFonts w:ascii="Times New Roman" w:hAnsi="Times New Roman" w:cs="Times New Roman"/>
                                  <w:b/>
                                  <w:color w:val="000000"/>
                                  <w:sz w:val="20"/>
                                  <w:szCs w:val="20"/>
                                </w:rPr>
                                <w:t xml:space="preserve">sifati</w:t>
                              </w:r>
                            </w:p>
                          </w:txbxContent>
                        </wps:txbx>
                        <wps:bodyPr rot="0" vert="horz" wrap="square" lIns="36000" tIns="18000" rIns="36000" bIns="18000" anchor="ctr" anchorCtr="0">
                          <a:noAutofit/>
                        </wps:bodyPr>
                      </wps:wsp>
                      <wps:wsp>
                        <wps:cNvPr id="60" name="Connector 60"/>
                        <wps:cNvCnPr/>
                        <wps:spPr>
                          <a:xfrm flipH="1">
                            <a:off x="2952000" y="774000"/>
                            <a:ext cx="2370600" cy="162000"/>
                          </a:xfrm>
                          <a:prstGeom prst="straightConnector1">
                            <a:avLst/>
                          </a:prstGeom>
                          <a:ln w="12700">
                            <a:solidFill>
                              <a:srgbClr val="7F7F7F"/>
                            </a:solidFill>
                          </a:ln>
                        </wps:spPr>
                        <wps:bodyPr/>
                      </wps:wsp>
                      <wps:wsp>
                        <wps:cNvPr id="61"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Daraja</w:t>
                              </w:r>
                            </w:p>
                            <w:p>
                              <w:pPr>
                                <w:spacing w:before="0" w:after="0" w:line="228" w:lineRule="auto"/>
                                <w:jc w:val="center"/>
                                <w:ind w:firstLine="0"/>
                              </w:pPr>
                              <w:r>
                                <w:rPr>
                                  <w:rFonts w:ascii="Times New Roman" w:hAnsi="Times New Roman" w:cs="Times New Roman"/>
                                  <w:color w:val="000000"/>
                                  <w:sz w:val="18"/>
                                  <w:szCs w:val="18"/>
                                </w:rPr>
                                <w:t xml:space="preserve">xalqaro va milliy</w:t>
                              </w:r>
                            </w:p>
                            <w:p>
                              <w:pPr>
                                <w:spacing w:before="0" w:after="0" w:line="228" w:lineRule="auto"/>
                                <w:jc w:val="center"/>
                                <w:ind w:firstLine="0"/>
                              </w:pPr>
                              <w:r>
                                <w:rPr>
                                  <w:rFonts w:ascii="Times New Roman" w:hAnsi="Times New Roman" w:cs="Times New Roman"/>
                                  <w:color w:val="000000"/>
                                  <w:sz w:val="18"/>
                                  <w:szCs w:val="18"/>
                                </w:rPr>
                                <w:t xml:space="preserve">chegaralarga nisbatan</w:t>
                              </w:r>
                            </w:p>
                          </w:txbxContent>
                        </wps:txbx>
                        <wps:bodyPr rot="0" vert="horz" wrap="square" lIns="36000" tIns="18000" rIns="36000" bIns="18000" anchor="ctr" anchorCtr="0">
                          <a:noAutofit/>
                        </wps:bodyPr>
                      </wps:wsp>
                      <wps:wsp>
                        <wps:cNvPr id="62"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Dinamika</w:t>
                              </w:r>
                            </w:p>
                            <w:p>
                              <w:pPr>
                                <w:spacing w:before="0" w:after="0" w:line="228" w:lineRule="auto"/>
                                <w:jc w:val="center"/>
                                <w:ind w:firstLine="0"/>
                              </w:pPr>
                              <w:r>
                                <w:rPr>
                                  <w:rFonts w:ascii="Times New Roman" w:hAnsi="Times New Roman" w:cs="Times New Roman"/>
                                  <w:color w:val="000000"/>
                                  <w:sz w:val="18"/>
                                  <w:szCs w:val="18"/>
                                </w:rPr>
                                <w:t xml:space="preserve">3–5 yillik trend</w:t>
                              </w:r>
                            </w:p>
                            <w:p>
                              <w:pPr>
                                <w:spacing w:before="0" w:after="0" w:line="228" w:lineRule="auto"/>
                                <w:jc w:val="center"/>
                                <w:ind w:firstLine="0"/>
                              </w:pPr>
                              <w:r>
                                <w:rPr>
                                  <w:rFonts w:ascii="Times New Roman" w:hAnsi="Times New Roman" w:cs="Times New Roman"/>
                                  <w:color w:val="000000"/>
                                  <w:sz w:val="18"/>
                                  <w:szCs w:val="18"/>
                                </w:rPr>
                                <w:t xml:space="preserve">va tebranish</w:t>
                              </w:r>
                            </w:p>
                          </w:txbxContent>
                        </wps:txbx>
                        <wps:bodyPr rot="0" vert="horz" wrap="square" lIns="36000" tIns="18000" rIns="36000" bIns="18000" anchor="ctr" anchorCtr="0">
                          <a:noAutofit/>
                        </wps:bodyPr>
                      </wps:wsp>
                      <wps:wsp>
                        <wps:cNvPr id="63"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Muvozanat</w:t>
                              </w:r>
                            </w:p>
                            <w:p>
                              <w:pPr>
                                <w:spacing w:before="0" w:after="0" w:line="228" w:lineRule="auto"/>
                                <w:jc w:val="center"/>
                                <w:ind w:firstLine="0"/>
                              </w:pPr>
                              <w:r>
                                <w:rPr>
                                  <w:rFonts w:ascii="Times New Roman" w:hAnsi="Times New Roman" w:cs="Times New Roman"/>
                                  <w:color w:val="000000"/>
                                  <w:sz w:val="18"/>
                                  <w:szCs w:val="18"/>
                                </w:rPr>
                                <w:t xml:space="preserve">bloklar o‘rtasidagi</w:t>
                              </w:r>
                            </w:p>
                            <w:p>
                              <w:pPr>
                                <w:spacing w:before="0" w:after="0" w:line="228" w:lineRule="auto"/>
                                <w:jc w:val="center"/>
                                <w:ind w:firstLine="0"/>
                              </w:pPr>
                              <w:r>
                                <w:rPr>
                                  <w:rFonts w:ascii="Times New Roman" w:hAnsi="Times New Roman" w:cs="Times New Roman"/>
                                  <w:color w:val="000000"/>
                                  <w:sz w:val="18"/>
                                  <w:szCs w:val="18"/>
                                </w:rPr>
                                <w:t xml:space="preserve">mutanosiblik</w:t>
                              </w:r>
                            </w:p>
                          </w:txbxContent>
                        </wps:txbx>
                        <wps:bodyPr rot="0" vert="horz" wrap="square" lIns="36000" tIns="18000" rIns="36000" bIns="18000" anchor="ctr" anchorCtr="0">
                          <a:noAutofit/>
                        </wps:bodyPr>
                      </wps:wsp>
                      <wps:wsp>
                        <wps:cNvPr id="64" name="Connector 64"/>
                        <wps:cNvCnPr/>
                        <wps:spPr>
                          <a:xfrm>
                            <a:off x="2952000" y="1386000"/>
                            <a:ext cx="0" cy="162000"/>
                          </a:xfrm>
                          <a:prstGeom prst="straightConnector1">
                            <a:avLst/>
                          </a:prstGeom>
                          <a:ln w="19050">
                            <a:solidFill>
                              <a:srgbClr val="404040"/>
                            </a:solidFill>
                            <a:tailEnd type="triangle" w="med" len="med"/>
                          </a:ln>
                        </wps:spPr>
                        <wps:bodyPr/>
                      </wps:wsp>
                      <wps:wsp>
                        <wps:cNvPr id="65"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Integral moliyaviy barqarorlik ko‘rsatkichi</w:t>
                              </w:r>
                            </w:p>
                          </w:txbxContent>
                        </wps:txbx>
                        <wps:bodyPr rot="0" vert="horz" wrap="square" lIns="36000" tIns="18000" rIns="36000" bIns="18000" anchor="ctr" anchorCtr="0">
                          <a:noAutofit/>
                        </wps:bodyPr>
                      </wps:wsp>
                      <wps:wsp>
                        <wps:cNvPr id="66"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67" name="Connector 67"/>
                        <wps:cNvCnPr/>
                        <wps:spPr>
                          <a:xfrm>
                            <a:off x="3744000" y="1890000"/>
                            <a:ext cx="648000" cy="180000"/>
                          </a:xfrm>
                          <a:prstGeom prst="straightConnector1">
                            <a:avLst/>
                          </a:prstGeom>
                          <a:ln w="15875">
                            <a:solidFill>
                              <a:srgbClr val="404040"/>
                            </a:solidFill>
                            <a:tailEnd type="triangle" w="med" len="med"/>
                          </a:ln>
                        </wps:spPr>
                        <wps:bodyPr/>
                      </wps:wsp>
                      <wps:wsp>
                        <wps:cNvPr id="68"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Erta ogohlantirish signallari</w:t>
                              </w:r>
                            </w:p>
                          </w:txbxContent>
                        </wps:txbx>
                        <wps:bodyPr rot="0" vert="horz" wrap="square" lIns="36000" tIns="18000" rIns="36000" bIns="18000" anchor="ctr" anchorCtr="0">
                          <a:noAutofit/>
                        </wps:bodyPr>
                      </wps:wsp>
                      <wps:wsp>
                        <wps:cNvPr id="69"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70"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1.1.7-rasm. Tijorat banklari moliyaviy barqarorligini baholashning konseptual modeli</w:t>
      </w:r>
      <w:r>
        <w:rPr>
          <w:rStyle w:val="FootnoteReference"/>
        </w:rPr>
        <w:footnoteReference w:id="104"/>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bookmarkEnd w:id="1"/>
    <w:bookmarkStart w:id="2" w:name="X14b3294ce8678c3fd3856a91dee6c3d5b919ca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1.2-§. Banklar moliyaviy barqarorligini baholashning xalqaro standartlari va metodologik yondashuvlari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pPr>
        <w:pStyle w:val="BodyText"/>
        <w:spacing w:line="360" w:lineRule="auto" w:before="0" w:after="0"/>
        <w:ind w:firstLine="709"/>
        <w:jc w:val="both"/>
      </w:pPr>
      <w:r>
        <w:rPr>
          <w:rFonts w:ascii="Times New Roman" w:hAnsi="Times New Roman" w:cs="Times New Roman" w:eastAsia="Times New Roman"/>
          <w:sz w:val="28"/>
        </w:rPr>
        <w:t xml:space="preserve">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FootnoteReference"/>
        </w:rPr>
        <w:footnoteReference w:id="105"/>
      </w:r>
      <w:r>
        <w:rPr>
          <w:rFonts w:ascii="Times New Roman" w:hAnsi="Times New Roman" w:cs="Times New Roman" w:eastAsia="Times New Roman"/>
          <w:sz w:val="28"/>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tizimli riskni ajratadi</w:t>
      </w:r>
      <w:r>
        <w:rPr>
          <w:rStyle w:val="FootnoteReference"/>
        </w:rPr>
        <w:footnoteReference w:id="106"/>
      </w:r>
      <w:r>
        <w:rPr>
          <w:rFonts w:ascii="Times New Roman" w:hAnsi="Times New Roman" w:cs="Times New Roman" w:eastAsia="Times New Roman"/>
          <w:sz w:val="28"/>
        </w:rPr>
        <w:t xml:space="preserve">. T.F. Cargill esa banklar orqali bilvosita moliyalashni G. Akerlofning «limonlar» muammosiga bozorning o‘zi topgan yechim sifatida baholaydi</w:t>
      </w:r>
      <w:r>
        <w:rPr>
          <w:rStyle w:val="FootnoteReference"/>
        </w:rPr>
        <w:footnoteReference w:id="107"/>
      </w:r>
      <w:r>
        <w:rPr>
          <w:rFonts w:ascii="Times New Roman" w:hAnsi="Times New Roman" w:cs="Times New Roman" w:eastAsia="Times New Roman"/>
          <w:sz w:val="28"/>
        </w:rPr>
        <w:t xml:space="preserve">.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pPr>
        <w:pStyle w:val="BodyText"/>
        <w:spacing w:line="360" w:lineRule="auto" w:before="0" w:after="0"/>
        <w:ind w:firstLine="709"/>
        <w:jc w:val="both"/>
      </w:pPr>
      <w:r>
        <w:rPr>
          <w:rFonts w:ascii="Times New Roman" w:hAnsi="Times New Roman" w:cs="Times New Roman" w:eastAsia="Times New Roman"/>
          <w:sz w:val="28"/>
        </w:rPr>
        <w:t xml:space="preserve">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FootnoteReference"/>
        </w:rPr>
        <w:footnoteReference w:id="108"/>
      </w:r>
      <w:r>
        <w:rPr>
          <w:rFonts w:ascii="Times New Roman" w:hAnsi="Times New Roman" w:cs="Times New Roman" w:eastAsia="Times New Roman"/>
          <w:sz w:val="28"/>
        </w:rPr>
        <w:t xml:space="preserve">.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FootnoteReference"/>
        </w:rPr>
        <w:footnoteReference w:id="109"/>
      </w:r>
      <w:r>
        <w:rPr>
          <w:rFonts w:ascii="Times New Roman" w:hAnsi="Times New Roman" w:cs="Times New Roman" w:eastAsia="Times New Roman"/>
          <w:sz w:val="28"/>
        </w:rPr>
        <w:t xml:space="preserve">.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FootnoteReference"/>
        </w:rPr>
        <w:footnoteReference w:id="110"/>
      </w:r>
      <w:r>
        <w:rPr>
          <w:rFonts w:ascii="Times New Roman" w:hAnsi="Times New Roman" w:cs="Times New Roman" w:eastAsia="Times New Roman"/>
          <w:sz w:val="28"/>
        </w:rPr>
        <w:t xml:space="preserve">. Bu ajratish moliyaviy barqarorlikni alohida bank va bank tizimi darajasida baholash uchun nazariy asos bo‘ladi. Yuqoridagi nazariyalar asosida baholash zaruratining to‘rt asosini ajratish mumkin (1.2.1-jadval).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zaruratining nazariy asoslari</w:t>
      </w:r>
      <w:r>
        <w:rPr>
          <w:rStyle w:val="FootnoteReference"/>
        </w:rPr>
        <w:footnoteReference w:id="11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3175"/>
        <w:gridCol w:w="3912"/>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Nazariy asos</w:t>
            </w:r>
          </w:p>
        </w:tc>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391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Axborot asimmetriyasi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Bank aktivlari sifatini tashqaridan aniqlash qiyin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Mustaqil tashqi baho zarur; natija hisobot sifati va standartiga bog‘liq</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 shartnomasining zaifligi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Ishonch yo‘qolsa, ommaviy mablag‘ talab qilish yuz berishi mumkin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Likvidlik va moliyalashtirish barqarorligi alohida blok sifatida baholanadi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Kapitalning bufer funksiyasi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 ammo uning narxi bor</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Tizimli risk va tashqi ta’sir</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Bitta bank inqirozi butun tizimga tarqaladi</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Alohida bank va tizim darajasidagi baholash uyg‘unlashtiriladi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FootnoteReference"/>
        </w:rPr>
        <w:footnoteReference w:id="112"/>
      </w:r>
      <w:r>
        <w:rPr>
          <w:rFonts w:ascii="Times New Roman" w:hAnsi="Times New Roman" w:cs="Times New Roman" w:eastAsia="Times New Roman"/>
          <w:sz w:val="28"/>
        </w:rPr>
        <w:t xml:space="preserve">.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FootnoteReference"/>
        </w:rPr>
        <w:footnoteReference w:id="113"/>
      </w:r>
      <w:r>
        <w:rPr>
          <w:rFonts w:ascii="Times New Roman" w:hAnsi="Times New Roman" w:cs="Times New Roman" w:eastAsia="Times New Roman"/>
          <w:sz w:val="28"/>
        </w:rPr>
        <w:t xml:space="preserve">. Bundan kelib chiqadiki, ayrim ko‘rsatkichlarning juda yuqori qiymati ham ijobiy baholanmasligi mumkin: kreditlarning keskin o‘sishi bir qarashda faollik belgisi bo‘lsa-da, u erta ogohlantirish signallari qatoriga kiritiladi</w:t>
      </w:r>
      <w:r>
        <w:rPr>
          <w:rStyle w:val="FootnoteReference"/>
        </w:rPr>
        <w:footnoteReference w:id="114"/>
      </w:r>
      <w:r>
        <w:rPr>
          <w:rFonts w:ascii="Times New Roman" w:hAnsi="Times New Roman" w:cs="Times New Roman" w:eastAsia="Times New Roman"/>
          <w:sz w:val="28"/>
        </w:rPr>
        <w:t xml:space="preserve">, A.M. Karminskiyning ekonometrik modellarida esa kapitalning aktivlarga nisbati va kreditlar ulushi bank barqarorligiga optimal oraliq orqali ta’sir qilishi aniqlangan</w:t>
      </w:r>
      <w:r>
        <w:rPr>
          <w:rStyle w:val="FootnoteReference"/>
        </w:rPr>
        <w:footnoteReference w:id="11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Yuqoridagilarga asoslanib, muallif tomonidan tijorat banki moliyaviy barqarorligini baholashning quyidagi ishchi ta’rifi taklif etiladi: bu bankning kapital, aktivlar sifati, daromadlilik, likvidlik va bozor risklariga sezgirlik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FootnoteReference"/>
        </w:rPr>
        <w:footnoteReference w:id="11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FootnoteReference"/>
        </w:rPr>
        <w:footnoteReference w:id="117"/>
      </w:r>
      <w:r>
        <w:rPr>
          <w:rFonts w:ascii="Times New Roman" w:hAnsi="Times New Roman" w:cs="Times New Roman" w:eastAsia="Times New Roman"/>
          <w:sz w:val="28"/>
        </w:rPr>
        <w:t xml:space="preserve">. T.M. Karaliyev va I.F. Sayfiddinov O‘zbekistonda qo‘llanadigan CAMEL tizimida qiyosiy baholash yo‘qligini va aktivlar hamda likvidlik bloklari o‘rtasidagi ziddiyat hal qilinmaganini qayd etadi</w:t>
      </w:r>
      <w:r>
        <w:rPr>
          <w:rStyle w:val="FootnoteReference"/>
        </w:rPr>
        <w:footnoteReference w:id="118"/>
      </w:r>
      <w:r>
        <w:rPr>
          <w:rFonts w:ascii="Times New Roman" w:hAnsi="Times New Roman" w:cs="Times New Roman" w:eastAsia="Times New Roman"/>
          <w:sz w:val="28"/>
        </w:rPr>
        <w:t xml:space="preserve">. Karminskiy esa reyting sifati kutilgan va haqiqiy natijalarning mos kelishi bilan belgilanishini, ya’ni baholash metodikasining o‘zi ham tarixiy ma’lumotlar asosida tekshirilishi lozimligini ta’kidlaydi</w:t>
      </w:r>
      <w:r>
        <w:rPr>
          <w:rStyle w:val="FootnoteReference"/>
        </w:rPr>
        <w:footnoteReference w:id="119"/>
      </w:r>
      <w:r>
        <w:rPr>
          <w:rFonts w:ascii="Times New Roman" w:hAnsi="Times New Roman" w:cs="Times New Roman" w:eastAsia="Times New Roman"/>
          <w:sz w:val="28"/>
        </w:rPr>
        <w:t xml:space="preserve">.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pPr>
        <w:pStyle w:val="BodyText"/>
        <w:spacing w:line="360" w:lineRule="auto" w:before="0" w:after="0"/>
        <w:ind w:firstLine="709"/>
        <w:jc w:val="both"/>
      </w:pPr>
      <w:r>
        <w:rPr>
          <w:rFonts w:ascii="Times New Roman" w:hAnsi="Times New Roman" w:cs="Times New Roman" w:eastAsia="Times New Roman"/>
          <w:sz w:val="28"/>
        </w:rPr>
        <w:t xml:space="preserve">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FootnoteReference"/>
        </w:rPr>
        <w:footnoteReference w:id="120"/>
      </w:r>
      <w:r>
        <w:rPr>
          <w:rFonts w:ascii="Times New Roman" w:hAnsi="Times New Roman" w:cs="Times New Roman" w:eastAsia="Times New Roman"/>
          <w:sz w:val="28"/>
        </w:rPr>
        <w:t xml:space="preserve">. Lavrushin va Mamonova modellarni maqsadi, yig‘ma bahoni shakllantirish usuli, o‘rganish usuli va shaffofligi bo‘yicha tasniflaydi</w:t>
      </w:r>
      <w:r>
        <w:rPr>
          <w:rStyle w:val="FootnoteReference"/>
        </w:rPr>
        <w:footnoteReference w:id="121"/>
      </w:r>
      <w:r>
        <w:rPr>
          <w:rFonts w:ascii="Times New Roman" w:hAnsi="Times New Roman" w:cs="Times New Roman" w:eastAsia="Times New Roman"/>
          <w:sz w:val="28"/>
        </w:rPr>
        <w:t xml:space="preserve">, M. Modina esa kredit riskini o‘lchash yondashuvlarini bir chekkasida iqtisodiy-statistik, ikkinchi chekkasida ekspert yondashuvi turgan uzluksiz shkala sifatida tasavvur qiladi</w:t>
      </w:r>
      <w:r>
        <w:rPr>
          <w:rStyle w:val="FootnoteReference"/>
        </w:rPr>
        <w:footnoteReference w:id="122"/>
      </w:r>
      <w:r>
        <w:rPr>
          <w:rFonts w:ascii="Times New Roman" w:hAnsi="Times New Roman" w:cs="Times New Roman" w:eastAsia="Times New Roman"/>
          <w:sz w:val="28"/>
        </w:rPr>
        <w:t xml:space="preserve">. Ushbu tasniflarni umumlashtirib, baholash yondashuvlarini besh asosiy guruhga ajratish mumkin (1.2.2-jadval).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baholash yondashuvlarining qiyosiy tavsifi</w:t>
      </w:r>
      <w:r>
        <w:rPr>
          <w:rStyle w:val="FootnoteReference"/>
        </w:rPr>
        <w:footnoteReference w:id="1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2268"/>
        <w:gridCol w:w="2438"/>
        <w:gridCol w:w="2721"/>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Namunalar</w:t>
            </w:r>
          </w:p>
        </w:tc>
        <w:tc>
          <w:tcPr>
            <w:tcW w:type="dxa" w:w="243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Afzalliklari</w:t>
            </w:r>
          </w:p>
        </w:tc>
        <w:tc>
          <w:tcPr>
            <w:tcW w:type="dxa" w:w="272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Kamchiliklari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Koeffitsiyentli (normativ)</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normativlari, XVJ moliyaviy barqarorlik ko‘rsatkichlari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Sodda, normativlar bilan bevosita bog‘liq</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Ko‘rsatkichlar tarqoq, yagona xulosa yo‘q</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Reyting (komponentli)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CAMELS, Rossiya Bankining 4336-U ko‘rsatmasi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Kompleks, xalqaro e’tirof etilgan</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Sub’ektiv, natijalar yopiq, vaznlar asoslanmagan</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Risklarga yo‘naltirilgan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BAITE, RATE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Nazorat resurslarini riskka qarab taqsimlaydi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Ichki axborot va yuqori malaka talab qiladi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Statistik (ekonometrik)</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FIMS, logit va probit modellar, Z-score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Obyektiv, bashorat kuchi o‘lchanadi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Uzoq tarix va bankrotlik holatlari talab qilinadi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Bozor indikatorlariga asoslangan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Kredit-defolt svoplari spredlari, aksiya narxlari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Kelajakka yo‘naltirilgan, tezkor</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Faqat birjada savdo qilinadigan banklar uchun</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yondashuvlarning birortasi ham universal emas va Lavrushin tahriridagi monografiyada ham bank barqarorligini tahlil qilishning yagona universal metodikasi mavjud emasligi qayd etilgan</w:t>
      </w:r>
      <w:r>
        <w:rPr>
          <w:rStyle w:val="FootnoteReference"/>
        </w:rPr>
        <w:footnoteReference w:id="124"/>
      </w:r>
      <w:r>
        <w:rPr>
          <w:rFonts w:ascii="Times New Roman" w:hAnsi="Times New Roman" w:cs="Times New Roman" w:eastAsia="Times New Roman"/>
          <w:sz w:val="28"/>
        </w:rPr>
        <w:t xml:space="preserve">.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FootnoteReference"/>
        </w:rPr>
        <w:footnoteReference w:id="125"/>
      </w:r>
      <w:r>
        <w:rPr>
          <w:rFonts w:ascii="Times New Roman" w:hAnsi="Times New Roman" w:cs="Times New Roman" w:eastAsia="Times New Roman"/>
          <w:sz w:val="28"/>
        </w:rPr>
        <w:t xml:space="preserve">. Statistik yondashuvning eng sodda va samarali vositasi bo‘lgan Z-score ko‘rsatkichi distressga uchragan banklarning 75 foizini to‘g‘ri aniqlaydi</w:t>
      </w:r>
      <w:r>
        <w:rPr>
          <w:rStyle w:val="FootnoteReference"/>
        </w:rPr>
        <w:footnoteReference w:id="126"/>
      </w:r>
      <w:r>
        <w:rPr>
          <w:rFonts w:ascii="Times New Roman" w:hAnsi="Times New Roman" w:cs="Times New Roman" w:eastAsia="Times New Roman"/>
          <w:sz w:val="28"/>
        </w:rPr>
        <w:t xml:space="preserve">, biroq u uzoq tarixiy ma’lumotlarni talab qiladi, Karminskiy esa defoltlar ulushi taxminan 1 foiz bo‘lganda tanlanmada nomutanosiblik yuzaga kelishini ko‘rsatadi</w:t>
      </w:r>
      <w:r>
        <w:rPr>
          <w:rStyle w:val="FootnoteReference"/>
        </w:rPr>
        <w:footnoteReference w:id="127"/>
      </w:r>
      <w:r>
        <w:rPr>
          <w:rFonts w:ascii="Times New Roman" w:hAnsi="Times New Roman" w:cs="Times New Roman" w:eastAsia="Times New Roman"/>
          <w:sz w:val="28"/>
        </w:rPr>
        <w:t xml:space="preserve">. Bozor indikatorlari faqat aksiyalari birjada savdo qilinadigan banklar uchun qo‘llanishi mumkinligi</w:t>
      </w:r>
      <w:r>
        <w:rPr>
          <w:rStyle w:val="FootnoteReference"/>
        </w:rPr>
        <w:footnoteReference w:id="1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pPr>
        <w:pStyle w:val="BodyText"/>
        <w:spacing w:line="360" w:lineRule="auto" w:before="0" w:after="0"/>
        <w:ind w:firstLine="709"/>
        <w:jc w:val="both"/>
      </w:pPr>
      <w:r>
        <w:rPr>
          <w:rFonts w:ascii="Times New Roman" w:hAnsi="Times New Roman" w:cs="Times New Roman" w:eastAsia="Times New Roman"/>
          <w:sz w:val="28"/>
        </w:rPr>
        <w:t xml:space="preserve">Integral baholashning eng munozarali masalasi ko‘rsatkichlarga vazn berishdir. Lavrushin va Mamonova vazn koeffitsiyentlarini belgilash eng sub’ektiv masalalardan biri ekanini, ammo hozircha boshqa usul topilmaganini tan oladi</w:t>
      </w:r>
      <w:r>
        <w:rPr>
          <w:rStyle w:val="FootnoteReference"/>
        </w:rPr>
        <w:footnoteReference w:id="129"/>
      </w:r>
      <w:r>
        <w:rPr>
          <w:rFonts w:ascii="Times New Roman" w:hAnsi="Times New Roman" w:cs="Times New Roman" w:eastAsia="Times New Roman"/>
          <w:sz w:val="28"/>
        </w:rPr>
        <w:t xml:space="preserve">, Lavrushin tahriridagi monografiyada esa Rossiyadagi to‘qqizta reyting metodikasida vaznlar ko‘pincha ekspert yo‘li bilan aniqlanishi yoki umuman tushuntirilmasligi ko‘rsatilgan</w:t>
      </w:r>
      <w:r>
        <w:rPr>
          <w:rStyle w:val="FootnoteReference"/>
        </w:rPr>
        <w:footnoteReference w:id="130"/>
      </w:r>
      <w:r>
        <w:rPr>
          <w:rFonts w:ascii="Times New Roman" w:hAnsi="Times New Roman" w:cs="Times New Roman" w:eastAsia="Times New Roman"/>
          <w:sz w:val="28"/>
        </w:rPr>
        <w:t xml:space="preserve">. Ilmiy adabiyotda vaznlarni aniqlashning uch usuli uchraydi: ekspert usuli, teng vaznlar usuli va statistik usul. Ye.P. Shatalova vaznlar dastlab ekspert yo‘li bilan belgilanib, keyin verifikatsiyadan o‘tkazilishi kerakligini qayd etadi</w:t>
      </w:r>
      <w:r>
        <w:rPr>
          <w:rStyle w:val="FootnoteReference"/>
        </w:rPr>
        <w:footnoteReference w:id="131"/>
      </w:r>
      <w:r>
        <w:rPr>
          <w:rFonts w:ascii="Times New Roman" w:hAnsi="Times New Roman" w:cs="Times New Roman" w:eastAsia="Times New Roman"/>
          <w:sz w:val="28"/>
        </w:rPr>
        <w:t xml:space="preserve">, L. Izzi, G. Oricchio va L. Vitale esa vaznlarni regressiya koeffitsiyentlaridan hisoblab, rivojlanayotgan mamlakatlar banklari uchun miqdoriy modulga 80 foiz, sifat moduliga 20 foiz vazn beradi</w:t>
      </w:r>
      <w:r>
        <w:rPr>
          <w:rStyle w:val="FootnoteReference"/>
        </w:rPr>
        <w:footnoteReference w:id="132"/>
      </w:r>
      <w:r>
        <w:rPr>
          <w:rFonts w:ascii="Times New Roman" w:hAnsi="Times New Roman" w:cs="Times New Roman" w:eastAsia="Times New Roman"/>
          <w:sz w:val="28"/>
        </w:rPr>
        <w:t xml:space="preserve">.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FootnoteReference"/>
        </w:rPr>
        <w:footnoteReference w:id="133"/>
      </w:r>
      <w:r>
        <w:rPr>
          <w:rFonts w:ascii="Times New Roman" w:hAnsi="Times New Roman" w:cs="Times New Roman" w:eastAsia="Times New Roman"/>
          <w:sz w:val="28"/>
        </w:rPr>
        <w:t xml:space="preserve">, shu sababli baholash chegaralarini ehtiyotkorlik tamoyiliga ko‘ra biroz qat’iyroq qo‘yish maqsadga muvofiq.</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76000"/>
                <wp:effectExtent l="0" t="0" r="0" b="0"/>
                <wp:docPr id="8" name="1.2.1-rasm"/>
                <wp:cNvGraphicFramePr/>
                <a:graphic>
                  <a:graphicData uri="http://schemas.microsoft.com/office/word/2010/wordprocessingGroup">
                    <wpg:wgp>
                      <wpg:cNvGrpSpPr/>
                      <wpg:grpSpPr>
                        <a:xfrm>
                          <a:off x="0" y="0"/>
                          <a:ext cx="5904000" cy="2376000"/>
                          <a:chOff x="0" y="0"/>
                          <a:chExt cx="5904000" cy="2376000"/>
                        </a:xfrm>
                      </wpg:grpSpPr>
                      <wps:wsp>
                        <wps:cNvPr id="2"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w:t>
                              </w:r>
                            </w:p>
                            <w:p>
                              <w:pPr>
                                <w:spacing w:before="0" w:after="0" w:line="228" w:lineRule="auto"/>
                                <w:jc w:val="center"/>
                                <w:ind w:firstLine="0"/>
                              </w:pPr>
                              <w:r>
                                <w:rPr>
                                  <w:rFonts w:ascii="Times New Roman" w:hAnsi="Times New Roman" w:cs="Times New Roman"/>
                                  <w:b/>
                                  <w:color w:val="FFFFFF"/>
                                  <w:sz w:val="22"/>
                                  <w:szCs w:val="22"/>
                                </w:rPr>
                                <w:t xml:space="preserve">(1988)</w:t>
                              </w:r>
                            </w:p>
                          </w:txbxContent>
                        </wps:txbx>
                        <wps:bodyPr rot="0" vert="horz" wrap="square" lIns="36000" tIns="18000" rIns="36000" bIns="18000" anchor="ctr" anchorCtr="0">
                          <a:noAutofit/>
                        </wps:bodyPr>
                      </wps:wsp>
                      <wps:wsp>
                        <wps:cNvPr id="3" name="Connector 3"/>
                        <wps:cNvCnPr/>
                        <wps:spPr>
                          <a:xfrm>
                            <a:off x="666000" y="540000"/>
                            <a:ext cx="0" cy="180000"/>
                          </a:xfrm>
                          <a:prstGeom prst="straightConnector1">
                            <a:avLst/>
                          </a:prstGeom>
                          <a:ln w="15875">
                            <a:solidFill>
                              <a:srgbClr val="7F7F7F"/>
                            </a:solidFill>
                          </a:ln>
                        </wps:spPr>
                        <wps:bodyPr/>
                      </wps:wsp>
                      <wps:wsp>
                        <wps:cNvPr id="4"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Faqat kredit riski;</w:t>
                              </w:r>
                            </w:p>
                            <w:p>
                              <w:pPr>
                                <w:spacing w:before="0" w:after="0" w:line="228" w:lineRule="auto"/>
                                <w:jc w:val="center"/>
                                <w:ind w:firstLine="0"/>
                              </w:pPr>
                              <w:r>
                                <w:rPr>
                                  <w:rFonts w:ascii="Times New Roman" w:hAnsi="Times New Roman" w:cs="Times New Roman"/>
                                  <w:color w:val="000000"/>
                                  <w:sz w:val="22"/>
                                  <w:szCs w:val="22"/>
                                </w:rPr>
                                <w:t xml:space="preserve">Tier 1 ≥ 4%;</w:t>
                              </w:r>
                            </w:p>
                            <w:p>
                              <w:pPr>
                                <w:spacing w:before="0" w:after="0" w:line="228" w:lineRule="auto"/>
                                <w:jc w:val="center"/>
                                <w:ind w:firstLine="0"/>
                              </w:pPr>
                              <w:r>
                                <w:rPr>
                                  <w:rFonts w:ascii="Times New Roman" w:hAnsi="Times New Roman" w:cs="Times New Roman"/>
                                  <w:color w:val="000000"/>
                                  <w:sz w:val="22"/>
                                  <w:szCs w:val="22"/>
                                </w:rPr>
                                <w:t xml:space="preserve">jami kapital ≥ 8%;</w:t>
                              </w:r>
                            </w:p>
                            <w:p>
                              <w:pPr>
                                <w:spacing w:before="0" w:after="0" w:line="228" w:lineRule="auto"/>
                                <w:jc w:val="center"/>
                                <w:ind w:firstLine="0"/>
                              </w:pPr>
                              <w:r>
                                <w:rPr>
                                  <w:rFonts w:ascii="Times New Roman" w:hAnsi="Times New Roman" w:cs="Times New Roman"/>
                                  <w:color w:val="000000"/>
                                  <w:sz w:val="22"/>
                                  <w:szCs w:val="22"/>
                                </w:rPr>
                                <w:t xml:space="preserve">risk vaznlari</w:t>
                              </w:r>
                            </w:p>
                            <w:p>
                              <w:pPr>
                                <w:spacing w:before="0" w:after="0" w:line="228" w:lineRule="auto"/>
                                <w:jc w:val="center"/>
                                <w:ind w:firstLine="0"/>
                              </w:pPr>
                              <w:r>
                                <w:rPr>
                                  <w:rFonts w:ascii="Times New Roman" w:hAnsi="Times New Roman" w:cs="Times New Roman"/>
                                  <w:color w:val="000000"/>
                                  <w:sz w:val="22"/>
                                  <w:szCs w:val="22"/>
                                </w:rPr>
                                <w:t xml:space="preserve">0, 20, 50, 100%</w:t>
                              </w:r>
                            </w:p>
                          </w:txbxContent>
                        </wps:txbx>
                        <wps:bodyPr rot="0" vert="horz" wrap="square" lIns="36000" tIns="18000" rIns="36000" bIns="18000" anchor="ctr" anchorCtr="0">
                          <a:noAutofit/>
                        </wps:bodyPr>
                      </wps:wsp>
                      <wps:wsp>
                        <wps:cNvPr id="5" name="Connector 5"/>
                        <wps:cNvCnPr/>
                        <wps:spPr>
                          <a:xfrm>
                            <a:off x="1303200" y="306000"/>
                            <a:ext cx="255600" cy="0"/>
                          </a:xfrm>
                          <a:prstGeom prst="straightConnector1">
                            <a:avLst/>
                          </a:prstGeom>
                          <a:ln w="19050">
                            <a:solidFill>
                              <a:srgbClr val="404040"/>
                            </a:solidFill>
                            <a:tailEnd type="triangle" w="med" len="med"/>
                          </a:ln>
                        </wps:spPr>
                        <wps:bodyPr/>
                      </wps:wsp>
                      <wps:wsp>
                        <wps:cNvPr id="6"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Bozor riski tuzatishi</w:t>
                              </w:r>
                            </w:p>
                            <w:p>
                              <w:pPr>
                                <w:spacing w:before="0" w:after="0" w:line="228" w:lineRule="auto"/>
                                <w:jc w:val="center"/>
                                <w:ind w:firstLine="0"/>
                              </w:pPr>
                              <w:r>
                                <w:rPr>
                                  <w:rFonts w:ascii="Times New Roman" w:hAnsi="Times New Roman" w:cs="Times New Roman"/>
                                  <w:b/>
                                  <w:color w:val="000000"/>
                                  <w:sz w:val="22"/>
                                  <w:szCs w:val="22"/>
                                </w:rPr>
                                <w:t xml:space="preserve">(1996)</w:t>
                              </w:r>
                            </w:p>
                          </w:txbxContent>
                        </wps:txbx>
                        <wps:bodyPr rot="0" vert="horz" wrap="square" lIns="36000" tIns="18000" rIns="36000" bIns="18000" anchor="ctr" anchorCtr="0">
                          <a:noAutofit/>
                        </wps:bodyPr>
                      </wps:wsp>
                      <wps:wsp>
                        <wps:cNvPr id="7" name="Connector 7"/>
                        <wps:cNvCnPr/>
                        <wps:spPr>
                          <a:xfrm>
                            <a:off x="2196000" y="540000"/>
                            <a:ext cx="0" cy="180000"/>
                          </a:xfrm>
                          <a:prstGeom prst="straightConnector1">
                            <a:avLst/>
                          </a:prstGeom>
                          <a:ln w="15875">
                            <a:solidFill>
                              <a:srgbClr val="7F7F7F"/>
                            </a:solidFill>
                          </a:ln>
                        </wps:spPr>
                        <wps:bodyPr/>
                      </wps:wsp>
                      <wps:wsp>
                        <wps:cNvPr id="8"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riski uchun</w:t>
                              </w:r>
                            </w:p>
                            <w:p>
                              <w:pPr>
                                <w:spacing w:before="0" w:after="0" w:line="228" w:lineRule="auto"/>
                                <w:jc w:val="center"/>
                                <w:ind w:firstLine="0"/>
                              </w:pPr>
                              <w:r>
                                <w:rPr>
                                  <w:rFonts w:ascii="Times New Roman" w:hAnsi="Times New Roman" w:cs="Times New Roman"/>
                                  <w:color w:val="000000"/>
                                  <w:sz w:val="22"/>
                                  <w:szCs w:val="22"/>
                                </w:rPr>
                                <w:t xml:space="preserve">kapital;</w:t>
                              </w:r>
                            </w:p>
                            <w:p>
                              <w:pPr>
                                <w:spacing w:before="0" w:after="0" w:line="228" w:lineRule="auto"/>
                                <w:jc w:val="center"/>
                                <w:ind w:firstLine="0"/>
                              </w:pPr>
                              <w:r>
                                <w:rPr>
                                  <w:rFonts w:ascii="Times New Roman" w:hAnsi="Times New Roman" w:cs="Times New Roman"/>
                                  <w:color w:val="000000"/>
                                  <w:sz w:val="22"/>
                                  <w:szCs w:val="22"/>
                                </w:rPr>
                                <w:t xml:space="preserve">VaR modeli;</w:t>
                              </w:r>
                            </w:p>
                            <w:p>
                              <w:pPr>
                                <w:spacing w:before="0" w:after="0" w:line="228" w:lineRule="auto"/>
                                <w:jc w:val="center"/>
                                <w:ind w:firstLine="0"/>
                              </w:pPr>
                              <w:r>
                                <w:rPr>
                                  <w:rFonts w:ascii="Times New Roman" w:hAnsi="Times New Roman" w:cs="Times New Roman"/>
                                  <w:color w:val="000000"/>
                                  <w:sz w:val="22"/>
                                  <w:szCs w:val="22"/>
                                </w:rPr>
                                <w:t xml:space="preserve">10 kunlik gorizont;</w:t>
                              </w:r>
                            </w:p>
                            <w:p>
                              <w:pPr>
                                <w:spacing w:before="0" w:after="0" w:line="228" w:lineRule="auto"/>
                                <w:jc w:val="center"/>
                                <w:ind w:firstLine="0"/>
                              </w:pPr>
                              <w:r>
                                <w:rPr>
                                  <w:rFonts w:ascii="Times New Roman" w:hAnsi="Times New Roman" w:cs="Times New Roman"/>
                                  <w:color w:val="000000"/>
                                  <w:sz w:val="22"/>
                                  <w:szCs w:val="22"/>
                                </w:rPr>
                                <w:t xml:space="preserve">×3 koeffitsiyent</w:t>
                              </w:r>
                            </w:p>
                          </w:txbxContent>
                        </wps:txbx>
                        <wps:bodyPr rot="0" vert="horz" wrap="square" lIns="36000" tIns="18000" rIns="36000" bIns="18000" anchor="ctr" anchorCtr="0">
                          <a:noAutofit/>
                        </wps:bodyPr>
                      </wps:wsp>
                      <wps:wsp>
                        <wps:cNvPr id="9" name="Connector 9"/>
                        <wps:cNvCnPr/>
                        <wps:spPr>
                          <a:xfrm>
                            <a:off x="2833200" y="306000"/>
                            <a:ext cx="255600" cy="0"/>
                          </a:xfrm>
                          <a:prstGeom prst="straightConnector1">
                            <a:avLst/>
                          </a:prstGeom>
                          <a:ln w="19050">
                            <a:solidFill>
                              <a:srgbClr val="404040"/>
                            </a:solidFill>
                            <a:tailEnd type="triangle" w="med" len="med"/>
                          </a:ln>
                        </wps:spPr>
                        <wps:bodyPr/>
                      </wps:wsp>
                      <wps:wsp>
                        <wps:cNvPr id="10"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w:t>
                              </w:r>
                            </w:p>
                            <w:p>
                              <w:pPr>
                                <w:spacing w:before="0" w:after="0" w:line="228" w:lineRule="auto"/>
                                <w:jc w:val="center"/>
                                <w:ind w:firstLine="0"/>
                              </w:pPr>
                              <w:r>
                                <w:rPr>
                                  <w:rFonts w:ascii="Times New Roman" w:hAnsi="Times New Roman" w:cs="Times New Roman"/>
                                  <w:b/>
                                  <w:color w:val="FFFFFF"/>
                                  <w:sz w:val="22"/>
                                  <w:szCs w:val="22"/>
                                </w:rPr>
                                <w:t xml:space="preserve">(2004)</w:t>
                              </w:r>
                            </w:p>
                          </w:txbxContent>
                        </wps:txbx>
                        <wps:bodyPr rot="0" vert="horz" wrap="square" lIns="36000" tIns="18000" rIns="36000" bIns="18000" anchor="ctr" anchorCtr="0">
                          <a:noAutofit/>
                        </wps:bodyPr>
                      </wps:wsp>
                      <wps:wsp>
                        <wps:cNvPr id="11" name="Connector 11"/>
                        <wps:cNvCnPr/>
                        <wps:spPr>
                          <a:xfrm>
                            <a:off x="3726000" y="540000"/>
                            <a:ext cx="0" cy="180000"/>
                          </a:xfrm>
                          <a:prstGeom prst="straightConnector1">
                            <a:avLst/>
                          </a:prstGeom>
                          <a:ln w="15875">
                            <a:solidFill>
                              <a:srgbClr val="7F7F7F"/>
                            </a:solidFill>
                          </a:ln>
                        </wps:spPr>
                        <wps:bodyPr/>
                      </wps:wsp>
                      <wps:wsp>
                        <wps:cNvPr id="12"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Uch ustun;</w:t>
                              </w:r>
                            </w:p>
                            <w:p>
                              <w:pPr>
                                <w:spacing w:before="0" w:after="0" w:line="228" w:lineRule="auto"/>
                                <w:jc w:val="center"/>
                                <w:ind w:firstLine="0"/>
                              </w:pPr>
                              <w:r>
                                <w:rPr>
                                  <w:rFonts w:ascii="Times New Roman" w:hAnsi="Times New Roman" w:cs="Times New Roman"/>
                                  <w:color w:val="000000"/>
                                  <w:sz w:val="22"/>
                                  <w:szCs w:val="22"/>
                                </w:rPr>
                                <w:t xml:space="preserve">kredit, bozor va</w:t>
                              </w:r>
                            </w:p>
                            <w:p>
                              <w:pPr>
                                <w:spacing w:before="0" w:after="0" w:line="228" w:lineRule="auto"/>
                                <w:jc w:val="center"/>
                                <w:ind w:firstLine="0"/>
                              </w:pPr>
                              <w:r>
                                <w:rPr>
                                  <w:rFonts w:ascii="Times New Roman" w:hAnsi="Times New Roman" w:cs="Times New Roman"/>
                                  <w:color w:val="000000"/>
                                  <w:sz w:val="22"/>
                                  <w:szCs w:val="22"/>
                                </w:rPr>
                                <w:t xml:space="preserve">operatsion risklar;</w:t>
                              </w:r>
                            </w:p>
                            <w:p>
                              <w:pPr>
                                <w:spacing w:before="0" w:after="0" w:line="228" w:lineRule="auto"/>
                                <w:jc w:val="center"/>
                                <w:ind w:firstLine="0"/>
                              </w:pPr>
                              <w:r>
                                <w:rPr>
                                  <w:rFonts w:ascii="Times New Roman" w:hAnsi="Times New Roman" w:cs="Times New Roman"/>
                                  <w:color w:val="000000"/>
                                  <w:sz w:val="22"/>
                                  <w:szCs w:val="22"/>
                                </w:rPr>
                                <w:t xml:space="preserve">IRB yondashuvi</w:t>
                              </w:r>
                            </w:p>
                            <w:p>
                              <w:pPr>
                                <w:spacing w:before="0" w:after="0" w:line="228" w:lineRule="auto"/>
                                <w:jc w:val="center"/>
                                <w:ind w:firstLine="0"/>
                              </w:pPr>
                              <w:r>
                                <w:rPr>
                                  <w:rFonts w:ascii="Times New Roman" w:hAnsi="Times New Roman" w:cs="Times New Roman"/>
                                  <w:color w:val="000000"/>
                                  <w:sz w:val="22"/>
                                  <w:szCs w:val="22"/>
                                </w:rPr>
                                <w:t xml:space="preserve">(PD, LGD, EAD, M)</w:t>
                              </w:r>
                            </w:p>
                          </w:txbxContent>
                        </wps:txbx>
                        <wps:bodyPr rot="0" vert="horz" wrap="square" lIns="36000" tIns="18000" rIns="36000" bIns="18000" anchor="ctr" anchorCtr="0">
                          <a:noAutofit/>
                        </wps:bodyPr>
                      </wps:wsp>
                      <wps:wsp>
                        <wps:cNvPr id="13" name="Connector 13"/>
                        <wps:cNvCnPr/>
                        <wps:spPr>
                          <a:xfrm>
                            <a:off x="4363200" y="306000"/>
                            <a:ext cx="255600" cy="0"/>
                          </a:xfrm>
                          <a:prstGeom prst="straightConnector1">
                            <a:avLst/>
                          </a:prstGeom>
                          <a:ln w="19050">
                            <a:solidFill>
                              <a:srgbClr val="404040"/>
                            </a:solidFill>
                            <a:tailEnd type="triangle" w="med" len="med"/>
                          </a:ln>
                        </wps:spPr>
                        <wps:bodyPr/>
                      </wps:wsp>
                      <wps:wsp>
                        <wps:cNvPr id="14"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p>
                              <w:pPr>
                                <w:spacing w:before="0" w:after="0" w:line="228" w:lineRule="auto"/>
                                <w:jc w:val="center"/>
                                <w:ind w:firstLine="0"/>
                              </w:pPr>
                              <w:r>
                                <w:rPr>
                                  <w:rFonts w:ascii="Times New Roman" w:hAnsi="Times New Roman" w:cs="Times New Roman"/>
                                  <w:b/>
                                  <w:color w:val="FFFFFF"/>
                                  <w:sz w:val="22"/>
                                  <w:szCs w:val="22"/>
                                </w:rPr>
                                <w:t xml:space="preserve">(2010)</w:t>
                              </w:r>
                            </w:p>
                          </w:txbxContent>
                        </wps:txbx>
                        <wps:bodyPr rot="0" vert="horz" wrap="square" lIns="36000" tIns="18000" rIns="36000" bIns="18000" anchor="ctr" anchorCtr="0">
                          <a:noAutofit/>
                        </wps:bodyPr>
                      </wps:wsp>
                      <wps:wsp>
                        <wps:cNvPr id="15" name="Connector 15"/>
                        <wps:cNvCnPr/>
                        <wps:spPr>
                          <a:xfrm>
                            <a:off x="5256000" y="540000"/>
                            <a:ext cx="0" cy="180000"/>
                          </a:xfrm>
                          <a:prstGeom prst="straightConnector1">
                            <a:avLst/>
                          </a:prstGeom>
                          <a:ln w="15875">
                            <a:solidFill>
                              <a:srgbClr val="7F7F7F"/>
                            </a:solidFill>
                          </a:ln>
                        </wps:spPr>
                        <wps:bodyPr/>
                      </wps:wsp>
                      <wps:wsp>
                        <wps:cNvPr id="16"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CET1 ≥ 4,5%;</w:t>
                              </w:r>
                            </w:p>
                            <w:p>
                              <w:pPr>
                                <w:spacing w:before="0" w:after="0" w:line="228" w:lineRule="auto"/>
                                <w:jc w:val="center"/>
                                <w:ind w:firstLine="0"/>
                              </w:pPr>
                              <w:r>
                                <w:rPr>
                                  <w:rFonts w:ascii="Times New Roman" w:hAnsi="Times New Roman" w:cs="Times New Roman"/>
                                  <w:color w:val="000000"/>
                                  <w:sz w:val="22"/>
                                  <w:szCs w:val="22"/>
                                </w:rPr>
                                <w:t xml:space="preserve">konservatsiya va</w:t>
                              </w:r>
                            </w:p>
                            <w:p>
                              <w:pPr>
                                <w:spacing w:before="0" w:after="0" w:line="228" w:lineRule="auto"/>
                                <w:jc w:val="center"/>
                                <w:ind w:firstLine="0"/>
                              </w:pPr>
                              <w:r>
                                <w:rPr>
                                  <w:rFonts w:ascii="Times New Roman" w:hAnsi="Times New Roman" w:cs="Times New Roman"/>
                                  <w:color w:val="000000"/>
                                  <w:sz w:val="22"/>
                                  <w:szCs w:val="22"/>
                                </w:rPr>
                                <w:t xml:space="preserve">kontrsiklik buferlar;</w:t>
                              </w:r>
                            </w:p>
                            <w:p>
                              <w:pPr>
                                <w:spacing w:before="0" w:after="0" w:line="228" w:lineRule="auto"/>
                                <w:jc w:val="center"/>
                                <w:ind w:firstLine="0"/>
                              </w:pPr>
                              <w:r>
                                <w:rPr>
                                  <w:rFonts w:ascii="Times New Roman" w:hAnsi="Times New Roman" w:cs="Times New Roman"/>
                                  <w:color w:val="000000"/>
                                  <w:sz w:val="22"/>
                                  <w:szCs w:val="22"/>
                                </w:rPr>
                                <w:t xml:space="preserve">leverej ≥ 3%;</w:t>
                              </w:r>
                            </w:p>
                            <w:p>
                              <w:pPr>
                                <w:spacing w:before="0" w:after="0" w:line="228" w:lineRule="auto"/>
                                <w:jc w:val="center"/>
                                <w:ind w:firstLine="0"/>
                              </w:pPr>
                              <w:r>
                                <w:rPr>
                                  <w:rFonts w:ascii="Times New Roman" w:hAnsi="Times New Roman" w:cs="Times New Roman"/>
                                  <w:color w:val="000000"/>
                                  <w:sz w:val="22"/>
                                  <w:szCs w:val="22"/>
                                </w:rPr>
                                <w:t xml:space="preserve">LCR, NSFR ≥ 100%</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1.2.1-rasm. Bazel kelishuvlarining rivojlanish bosqichlari</w:t>
      </w:r>
      <w:r>
        <w:rPr>
          <w:rStyle w:val="FootnoteReference"/>
        </w:rPr>
        <w:footnoteReference w:id="13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FootnoteReference"/>
        </w:rPr>
        <w:footnoteReference w:id="135"/>
      </w:r>
      <w:r>
        <w:rPr>
          <w:rFonts w:ascii="Times New Roman" w:hAnsi="Times New Roman" w:cs="Times New Roman" w:eastAsia="Times New Roman"/>
          <w:sz w:val="28"/>
        </w:rPr>
        <w:t xml:space="preserve">. Tarullo ma’lumotiga ko‘ra, bu kelishuv 100 dan ortiq mamlakatda qabul qilingan, biroq protsiklik xususiyati, regulyativ arbitraj va kapital talabi bilan real risk o‘rtasidagi uzilish uning jiddiy kamchiliklari bo‘lgan</w:t>
      </w:r>
      <w:r>
        <w:rPr>
          <w:rStyle w:val="FootnoteReference"/>
        </w:rPr>
        <w:footnoteReference w:id="136"/>
      </w:r>
      <w:r>
        <w:rPr>
          <w:rFonts w:ascii="Times New Roman" w:hAnsi="Times New Roman" w:cs="Times New Roman" w:eastAsia="Times New Roman"/>
          <w:sz w:val="28"/>
        </w:rPr>
        <w:t xml:space="preserve">. Xususan, Yaponiya banklarida kechiktirilgan soliq aktivlari kapitalning 15–40 foizini tashkil etgan va ular chiqarib tashlansa, tuzatilgan birinchi darajali kapital taxminan 2 foizgacha tushgan</w:t>
      </w:r>
      <w:r>
        <w:rPr>
          <w:rStyle w:val="FootnoteReference"/>
        </w:rPr>
        <w:footnoteReference w:id="137"/>
      </w:r>
      <w:r>
        <w:rPr>
          <w:rFonts w:ascii="Times New Roman" w:hAnsi="Times New Roman" w:cs="Times New Roman" w:eastAsia="Times New Roman"/>
          <w:sz w:val="28"/>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ichki modellari bir xil kreditlar uchun minus 30 foizdan plyus 190 foizgacha farq qiladigan kapital talabini bergan</w:t>
      </w:r>
      <w:r>
        <w:rPr>
          <w:rStyle w:val="FootnoteReference"/>
        </w:rPr>
        <w:footnoteReference w:id="13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2007–2009-yillardagi global moliyaviy inqiroz Bazel III ning qabul qilinishiga olib keldi. W. Tian uning mohiyatini «riskka sezgirlikdan kapital sig‘imkorlikka» siljish deb tavsiflaydi</w:t>
      </w:r>
      <w:r>
        <w:rPr>
          <w:rStyle w:val="FootnoteReference"/>
        </w:rPr>
        <w:footnoteReference w:id="139"/>
      </w:r>
      <w:r>
        <w:rPr>
          <w:rFonts w:ascii="Times New Roman" w:hAnsi="Times New Roman" w:cs="Times New Roman" w:eastAsia="Times New Roman"/>
          <w:sz w:val="28"/>
        </w:rPr>
        <w:t xml:space="preserve">, Modina esa yangi kelishuvning ikki maqsadini – alohida banklarning stressga chidamliligini oshirish va protsiklikni cheklashni ajratadi</w:t>
      </w:r>
      <w:r>
        <w:rPr>
          <w:rStyle w:val="FootnoteReference"/>
        </w:rPr>
        <w:footnoteReference w:id="140"/>
      </w:r>
      <w:r>
        <w:rPr>
          <w:rFonts w:ascii="Times New Roman" w:hAnsi="Times New Roman" w:cs="Times New Roman" w:eastAsia="Times New Roman"/>
          <w:sz w:val="28"/>
        </w:rPr>
        <w:t xml:space="preserve">.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FootnoteReference"/>
        </w:rPr>
        <w:footnoteReference w:id="14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9" name="1.2.2-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1.2.2-rasm. Bazel II va Bazel III bo‘yicha kapital talablarining tuzilmasi</w:t>
      </w:r>
      <w:r>
        <w:rPr>
          <w:rStyle w:val="FootnoteReference"/>
        </w:rPr>
        <w:footnoteReference w:id="1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Bazel III da talablarning umumiy darajasi konservatsiya buferi bilan 10,5 foizga, kontrsiklik bufer to‘liq qo‘llanganda 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FootnoteReference"/>
        </w:rPr>
        <w:footnoteReference w:id="143"/>
      </w:r>
      <w:r>
        <w:rPr>
          <w:rFonts w:ascii="Times New Roman" w:hAnsi="Times New Roman" w:cs="Times New Roman" w:eastAsia="Times New Roman"/>
          <w:sz w:val="28"/>
        </w:rPr>
        <w:t xml:space="preserve">.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FootnoteReference"/>
        </w:rPr>
        <w:footnoteReference w:id="14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 name="1.2.3-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1.2.3-rasm. Konservatsiya buferi bo‘yicha foydani taqsimlash cheklovlari shkalasi</w:t>
      </w:r>
      <w:r>
        <w:rPr>
          <w:rStyle w:val="FootnoteReference"/>
        </w:rPr>
        <w:footnoteReference w:id="14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FootnoteReference"/>
        </w:rPr>
        <w:footnoteReference w:id="146"/>
      </w:r>
      <w:r>
        <w:rPr>
          <w:rFonts w:ascii="Times New Roman" w:hAnsi="Times New Roman" w:cs="Times New Roman" w:eastAsia="Times New Roman"/>
          <w:sz w:val="28"/>
        </w:rPr>
        <w:t xml:space="preserve">. Bunga qo‘shimcha ravishda Bazel III risk vaznlariga bog‘liq bo‘lmagan, kamida 3 foiz bo‘lishi lozim bo‘lgan leverej koeffitsiyentini joriy etdi, Tian uni ichki modellar xatosidan himoya qiluvchi oddiy zaxira chorasi deb ataydi</w:t>
      </w:r>
      <w:r>
        <w:rPr>
          <w:rStyle w:val="FootnoteReference"/>
        </w:rPr>
        <w:footnoteReference w:id="14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FootnoteReference"/>
        </w:rPr>
        <w:footnoteReference w:id="148"/>
      </w:r>
      <w:r>
        <w:rPr>
          <w:rFonts w:ascii="Times New Roman" w:hAnsi="Times New Roman" w:cs="Times New Roman" w:eastAsia="Times New Roman"/>
          <w:sz w:val="28"/>
        </w:rPr>
        <w:t xml:space="preserve">. Sof barqaror moliyalashtirish me’yori esa mavjud barqaror moliyalashtirishning talab qilinadigan barqaror moliyalashtirishga nisbati bo‘lib, bir yillik gorizontda aktivlar va passivlar muddatlari nomutanosibligini cheklaydi</w:t>
      </w:r>
      <w:r>
        <w:rPr>
          <w:rStyle w:val="FootnoteReference"/>
        </w:rPr>
        <w:footnoteReference w:id="149"/>
      </w:r>
      <w:r>
        <w:rPr>
          <w:rFonts w:ascii="Times New Roman" w:hAnsi="Times New Roman" w:cs="Times New Roman" w:eastAsia="Times New Roman"/>
          <w:sz w:val="28"/>
        </w:rPr>
        <w:t xml:space="preserve">. Har ikki me’yorning natijasi asosan koeffitsiyentlarga bog‘liq bo‘lib, ularning asosiy qiymatlari 1.2.3-jadvalda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1.2.3-jadval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Bazel III likvidlik me’yorlarida qo‘llanadigan asosiy koeffitsiyentlar</w:t>
      </w:r>
      <w:r>
        <w:rPr>
          <w:rStyle w:val="FootnoteReference"/>
        </w:rPr>
        <w:footnoteReference w:id="1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4536"/>
        <w:gridCol w:w="1474"/>
        <w:gridCol w:w="3345"/>
      </w:tblGrid>
      <w:tr>
        <w:trPr>
          <w:tblHeader w:val="true"/>
          <w:cantSplit/>
          <w:tblHeader/>
        </w:trPr>
        <w:tc>
          <w:tcPr>
            <w:tcW w:type="dxa" w:w="45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Moddalar</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Koeffitsiyent, %</w:t>
            </w:r>
          </w:p>
        </w:tc>
        <w:tc>
          <w:tcPr>
            <w:tcW w:type="dxa" w:w="334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yuqori sifatli likvid aktivlar</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naqd pul, markaziy bankdagi zaxiralar, nol risk vaznli davlat qimmatli qog‘ozlari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Cheklovsiz, diskontsiz</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2A-daraja: 20 foiz risk vaznli qimmatli qog‘ozlar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40 foizidan oshmaydi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2B-daraja: korporativ obligatsiyalar, aksiyalar va boshqalar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50–75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15 foizidan oshmaydi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pul chiqimi koeffitsiyentlari</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Sug‘urtalangan, operatsion bog‘liq</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 va undan yuqori</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Sug‘urtalanmagan qismi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Moliya institutlarining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mavjud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Kapital va muddati bir yildan ortiq majburiyatlar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bir yilgacha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talab qilinadigan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likvid aktivlar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Bir yilgacha muddatli chakana va kichik biznes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Risk vazni 35 foizgacha bo‘lgan ipoteka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65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Boshqa ishlaydigan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Muammoli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quyi chegara joriy etdi</w:t>
      </w:r>
      <w:r>
        <w:rPr>
          <w:rStyle w:val="FootnoteReference"/>
        </w:rPr>
        <w:footnoteReference w:id="151"/>
      </w:r>
      <w:r>
        <w:rPr>
          <w:rFonts w:ascii="Times New Roman" w:hAnsi="Times New Roman" w:cs="Times New Roman" w:eastAsia="Times New Roman"/>
          <w:sz w:val="28"/>
        </w:rPr>
        <w:t xml:space="preserve">. O‘zbekistonda esa Bazel III talablarini bosqichma-bosqich joriy etish 2015-yilda boshlangan bo‘lib, likvidlikni qoplash me’yorining minimal darajasi 2016-yil 1-yanvardan 80 foiz, 2017-yil 1-yanvardan 90 foiz, 2018-yil 1-yanvardan 100 foiz qilib belgilangan</w:t>
      </w:r>
      <w:r>
        <w:rPr>
          <w:rStyle w:val="FootnoteReference"/>
        </w:rPr>
        <w:footnoteReference w:id="15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FootnoteReference"/>
        </w:rPr>
        <w:footnoteReference w:id="153"/>
      </w:r>
      <w:r>
        <w:rPr>
          <w:rFonts w:ascii="Times New Roman" w:hAnsi="Times New Roman" w:cs="Times New Roman" w:eastAsia="Times New Roman"/>
          <w:sz w:val="28"/>
        </w:rPr>
        <w:t xml:space="preserve">.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FootnoteReference"/>
        </w:rPr>
        <w:footnoteReference w:id="154"/>
      </w:r>
      <w:r>
        <w:rPr>
          <w:rFonts w:ascii="Times New Roman" w:hAnsi="Times New Roman" w:cs="Times New Roman" w:eastAsia="Times New Roman"/>
          <w:sz w:val="28"/>
        </w:rPr>
        <w:t xml:space="preserve">. N.E. Sokolinskaya bu o‘zgarishni yuzaga kelgan zararlarga asoslangan yondashuv o‘rniga prognoz yondashuvining kiritilishi deb tavsiflaydi</w:t>
      </w:r>
      <w:r>
        <w:rPr>
          <w:rStyle w:val="FootnoteReference"/>
        </w:rPr>
        <w:footnoteReference w:id="155"/>
      </w:r>
      <w:r>
        <w:rPr>
          <w:rFonts w:ascii="Times New Roman" w:hAnsi="Times New Roman" w:cs="Times New Roman" w:eastAsia="Times New Roman"/>
          <w:sz w:val="28"/>
        </w:rPr>
        <w:t xml:space="preserve">. Standartga ko‘ra, moliyaviy aktivlar kredit sifatining o‘zgarishiga qarab uch bosqichga ajratiladi</w:t>
      </w:r>
      <w:r>
        <w:rPr>
          <w:rStyle w:val="FootnoteReference"/>
        </w:rPr>
        <w:footnoteReference w:id="15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1" name="1.2.4-rasm"/>
                <wp:cNvGraphicFramePr/>
                <a:graphic>
                  <a:graphicData uri="http://schemas.microsoft.com/office/word/2010/wordprocessingGroup">
                    <wpg:wgp>
                      <wpg:cNvGrpSpPr/>
                      <wpg:grpSpPr>
                        <a:xfrm>
                          <a:off x="0" y="0"/>
                          <a:ext cx="5904000" cy="2448000"/>
                          <a:chOff x="0" y="0"/>
                          <a:chExt cx="5904000" cy="2448000"/>
                        </a:xfrm>
                      </wpg:grpSpPr>
                      <wps:wsp>
                        <wps:cNvPr id="17" name="Shape 17"/>
                        <wps:cNvSpPr/>
                        <wps:spPr>
                          <a:xfrm>
                            <a:off x="36000" y="0"/>
                            <a:ext cx="5832000" cy="198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2"/>
                                  <w:szCs w:val="22"/>
                                </w:rPr>
                                <w:t xml:space="preserve">Dastlabki tan olingandan keyin kredit sifatining yomonlashuvi</w:t>
                              </w:r>
                            </w:p>
                          </w:txbxContent>
                        </wps:txbx>
                        <wps:bodyPr rot="0" vert="horz" wrap="square" lIns="36000" tIns="18000" rIns="36000" bIns="18000" anchor="ctr" anchorCtr="0">
                          <a:noAutofit/>
                        </wps:bodyPr>
                      </wps:wsp>
                      <wps:wsp>
                        <wps:cNvPr id="18" name="Connector 18"/>
                        <wps:cNvCnPr/>
                        <wps:spPr>
                          <a:xfrm>
                            <a:off x="72000" y="270000"/>
                            <a:ext cx="5760000" cy="0"/>
                          </a:xfrm>
                          <a:prstGeom prst="straightConnector1">
                            <a:avLst/>
                          </a:prstGeom>
                          <a:ln w="31750">
                            <a:solidFill>
                              <a:srgbClr val="7F7F7F"/>
                            </a:solidFill>
                            <a:tailEnd type="triangle" w="med" len="med"/>
                          </a:ln>
                        </wps:spPr>
                        <wps:bodyPr/>
                      </wps:wsp>
                      <wps:wsp>
                        <wps:cNvPr id="19"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1-bosqich</w:t>
                              </w:r>
                            </w:p>
                          </w:txbxContent>
                        </wps:txbx>
                        <wps:bodyPr rot="0" vert="horz" wrap="square" lIns="36000" tIns="18000" rIns="36000" bIns="18000" anchor="ctr" anchorCtr="0">
                          <a:noAutofit/>
                        </wps:bodyPr>
                      </wps:wsp>
                      <wps:wsp>
                        <wps:cNvPr id="20"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oshmagan aktivlar</w:t>
                              </w:r>
                            </w:p>
                          </w:txbxContent>
                        </wps:txbx>
                        <wps:bodyPr rot="0" vert="horz" wrap="square" lIns="36000" tIns="18000" rIns="36000" bIns="18000" anchor="ctr" anchorCtr="0">
                          <a:noAutofit/>
                        </wps:bodyPr>
                      </wps:wsp>
                      <wps:wsp>
                        <wps:cNvPr id="21"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12 oylik kutilgan</w:t>
                              </w:r>
                            </w:p>
                            <w:p>
                              <w:pPr>
                                <w:spacing w:before="0" w:after="0" w:line="228" w:lineRule="auto"/>
                                <w:jc w:val="center"/>
                                <w:ind w:firstLine="0"/>
                              </w:pPr>
                              <w:r>
                                <w:rPr>
                                  <w:rFonts w:ascii="Times New Roman" w:hAnsi="Times New Roman" w:cs="Times New Roman"/>
                                  <w:b/>
                                  <w:color w:val="000000"/>
                                  <w:sz w:val="22"/>
                                  <w:szCs w:val="22"/>
                                </w:rPr>
                                <w:t xml:space="preserve">kredit zararlari</w:t>
                              </w:r>
                            </w:p>
                          </w:txbxContent>
                        </wps:txbx>
                        <wps:bodyPr rot="0" vert="horz" wrap="square" lIns="36000" tIns="18000" rIns="36000" bIns="18000" anchor="ctr" anchorCtr="0">
                          <a:noAutofit/>
                        </wps:bodyPr>
                      </wps:wsp>
                      <wps:wsp>
                        <wps:cNvPr id="22"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3"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4"/>
                                  <w:szCs w:val="24"/>
                                </w:rPr>
                                <w:t xml:space="preserve">2-bosqich</w:t>
                              </w:r>
                            </w:p>
                          </w:txbxContent>
                        </wps:txbx>
                        <wps:bodyPr rot="0" vert="horz" wrap="square" lIns="36000" tIns="18000" rIns="36000" bIns="18000" anchor="ctr" anchorCtr="0">
                          <a:noAutofit/>
                        </wps:bodyPr>
                      </wps:wsp>
                      <wps:wsp>
                        <wps:cNvPr id="24"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oshgan aktivlar</w:t>
                              </w:r>
                            </w:p>
                          </w:txbxContent>
                        </wps:txbx>
                        <wps:bodyPr rot="0" vert="horz" wrap="square" lIns="36000" tIns="18000" rIns="36000" bIns="18000" anchor="ctr" anchorCtr="0">
                          <a:noAutofit/>
                        </wps:bodyPr>
                      </wps:wsp>
                      <wps:wsp>
                        <wps:cNvPr id="2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26"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7"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3-bosqich</w:t>
                              </w:r>
                            </w:p>
                          </w:txbxContent>
                        </wps:txbx>
                        <wps:bodyPr rot="0" vert="horz" wrap="square" lIns="36000" tIns="18000" rIns="36000" bIns="18000" anchor="ctr" anchorCtr="0">
                          <a:noAutofit/>
                        </wps:bodyPr>
                      </wps:wsp>
                      <wps:wsp>
                        <wps:cNvPr id="28"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Qadrsizlangan</w:t>
                              </w:r>
                            </w:p>
                            <w:p>
                              <w:pPr>
                                <w:spacing w:before="0" w:after="0" w:line="228" w:lineRule="auto"/>
                                <w:jc w:val="center"/>
                                <w:ind w:firstLine="0"/>
                              </w:pPr>
                              <w:r>
                                <w:rPr>
                                  <w:rFonts w:ascii="Times New Roman" w:hAnsi="Times New Roman" w:cs="Times New Roman"/>
                                  <w:color w:val="000000"/>
                                  <w:sz w:val="22"/>
                                  <w:szCs w:val="22"/>
                                </w:rPr>
                                <w:t xml:space="preserve">(defolt) aktivlar</w:t>
                              </w:r>
                            </w:p>
                          </w:txbxContent>
                        </wps:txbx>
                        <wps:bodyPr rot="0" vert="horz" wrap="square" lIns="36000" tIns="18000" rIns="36000" bIns="18000" anchor="ctr" anchorCtr="0">
                          <a:noAutofit/>
                        </wps:bodyPr>
                      </wps:wsp>
                      <wps:wsp>
                        <wps:cNvPr id="29"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3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sof</w:t>
                              </w:r>
                            </w:p>
                            <w:p>
                              <w:pPr>
                                <w:spacing w:before="0" w:after="0" w:line="228" w:lineRule="auto"/>
                                <w:jc w:val="center"/>
                                <w:ind w:firstLine="0"/>
                              </w:pPr>
                              <w:r>
                                <w:rPr>
                                  <w:rFonts w:ascii="Times New Roman" w:hAnsi="Times New Roman" w:cs="Times New Roman"/>
                                  <w:color w:val="000000"/>
                                  <w:sz w:val="22"/>
                                  <w:szCs w:val="22"/>
                                </w:rPr>
                                <w:t xml:space="preserve">(zaxiradan keyingi)</w:t>
                              </w:r>
                            </w:p>
                            <w:p>
                              <w:pPr>
                                <w:spacing w:before="0" w:after="0" w:line="228" w:lineRule="auto"/>
                                <w:jc w:val="center"/>
                                <w:ind w:firstLine="0"/>
                              </w:pPr>
                              <w:r>
                                <w:rPr>
                                  <w:rFonts w:ascii="Times New Roman" w:hAnsi="Times New Roman" w:cs="Times New Roman"/>
                                  <w:color w:val="000000"/>
                                  <w:sz w:val="22"/>
                                  <w:szCs w:val="22"/>
                                </w:rPr>
                                <w:t xml:space="preserve">qiymatga hisoblanadi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1.2.4-rasm. MHXS 9 bo‘yicha kutilgan kredit zararlarini baholashning uch bosqichli modeli</w:t>
      </w:r>
      <w:r>
        <w:rPr>
          <w:rStyle w:val="FootnoteReference"/>
        </w:rPr>
        <w:footnoteReference w:id="1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FootnoteReference"/>
        </w:rPr>
        <w:footnoteReference w:id="158"/>
      </w:r>
      <w:r>
        <w:rPr>
          <w:rFonts w:ascii="Times New Roman" w:hAnsi="Times New Roman" w:cs="Times New Roman" w:eastAsia="Times New Roman"/>
          <w:sz w:val="28"/>
        </w:rPr>
        <w:t xml:space="preserve">.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FootnoteReference"/>
        </w:rPr>
        <w:footnoteReference w:id="159"/>
      </w:r>
      <w:r>
        <w:rPr>
          <w:rFonts w:ascii="Times New Roman" w:hAnsi="Times New Roman" w:cs="Times New Roman" w:eastAsia="Times New Roman"/>
          <w:sz w:val="28"/>
        </w:rPr>
        <w:t xml:space="preserve">. Bazel III ga oid monografiyada ham Rossiya bank sektorida zaxiralar va muddati o‘tgan qarzlar ulushi o‘rtasidagi korrelyatsiya atigi 0,24 ni tashkil etgani, ya’ni amaldagi zaxira yaratish amaliyoti kutilgan yo‘qotishlarni qoplash maqsadiga javob bermasligi ko‘rsatilgan</w:t>
      </w:r>
      <w:r>
        <w:rPr>
          <w:rStyle w:val="FootnoteReference"/>
        </w:rPr>
        <w:footnoteReference w:id="160"/>
      </w:r>
      <w:r>
        <w:rPr>
          <w:rFonts w:ascii="Times New Roman" w:hAnsi="Times New Roman" w:cs="Times New Roman" w:eastAsia="Times New Roman"/>
          <w:sz w:val="28"/>
        </w:rPr>
        <w:t xml:space="preserve">. O‘zbekiston banklari misolida bu farq ikkinchi bobda tahlil qilinadi.</w:t>
      </w:r>
    </w:p>
    <w:p>
      <w:pPr>
        <w:pStyle w:val="BodyText"/>
        <w:spacing w:line="360" w:lineRule="auto" w:before="0" w:after="0"/>
        <w:ind w:firstLine="709"/>
        <w:jc w:val="both"/>
      </w:pPr>
      <w:r>
        <w:rPr>
          <w:rFonts w:ascii="Times New Roman" w:hAnsi="Times New Roman" w:cs="Times New Roman" w:eastAsia="Times New Roman"/>
          <w:sz w:val="28"/>
        </w:rPr>
        <w:t xml:space="preserve">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FootnoteReference"/>
        </w:rPr>
        <w:footnoteReference w:id="161"/>
      </w:r>
      <w:r>
        <w:rPr>
          <w:rFonts w:ascii="Times New Roman" w:hAnsi="Times New Roman" w:cs="Times New Roman" w:eastAsia="Times New Roman"/>
          <w:sz w:val="28"/>
        </w:rPr>
        <w:t xml:space="preserve">.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FootnoteReference"/>
        </w:rPr>
        <w:footnoteReference w:id="162"/>
      </w:r>
      <w:r>
        <w:rPr>
          <w:rFonts w:ascii="Times New Roman" w:hAnsi="Times New Roman" w:cs="Times New Roman" w:eastAsia="Times New Roman"/>
          <w:sz w:val="28"/>
        </w:rPr>
        <w:t xml:space="preserve">. Shu bilan birga, qo‘llanmada asosiy ko‘rsatkichlarning o‘zi cheklangan bashorat kuchiga ega ekani, ammo ular monitoring vositasi va kengroq tahliliy yondashuvlar uchun dastlabki ma’lumot sifatida foydali ekani qayd etilgan</w:t>
      </w:r>
      <w:r>
        <w:rPr>
          <w:rStyle w:val="FootnoteReference"/>
        </w:rPr>
        <w:footnoteReference w:id="163"/>
      </w:r>
      <w:r>
        <w:rPr>
          <w:rFonts w:ascii="Times New Roman" w:hAnsi="Times New Roman" w:cs="Times New Roman" w:eastAsia="Times New Roman"/>
          <w:sz w:val="28"/>
        </w:rPr>
        <w:t xml:space="preserve">. Demak, bu ko‘rsatkichlar baholash ko‘rsatkichlari tarkibini xalqaro miqyosda unifikatsiya qiladi, biroq mezoniy qiymatlar va yagona integral baho bermaydi.</w:t>
      </w:r>
    </w:p>
    <w:p>
      <w:pPr>
        <w:pStyle w:val="BodyText"/>
        <w:spacing w:line="360" w:lineRule="auto" w:before="0" w:after="0"/>
        <w:ind w:firstLine="709"/>
        <w:jc w:val="both"/>
      </w:pPr>
      <w:r>
        <w:rPr>
          <w:rFonts w:ascii="Times New Roman" w:hAnsi="Times New Roman" w:cs="Times New Roman" w:eastAsia="Times New Roman"/>
          <w:sz w:val="28"/>
        </w:rPr>
        <w:t xml:space="preserve">Ko‘rib chiqilgan standartlar va tizimlarning baholash metodikasi uchun ahamiyatini umumlashtirish ularni qiyosiy tavsiflash imkonini beradi (1.2.4-jadval).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bo‘yicha xalqaro standartlar va tizimlarning qiyosiy tavsifi</w:t>
      </w:r>
      <w:r>
        <w:rPr>
          <w:rStyle w:val="FootnoteReference"/>
        </w:rPr>
        <w:footnoteReference w:id="16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530"/>
        <w:gridCol w:w="1474"/>
        <w:gridCol w:w="1644"/>
        <w:gridCol w:w="1587"/>
        <w:gridCol w:w="164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Mezon</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9</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moliyaviy barqarorlik ko‘rsatkichlari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Reyting agentliklari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maqsad</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Minimal prudensial talablar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Kredit zararlarini to‘g‘ri aks ettirish</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Sektor barqarorligini kuzatish</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Nazorat reytingi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Investorlarga axborot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Baholash darajasi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Bank va tizim</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 sektori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Qamraydigan bloklar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Kapital, likvidlik</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Kapital, aktivlar, daromad, likvidlik, bozor riski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Kapital, aktivlar, boshqaruv, daromad, likvidlik, bozor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Biznes va moliyaviy profil</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Mezoniy qiymatlar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Bor (minimumlar)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 (tamoyillar)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(ballar)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Ichki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Yagona integral baho</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(1–5)</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Bor (reyting)</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Natijaning oshkoraligi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Normativlar ochiq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cheklovi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Aktivlar sifati va daromadlilikni qamramaydi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Faqat kredit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Integral baho 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Sub’ektiv, 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Hamma banklarni qamramaydi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FootnoteReference"/>
        </w:rPr>
        <w:footnoteReference w:id="165"/>
      </w:r>
      <w:r>
        <w:rPr>
          <w:rFonts w:ascii="Times New Roman" w:hAnsi="Times New Roman" w:cs="Times New Roman" w:eastAsia="Times New Roman"/>
          <w:sz w:val="28"/>
        </w:rPr>
        <w:t xml:space="preserve">, biroq O‘zbekistonda ular faqat bir qism banklarni qamraydi. Shu bilan birga, bu standartlar bir-birini to‘ldiradi va ularning afzalliklarini birlashtirish orqali takomillashtirilgan integral baholash tizimini qurish mumkin (1.2.5-rasm).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3060000"/>
                <wp:effectExtent l="0" t="0" r="0" b="0"/>
                <wp:docPr id="12" name="1.2.5-rasm"/>
                <wp:cNvGraphicFramePr/>
                <a:graphic>
                  <a:graphicData uri="http://schemas.microsoft.com/office/word/2010/wordprocessingGroup">
                    <wpg:wgp>
                      <wpg:cNvGrpSpPr/>
                      <wpg:grpSpPr>
                        <a:xfrm>
                          <a:off x="0" y="0"/>
                          <a:ext cx="5940000" cy="3060000"/>
                          <a:chOff x="0" y="0"/>
                          <a:chExt cx="5940000" cy="3060000"/>
                        </a:xfrm>
                      </wpg:grpSpPr>
                      <wps:wsp>
                        <wps:cNvPr id="31" name="Shape 31"/>
                        <wps:cNvSpPr/>
                        <wps:spPr>
                          <a:xfrm>
                            <a:off x="3600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Xalqaro standartlar</w:t>
                              </w:r>
                            </w:p>
                          </w:txbxContent>
                        </wps:txbx>
                        <wps:bodyPr rot="0" vert="horz" wrap="square" lIns="36000" tIns="18000" rIns="36000" bIns="18000" anchor="ctr" anchorCtr="0">
                          <a:noAutofit/>
                        </wps:bodyPr>
                      </wps:wsp>
                      <wps:wsp>
                        <wps:cNvPr id="32" name="Shape 32"/>
                        <wps:cNvSpPr/>
                        <wps:spPr>
                          <a:xfrm>
                            <a:off x="2160000" y="0"/>
                            <a:ext cx="1728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Baholash bloklari</w:t>
                              </w:r>
                            </w:p>
                          </w:txbxContent>
                        </wps:txbx>
                        <wps:bodyPr rot="0" vert="horz" wrap="square" lIns="36000" tIns="18000" rIns="36000" bIns="18000" anchor="ctr" anchorCtr="0">
                          <a:noAutofit/>
                        </wps:bodyPr>
                      </wps:wsp>
                      <wps:wsp>
                        <wps:cNvPr id="33" name="Connector 33"/>
                        <wps:cNvCnPr/>
                        <wps:spPr>
                          <a:xfrm>
                            <a:off x="1332000" y="486000"/>
                            <a:ext cx="828000" cy="0"/>
                          </a:xfrm>
                          <a:prstGeom prst="straightConnector1">
                            <a:avLst/>
                          </a:prstGeom>
                          <a:ln w="12700">
                            <a:solidFill>
                              <a:srgbClr val="70AD47"/>
                            </a:solidFill>
                          </a:ln>
                        </wps:spPr>
                        <wps:bodyPr/>
                      </wps:wsp>
                      <wps:wsp>
                        <wps:cNvPr id="34" name="Connector 34"/>
                        <wps:cNvCnPr/>
                        <wps:spPr>
                          <a:xfrm>
                            <a:off x="1332000" y="486000"/>
                            <a:ext cx="828000" cy="1782000"/>
                          </a:xfrm>
                          <a:prstGeom prst="straightConnector1">
                            <a:avLst/>
                          </a:prstGeom>
                          <a:ln w="12700">
                            <a:solidFill>
                              <a:srgbClr val="70AD47"/>
                            </a:solidFill>
                          </a:ln>
                        </wps:spPr>
                        <wps:bodyPr/>
                      </wps:wsp>
                      <wps:wsp>
                        <wps:cNvPr id="35" name="Connector 35"/>
                        <wps:cNvCnPr/>
                        <wps:spPr>
                          <a:xfrm>
                            <a:off x="1332000" y="1080000"/>
                            <a:ext cx="828000" cy="0"/>
                          </a:xfrm>
                          <a:prstGeom prst="straightConnector1">
                            <a:avLst/>
                          </a:prstGeom>
                          <a:ln w="12700">
                            <a:solidFill>
                              <a:srgbClr val="EB6834"/>
                            </a:solidFill>
                          </a:ln>
                        </wps:spPr>
                        <wps:bodyPr/>
                      </wps:wsp>
                      <wps:wsp>
                        <wps:cNvPr id="36" name="Connector 36"/>
                        <wps:cNvCnPr/>
                        <wps:spPr>
                          <a:xfrm flipV="1">
                            <a:off x="1332000" y="486000"/>
                            <a:ext cx="828000" cy="1188000"/>
                          </a:xfrm>
                          <a:prstGeom prst="straightConnector1">
                            <a:avLst/>
                          </a:prstGeom>
                          <a:ln w="12700">
                            <a:solidFill>
                              <a:srgbClr val="5B9BD5"/>
                            </a:solidFill>
                          </a:ln>
                        </wps:spPr>
                        <wps:bodyPr/>
                      </wps:wsp>
                      <wps:wsp>
                        <wps:cNvPr id="37" name="Connector 37"/>
                        <wps:cNvCnPr/>
                        <wps:spPr>
                          <a:xfrm flipV="1">
                            <a:off x="1332000" y="1080000"/>
                            <a:ext cx="828000" cy="594000"/>
                          </a:xfrm>
                          <a:prstGeom prst="straightConnector1">
                            <a:avLst/>
                          </a:prstGeom>
                          <a:ln w="12700">
                            <a:solidFill>
                              <a:srgbClr val="5B9BD5"/>
                            </a:solidFill>
                          </a:ln>
                        </wps:spPr>
                        <wps:bodyPr/>
                      </wps:wsp>
                      <wps:wsp>
                        <wps:cNvPr id="38" name="Connector 38"/>
                        <wps:cNvCnPr/>
                        <wps:spPr>
                          <a:xfrm>
                            <a:off x="1332000" y="1674000"/>
                            <a:ext cx="828000" cy="0"/>
                          </a:xfrm>
                          <a:prstGeom prst="straightConnector1">
                            <a:avLst/>
                          </a:prstGeom>
                          <a:ln w="12700">
                            <a:solidFill>
                              <a:srgbClr val="5B9BD5"/>
                            </a:solidFill>
                          </a:ln>
                        </wps:spPr>
                        <wps:bodyPr/>
                      </wps:wsp>
                      <wps:wsp>
                        <wps:cNvPr id="39" name="Connector 39"/>
                        <wps:cNvCnPr/>
                        <wps:spPr>
                          <a:xfrm>
                            <a:off x="1332000" y="1674000"/>
                            <a:ext cx="828000" cy="594000"/>
                          </a:xfrm>
                          <a:prstGeom prst="straightConnector1">
                            <a:avLst/>
                          </a:prstGeom>
                          <a:ln w="12700">
                            <a:solidFill>
                              <a:srgbClr val="5B9BD5"/>
                            </a:solidFill>
                          </a:ln>
                        </wps:spPr>
                        <wps:bodyPr/>
                      </wps:wsp>
                      <wps:wsp>
                        <wps:cNvPr id="40" name="Connector 40"/>
                        <wps:cNvCnPr/>
                        <wps:spPr>
                          <a:xfrm>
                            <a:off x="1332000" y="1674000"/>
                            <a:ext cx="828000" cy="1188000"/>
                          </a:xfrm>
                          <a:prstGeom prst="straightConnector1">
                            <a:avLst/>
                          </a:prstGeom>
                          <a:ln w="12700">
                            <a:solidFill>
                              <a:srgbClr val="5B9BD5"/>
                            </a:solidFill>
                          </a:ln>
                        </wps:spPr>
                        <wps:bodyPr/>
                      </wps:wsp>
                      <wps:wsp>
                        <wps:cNvPr id="41" name="Connector 41"/>
                        <wps:cNvCnPr/>
                        <wps:spPr>
                          <a:xfrm flipV="1">
                            <a:off x="1332000" y="486000"/>
                            <a:ext cx="828000" cy="1782000"/>
                          </a:xfrm>
                          <a:prstGeom prst="straightConnector1">
                            <a:avLst/>
                          </a:prstGeom>
                          <a:ln w="12700">
                            <a:solidFill>
                              <a:srgbClr val="2A78D6"/>
                            </a:solidFill>
                          </a:ln>
                        </wps:spPr>
                        <wps:bodyPr/>
                      </wps:wsp>
                      <wps:wsp>
                        <wps:cNvPr id="42" name="Connector 42"/>
                        <wps:cNvCnPr/>
                        <wps:spPr>
                          <a:xfrm flipV="1">
                            <a:off x="1332000" y="1080000"/>
                            <a:ext cx="828000" cy="1188000"/>
                          </a:xfrm>
                          <a:prstGeom prst="straightConnector1">
                            <a:avLst/>
                          </a:prstGeom>
                          <a:ln w="12700">
                            <a:solidFill>
                              <a:srgbClr val="2A78D6"/>
                            </a:solidFill>
                          </a:ln>
                        </wps:spPr>
                        <wps:bodyPr/>
                      </wps:wsp>
                      <wps:wsp>
                        <wps:cNvPr id="43" name="Connector 43"/>
                        <wps:cNvCnPr/>
                        <wps:spPr>
                          <a:xfrm flipV="1">
                            <a:off x="1332000" y="1674000"/>
                            <a:ext cx="828000" cy="594000"/>
                          </a:xfrm>
                          <a:prstGeom prst="straightConnector1">
                            <a:avLst/>
                          </a:prstGeom>
                          <a:ln w="12700">
                            <a:solidFill>
                              <a:srgbClr val="2A78D6"/>
                            </a:solidFill>
                          </a:ln>
                        </wps:spPr>
                        <wps:bodyPr/>
                      </wps:wsp>
                      <wps:wsp>
                        <wps:cNvPr id="44" name="Connector 44"/>
                        <wps:cNvCnPr/>
                        <wps:spPr>
                          <a:xfrm>
                            <a:off x="1332000" y="2268000"/>
                            <a:ext cx="828000" cy="0"/>
                          </a:xfrm>
                          <a:prstGeom prst="straightConnector1">
                            <a:avLst/>
                          </a:prstGeom>
                          <a:ln w="12700">
                            <a:solidFill>
                              <a:srgbClr val="2A78D6"/>
                            </a:solidFill>
                          </a:ln>
                        </wps:spPr>
                        <wps:bodyPr/>
                      </wps:wsp>
                      <wps:wsp>
                        <wps:cNvPr id="45" name="Connector 45"/>
                        <wps:cNvCnPr/>
                        <wps:spPr>
                          <a:xfrm>
                            <a:off x="1332000" y="2268000"/>
                            <a:ext cx="828000" cy="594000"/>
                          </a:xfrm>
                          <a:prstGeom prst="straightConnector1">
                            <a:avLst/>
                          </a:prstGeom>
                          <a:ln w="12700">
                            <a:solidFill>
                              <a:srgbClr val="2A78D6"/>
                            </a:solidFill>
                          </a:ln>
                        </wps:spPr>
                        <wps:bodyPr/>
                      </wps:wsp>
                      <wps:wsp>
                        <wps:cNvPr id="46" name="Connector 46"/>
                        <wps:cNvCnPr/>
                        <wps:spPr>
                          <a:xfrm flipV="1">
                            <a:off x="1332000" y="486000"/>
                            <a:ext cx="828000" cy="2376000"/>
                          </a:xfrm>
                          <a:prstGeom prst="straightConnector1">
                            <a:avLst/>
                          </a:prstGeom>
                          <a:ln w="12700">
                            <a:solidFill>
                              <a:srgbClr val="7F7F7F"/>
                            </a:solidFill>
                          </a:ln>
                        </wps:spPr>
                        <wps:bodyPr/>
                      </wps:wsp>
                      <wps:wsp>
                        <wps:cNvPr id="47" name="Connector 47"/>
                        <wps:cNvCnPr/>
                        <wps:spPr>
                          <a:xfrm flipV="1">
                            <a:off x="1332000" y="1080000"/>
                            <a:ext cx="828000" cy="1782000"/>
                          </a:xfrm>
                          <a:prstGeom prst="straightConnector1">
                            <a:avLst/>
                          </a:prstGeom>
                          <a:ln w="12700">
                            <a:solidFill>
                              <a:srgbClr val="7F7F7F"/>
                            </a:solidFill>
                          </a:ln>
                        </wps:spPr>
                        <wps:bodyPr/>
                      </wps:wsp>
                      <wps:wsp>
                        <wps:cNvPr id="48" name="Connector 48"/>
                        <wps:cNvCnPr/>
                        <wps:spPr>
                          <a:xfrm flipV="1">
                            <a:off x="1332000" y="1674000"/>
                            <a:ext cx="828000" cy="1188000"/>
                          </a:xfrm>
                          <a:prstGeom prst="straightConnector1">
                            <a:avLst/>
                          </a:prstGeom>
                          <a:ln w="12700">
                            <a:solidFill>
                              <a:srgbClr val="7F7F7F"/>
                            </a:solidFill>
                          </a:ln>
                        </wps:spPr>
                        <wps:bodyPr/>
                      </wps:wsp>
                      <wps:wsp>
                        <wps:cNvPr id="49" name="Connector 49"/>
                        <wps:cNvCnPr/>
                        <wps:spPr>
                          <a:xfrm flipV="1">
                            <a:off x="1332000" y="2268000"/>
                            <a:ext cx="828000" cy="594000"/>
                          </a:xfrm>
                          <a:prstGeom prst="straightConnector1">
                            <a:avLst/>
                          </a:prstGeom>
                          <a:ln w="12700">
                            <a:solidFill>
                              <a:srgbClr val="7F7F7F"/>
                            </a:solidFill>
                          </a:ln>
                        </wps:spPr>
                        <wps:bodyPr/>
                      </wps:wsp>
                      <wps:wsp>
                        <wps:cNvPr id="50"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txbxContent>
                        </wps:txbx>
                        <wps:bodyPr rot="0" vert="horz" wrap="square" lIns="36000" tIns="18000" rIns="36000" bIns="18000" anchor="ctr" anchorCtr="0">
                          <a:noAutofit/>
                        </wps:bodyPr>
                      </wps:wsp>
                      <wps:wsp>
                        <wps:cNvPr id="5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MHXS 9</w:t>
                              </w:r>
                            </w:p>
                          </w:txbxContent>
                        </wps:txbx>
                        <wps:bodyPr rot="0" vert="horz" wrap="square" lIns="36000" tIns="18000" rIns="36000" bIns="18000" anchor="ctr" anchorCtr="0">
                          <a:noAutofit/>
                        </wps:bodyPr>
                      </wps:wsp>
                      <wps:wsp>
                        <wps:cNvPr id="52"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XVJ barqarorlik</w:t>
                              </w:r>
                            </w:p>
                            <w:p>
                              <w:pPr>
                                <w:spacing w:before="0" w:after="0" w:line="228" w:lineRule="auto"/>
                                <w:jc w:val="center"/>
                                <w:ind w:firstLine="0"/>
                              </w:pPr>
                              <w:r>
                                <w:rPr>
                                  <w:rFonts w:ascii="Times New Roman" w:hAnsi="Times New Roman" w:cs="Times New Roman"/>
                                  <w:b/>
                                  <w:color w:val="000000"/>
                                  <w:sz w:val="22"/>
                                  <w:szCs w:val="22"/>
                                </w:rPr>
                                <w:t xml:space="preserve">ko‘rsatkichlari</w:t>
                              </w:r>
                            </w:p>
                          </w:txbxContent>
                        </wps:txbx>
                        <wps:bodyPr rot="0" vert="horz" wrap="square" lIns="36000" tIns="18000" rIns="36000" bIns="18000" anchor="ctr" anchorCtr="0">
                          <a:noAutofit/>
                        </wps:bodyPr>
                      </wps:wsp>
                      <wps:wsp>
                        <wps:cNvPr id="5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CAMELS</w:t>
                              </w:r>
                            </w:p>
                          </w:txbxContent>
                        </wps:txbx>
                        <wps:bodyPr rot="0" vert="horz" wrap="square" lIns="36000" tIns="18000" rIns="36000" bIns="18000" anchor="ctr" anchorCtr="0">
                          <a:noAutofit/>
                        </wps:bodyPr>
                      </wps:wsp>
                      <wps:wsp>
                        <wps:cNvPr id="54"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Reyting agentliklari</w:t>
                              </w:r>
                            </w:p>
                          </w:txbxContent>
                        </wps:txbx>
                        <wps:bodyPr rot="0" vert="horz" wrap="square" lIns="36000" tIns="18000" rIns="36000" bIns="18000" anchor="ctr" anchorCtr="0">
                          <a:noAutofit/>
                        </wps:bodyPr>
                      </wps:wsp>
                      <wps:wsp>
                        <wps:cNvPr id="55"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Kapital yetarliligi</w:t>
                              </w:r>
                            </w:p>
                          </w:txbxContent>
                        </wps:txbx>
                        <wps:bodyPr rot="0" vert="horz" wrap="square" lIns="36000" tIns="18000" rIns="36000" bIns="18000" anchor="ctr" anchorCtr="0">
                          <a:noAutofit/>
                        </wps:bodyPr>
                      </wps:wsp>
                      <wps:wsp>
                        <wps:cNvPr id="56"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Aktivlar sifati</w:t>
                              </w:r>
                            </w:p>
                          </w:txbxContent>
                        </wps:txbx>
                        <wps:bodyPr rot="0" vert="horz" wrap="square" lIns="36000" tIns="18000" rIns="36000" bIns="18000" anchor="ctr" anchorCtr="0">
                          <a:noAutofit/>
                        </wps:bodyPr>
                      </wps:wsp>
                      <wps:wsp>
                        <wps:cNvPr id="57"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Daromadlilik</w:t>
                              </w:r>
                            </w:p>
                          </w:txbxContent>
                        </wps:txbx>
                        <wps:bodyPr rot="0" vert="horz" wrap="square" lIns="36000" tIns="18000" rIns="36000" bIns="18000" anchor="ctr" anchorCtr="0">
                          <a:noAutofit/>
                        </wps:bodyPr>
                      </wps:wsp>
                      <wps:wsp>
                        <wps:cNvPr id="58"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Likvidlik</w:t>
                              </w:r>
                            </w:p>
                          </w:txbxContent>
                        </wps:txbx>
                        <wps:bodyPr rot="0" vert="horz" wrap="square" lIns="36000" tIns="18000" rIns="36000" bIns="18000" anchor="ctr" anchorCtr="0">
                          <a:noAutofit/>
                        </wps:bodyPr>
                      </wps:wsp>
                      <wps:wsp>
                        <wps:cNvPr id="59"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(valyuta) riskiga</w:t>
                              </w:r>
                            </w:p>
                            <w:p>
                              <w:pPr>
                                <w:spacing w:before="0" w:after="0" w:line="228" w:lineRule="auto"/>
                                <w:jc w:val="center"/>
                                <w:ind w:firstLine="0"/>
                              </w:pPr>
                              <w:r>
                                <w:rPr>
                                  <w:rFonts w:ascii="Times New Roman" w:hAnsi="Times New Roman" w:cs="Times New Roman"/>
                                  <w:color w:val="000000"/>
                                  <w:sz w:val="22"/>
                                  <w:szCs w:val="22"/>
                                </w:rPr>
                                <w:t xml:space="preserve">sezgirlik</w:t>
                              </w:r>
                            </w:p>
                          </w:txbxContent>
                        </wps:txbx>
                        <wps:bodyPr rot="0" vert="horz" wrap="square" lIns="36000" tIns="18000" rIns="36000" bIns="18000" anchor="ctr" anchorCtr="0">
                          <a:noAutofit/>
                        </wps:bodyPr>
                      </wps:wsp>
                      <wps:wsp>
                        <wps:cNvPr id="60" name="Connector 60"/>
                        <wps:cNvCnPr/>
                        <wps:spPr>
                          <a:xfrm>
                            <a:off x="3888000" y="486000"/>
                            <a:ext cx="648000" cy="1152000"/>
                          </a:xfrm>
                          <a:prstGeom prst="straightConnector1">
                            <a:avLst/>
                          </a:prstGeom>
                          <a:ln w="15875">
                            <a:solidFill>
                              <a:srgbClr val="404040"/>
                            </a:solidFill>
                            <a:tailEnd type="triangle" w="med" len="med"/>
                          </a:ln>
                        </wps:spPr>
                        <wps:bodyPr/>
                      </wps:wsp>
                      <wps:wsp>
                        <wps:cNvPr id="61" name="Connector 61"/>
                        <wps:cNvCnPr/>
                        <wps:spPr>
                          <a:xfrm>
                            <a:off x="3888000" y="1080000"/>
                            <a:ext cx="648000" cy="558000"/>
                          </a:xfrm>
                          <a:prstGeom prst="straightConnector1">
                            <a:avLst/>
                          </a:prstGeom>
                          <a:ln w="15875">
                            <a:solidFill>
                              <a:srgbClr val="404040"/>
                            </a:solidFill>
                            <a:tailEnd type="triangle" w="med" len="med"/>
                          </a:ln>
                        </wps:spPr>
                        <wps:bodyPr/>
                      </wps:wsp>
                      <wps:wsp>
                        <wps:cNvPr id="62"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63"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64"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65"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Moliyaviy</w:t>
                              </w:r>
                            </w:p>
                            <w:p>
                              <w:pPr>
                                <w:spacing w:before="0" w:after="0" w:line="228" w:lineRule="auto"/>
                                <w:jc w:val="center"/>
                                <w:ind w:firstLine="0"/>
                              </w:pPr>
                              <w:r>
                                <w:rPr>
                                  <w:rFonts w:ascii="Times New Roman" w:hAnsi="Times New Roman" w:cs="Times New Roman"/>
                                  <w:b/>
                                  <w:color w:val="FFFFFF"/>
                                  <w:sz w:val="24"/>
                                  <w:szCs w:val="24"/>
                                </w:rPr>
                                <w:t xml:space="preserve">barqarorlikning</w:t>
                              </w:r>
                            </w:p>
                            <w:p>
                              <w:pPr>
                                <w:spacing w:before="0" w:after="0" w:line="228" w:lineRule="auto"/>
                                <w:jc w:val="center"/>
                                <w:ind w:firstLine="0"/>
                              </w:pPr>
                              <w:r>
                                <w:rPr>
                                  <w:rFonts w:ascii="Times New Roman" w:hAnsi="Times New Roman" w:cs="Times New Roman"/>
                                  <w:b/>
                                  <w:color w:val="FFFFFF"/>
                                  <w:sz w:val="24"/>
                                  <w:szCs w:val="24"/>
                                </w:rPr>
                                <w:t xml:space="preserve">integral bahosi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1.2.5-rasm. Xalqaro standartlarning moliyaviy barqarorlikni integral baholash bloklari bilan bog‘liqligi</w:t>
      </w:r>
      <w:r>
        <w:rPr>
          <w:rStyle w:val="FootnoteReference"/>
        </w:rPr>
        <w:footnoteReference w:id="16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FootnoteReference"/>
        </w:rPr>
        <w:footnoteReference w:id="16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bookmarkEnd w:id="2"/>
    <w:bookmarkStart w:id="3" w:name="X0a8f05e5cd7bad167a6c1dddfdd9ff0edf10251"/>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1.3-§. Xorijiy mamlakatlarda banklar moliyaviy barqarorligini tartibga solish va baholash tajribasi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pPr>
        <w:pStyle w:val="BodyText"/>
        <w:spacing w:line="360" w:lineRule="auto" w:before="0" w:after="0"/>
        <w:ind w:firstLine="709"/>
        <w:jc w:val="both"/>
      </w:pPr>
      <w:r>
        <w:rPr>
          <w:rFonts w:ascii="Times New Roman" w:hAnsi="Times New Roman" w:cs="Times New Roman" w:eastAsia="Times New Roman"/>
          <w:sz w:val="28"/>
        </w:rPr>
        <w:t xml:space="preserve">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FootnoteReference"/>
        </w:rPr>
        <w:footnoteReference w:id="168"/>
      </w:r>
      <w:r>
        <w:rPr>
          <w:rFonts w:ascii="Times New Roman" w:hAnsi="Times New Roman" w:cs="Times New Roman" w:eastAsia="Times New Roman"/>
          <w:sz w:val="28"/>
        </w:rPr>
        <w:t xml:space="preserve">. Ushbu toifalar va ularga mansub milliy tizimlar 1.3.1-rasmda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04000"/>
                <wp:effectExtent l="0" t="0" r="0" b="0"/>
                <wp:docPr id="13" name="1.3.1-rasm"/>
                <wp:cNvGraphicFramePr/>
                <a:graphic>
                  <a:graphicData uri="http://schemas.microsoft.com/office/word/2010/wordprocessingGroup">
                    <wpg:wgp>
                      <wpg:cNvGrpSpPr/>
                      <wpg:grpSpPr>
                        <a:xfrm>
                          <a:off x="0" y="0"/>
                          <a:ext cx="5904000" cy="2304000"/>
                          <a:chOff x="0" y="0"/>
                          <a:chExt cx="5904000" cy="2304000"/>
                        </a:xfrm>
                      </wpg:grpSpPr>
                      <wps:wsp>
                        <wps:cNvPr id="2"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Banklar moliyaviy barqarorligini baholash tizimlari</w:t>
                              </w:r>
                            </w:p>
                            <w:p>
                              <w:pPr>
                                <w:spacing w:before="0" w:after="0" w:line="228" w:lineRule="auto"/>
                                <w:jc w:val="center"/>
                                <w:ind w:firstLine="0"/>
                              </w:pPr>
                              <w:r>
                                <w:rPr>
                                  <w:rFonts w:ascii="Times New Roman" w:hAnsi="Times New Roman" w:cs="Times New Roman"/>
                                  <w:b/>
                                  <w:color w:val="FFFFFF"/>
                                  <w:sz w:val="22"/>
                                  <w:szCs w:val="22"/>
                                </w:rPr>
                                <w:t xml:space="preserve">(Xalqaro hisob-kitoblar banki tasnifi)</w:t>
                              </w:r>
                            </w:p>
                          </w:txbxContent>
                        </wps:txbx>
                        <wps:bodyPr rot="0" vert="horz" wrap="square" lIns="36000" tIns="18000" rIns="36000" bIns="18000" anchor="ctr" anchorCtr="0">
                          <a:noAutofit/>
                        </wps:bodyPr>
                      </wps:wsp>
                      <wps:wsp>
                        <wps:cNvPr id="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Nazorat reyting</w:t>
                              </w:r>
                            </w:p>
                            <w:p>
                              <w:pPr>
                                <w:spacing w:before="0" w:after="0" w:line="228" w:lineRule="auto"/>
                                <w:jc w:val="center"/>
                                <w:ind w:firstLine="0"/>
                              </w:pPr>
                              <w:r>
                                <w:rPr>
                                  <w:rFonts w:ascii="Times New Roman" w:hAnsi="Times New Roman" w:cs="Times New Roman"/>
                                  <w:b/>
                                  <w:color w:val="FFFFFF"/>
                                  <w:sz w:val="21"/>
                                  <w:szCs w:val="21"/>
                                </w:rPr>
                                <w:t xml:space="preserve">tizimlari</w:t>
                              </w:r>
                            </w:p>
                          </w:txbxContent>
                        </wps:txbx>
                        <wps:bodyPr rot="0" vert="horz" wrap="square" lIns="36000" tIns="18000" rIns="36000" bIns="18000" anchor="ctr" anchorCtr="0">
                          <a:noAutofit/>
                        </wps:bodyPr>
                      </wps:wsp>
                      <wps:wsp>
                        <wps:cNvPr id="5"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CAMELS (AQSh)</w:t>
                              </w:r>
                            </w:p>
                            <w:p>
                              <w:pPr>
                                <w:spacing w:before="0" w:after="0" w:line="228" w:lineRule="auto"/>
                                <w:jc w:val="center"/>
                                <w:ind w:firstLine="0"/>
                              </w:pPr>
                              <w:r>
                                <w:rPr>
                                  <w:rFonts w:ascii="Times New Roman" w:hAnsi="Times New Roman" w:cs="Times New Roman"/>
                                  <w:color w:val="000000"/>
                                  <w:sz w:val="20"/>
                                  <w:szCs w:val="20"/>
                                </w:rPr>
                                <w:t xml:space="preserve">ORAP (Fransiya)</w:t>
                              </w:r>
                            </w:p>
                            <w:p>
                              <w:pPr>
                                <w:spacing w:before="0" w:after="0" w:line="228" w:lineRule="auto"/>
                                <w:jc w:val="center"/>
                                <w:ind w:firstLine="0"/>
                              </w:pPr>
                              <w:r>
                                <w:rPr>
                                  <w:rFonts w:ascii="Times New Roman" w:hAnsi="Times New Roman" w:cs="Times New Roman"/>
                                  <w:color w:val="000000"/>
                                  <w:sz w:val="20"/>
                                  <w:szCs w:val="20"/>
                                </w:rPr>
                                <w:t xml:space="preserve">PATROL (Italiya)</w:t>
                              </w:r>
                            </w:p>
                            <w:p>
                              <w:pPr>
                                <w:spacing w:before="0" w:after="0" w:line="228" w:lineRule="auto"/>
                                <w:jc w:val="center"/>
                                <w:ind w:firstLine="0"/>
                              </w:pPr>
                              <w:r>
                                <w:rPr>
                                  <w:rFonts w:ascii="Times New Roman" w:hAnsi="Times New Roman" w:cs="Times New Roman"/>
                                  <w:color w:val="000000"/>
                                  <w:sz w:val="20"/>
                                  <w:szCs w:val="20"/>
                                </w:rPr>
                                <w:t xml:space="preserve">Rossiya banki</w:t>
                              </w:r>
                            </w:p>
                            <w:p>
                              <w:pPr>
                                <w:spacing w:before="0" w:after="0" w:line="228" w:lineRule="auto"/>
                                <w:jc w:val="center"/>
                                <w:ind w:firstLine="0"/>
                              </w:pPr>
                              <w:r>
                                <w:rPr>
                                  <w:rFonts w:ascii="Times New Roman" w:hAnsi="Times New Roman" w:cs="Times New Roman"/>
                                  <w:color w:val="000000"/>
                                  <w:sz w:val="20"/>
                                  <w:szCs w:val="20"/>
                                </w:rPr>
                                <w:t xml:space="preserve">reytingi</w:t>
                              </w:r>
                            </w:p>
                          </w:txbxContent>
                        </wps:txbx>
                        <wps:bodyPr rot="0" vert="horz" wrap="square" lIns="36000" tIns="18000" rIns="36000" bIns="18000" anchor="ctr" anchorCtr="0">
                          <a:noAutofit/>
                        </wps:bodyPr>
                      </wps:wsp>
                      <wps:wsp>
                        <wps:cNvPr id="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Koeffitsiyentlar va</w:t>
                              </w:r>
                            </w:p>
                            <w:p>
                              <w:pPr>
                                <w:spacing w:before="0" w:after="0" w:line="228" w:lineRule="auto"/>
                                <w:jc w:val="center"/>
                                <w:ind w:firstLine="0"/>
                              </w:pPr>
                              <w:r>
                                <w:rPr>
                                  <w:rFonts w:ascii="Times New Roman" w:hAnsi="Times New Roman" w:cs="Times New Roman"/>
                                  <w:b/>
                                  <w:color w:val="FFFFFF"/>
                                  <w:sz w:val="21"/>
                                  <w:szCs w:val="21"/>
                                </w:rPr>
                                <w:t xml:space="preserve">guruhlab tahlil</w:t>
                              </w:r>
                            </w:p>
                          </w:txbxContent>
                        </wps:txbx>
                        <wps:bodyPr rot="0" vert="horz" wrap="square" lIns="36000" tIns="18000" rIns="36000" bIns="18000" anchor="ctr" anchorCtr="0">
                          <a:noAutofit/>
                        </wps:bodyPr>
                      </wps:wsp>
                      <wps:wsp>
                        <wps:cNvPr id="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BAKIS (Germaniya)</w:t>
                              </w:r>
                            </w:p>
                            <w:p>
                              <w:pPr>
                                <w:spacing w:before="0" w:after="0" w:line="228" w:lineRule="auto"/>
                                <w:jc w:val="center"/>
                                <w:ind w:firstLine="0"/>
                              </w:pPr>
                              <w:r>
                                <w:rPr>
                                  <w:rFonts w:ascii="Times New Roman" w:hAnsi="Times New Roman" w:cs="Times New Roman"/>
                                  <w:color w:val="000000"/>
                                  <w:sz w:val="20"/>
                                  <w:szCs w:val="20"/>
                                </w:rPr>
                                <w:t xml:space="preserve">EBA risk</w:t>
                              </w:r>
                            </w:p>
                            <w:p>
                              <w:pPr>
                                <w:spacing w:before="0" w:after="0" w:line="228" w:lineRule="auto"/>
                                <w:jc w:val="center"/>
                                <w:ind w:firstLine="0"/>
                              </w:pPr>
                              <w:r>
                                <w:rPr>
                                  <w:rFonts w:ascii="Times New Roman" w:hAnsi="Times New Roman" w:cs="Times New Roman"/>
                                  <w:color w:val="000000"/>
                                  <w:sz w:val="20"/>
                                  <w:szCs w:val="20"/>
                                </w:rPr>
                                <w:t xml:space="preserve">indikatorlari</w:t>
                              </w:r>
                            </w:p>
                            <w:p>
                              <w:pPr>
                                <w:spacing w:before="0" w:after="0" w:line="228" w:lineRule="auto"/>
                                <w:jc w:val="center"/>
                                <w:ind w:firstLine="0"/>
                              </w:pPr>
                              <w:r>
                                <w:rPr>
                                  <w:rFonts w:ascii="Times New Roman" w:hAnsi="Times New Roman" w:cs="Times New Roman"/>
                                  <w:color w:val="000000"/>
                                  <w:sz w:val="20"/>
                                  <w:szCs w:val="20"/>
                                </w:rPr>
                                <w:t xml:space="preserve">(Yevropa Ittifoqi)</w:t>
                              </w:r>
                            </w:p>
                          </w:txbxContent>
                        </wps:txbx>
                        <wps:bodyPr rot="0" vert="horz" wrap="square" lIns="36000" tIns="18000" rIns="36000" bIns="18000" anchor="ctr" anchorCtr="0">
                          <a:noAutofit/>
                        </wps:bodyPr>
                      </wps:wsp>
                      <wps:wsp>
                        <wps:cNvPr id="9" name="Connector 9"/>
                        <wps:cNvCnPr/>
                        <wps:spPr>
                          <a:xfrm>
                            <a:off x="2952000" y="396000"/>
                            <a:ext cx="729000" cy="234000"/>
                          </a:xfrm>
                          <a:prstGeom prst="straightConnector1">
                            <a:avLst/>
                          </a:prstGeom>
                          <a:ln w="15875">
                            <a:solidFill>
                              <a:srgbClr val="404040"/>
                            </a:solidFill>
                            <a:tailEnd type="triangle" w="med" len="med"/>
                          </a:ln>
                        </wps:spPr>
                        <wps:bodyPr/>
                      </wps:wsp>
                      <wps:wsp>
                        <wps:cNvPr id="10"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Risklarni kompleks</w:t>
                              </w:r>
                            </w:p>
                            <w:p>
                              <w:pPr>
                                <w:spacing w:before="0" w:after="0" w:line="228" w:lineRule="auto"/>
                                <w:jc w:val="center"/>
                                <w:ind w:firstLine="0"/>
                              </w:pPr>
                              <w:r>
                                <w:rPr>
                                  <w:rFonts w:ascii="Times New Roman" w:hAnsi="Times New Roman" w:cs="Times New Roman"/>
                                  <w:b/>
                                  <w:color w:val="FFFFFF"/>
                                  <w:sz w:val="21"/>
                                  <w:szCs w:val="21"/>
                                </w:rPr>
                                <w:t xml:space="preserve">baholash</w:t>
                              </w:r>
                            </w:p>
                          </w:txbxContent>
                        </wps:txbx>
                        <wps:bodyPr rot="0" vert="horz" wrap="square" lIns="36000" tIns="18000" rIns="36000" bIns="18000" anchor="ctr" anchorCtr="0">
                          <a:noAutofit/>
                        </wps:bodyPr>
                      </wps:wsp>
                      <wps:wsp>
                        <wps:cNvPr id="11"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BAITE, RATE</w:t>
                              </w:r>
                            </w:p>
                            <w:p>
                              <w:pPr>
                                <w:spacing w:before="0" w:after="0" w:line="228" w:lineRule="auto"/>
                                <w:jc w:val="center"/>
                                <w:ind w:firstLine="0"/>
                              </w:pPr>
                              <w:r>
                                <w:rPr>
                                  <w:rFonts w:ascii="Times New Roman" w:hAnsi="Times New Roman" w:cs="Times New Roman"/>
                                  <w:color w:val="000000"/>
                                  <w:sz w:val="20"/>
                                  <w:szCs w:val="20"/>
                                </w:rPr>
                                <w:t xml:space="preserve">(Buyuk Britaniya)</w:t>
                              </w:r>
                            </w:p>
                            <w:p>
                              <w:pPr>
                                <w:spacing w:before="0" w:after="0" w:line="228" w:lineRule="auto"/>
                                <w:jc w:val="center"/>
                                <w:ind w:firstLine="0"/>
                              </w:pPr>
                              <w:r>
                                <w:rPr>
                                  <w:rFonts w:ascii="Times New Roman" w:hAnsi="Times New Roman" w:cs="Times New Roman"/>
                                  <w:color w:val="000000"/>
                                  <w:sz w:val="20"/>
                                  <w:szCs w:val="20"/>
                                </w:rPr>
                                <w:t xml:space="preserve">RAST</w:t>
                              </w:r>
                            </w:p>
                            <w:p>
                              <w:pPr>
                                <w:spacing w:before="0" w:after="0" w:line="228" w:lineRule="auto"/>
                                <w:jc w:val="center"/>
                                <w:ind w:firstLine="0"/>
                              </w:pPr>
                              <w:r>
                                <w:rPr>
                                  <w:rFonts w:ascii="Times New Roman" w:hAnsi="Times New Roman" w:cs="Times New Roman"/>
                                  <w:color w:val="000000"/>
                                  <w:sz w:val="20"/>
                                  <w:szCs w:val="20"/>
                                </w:rPr>
                                <w:t xml:space="preserve">(Niderlandiya)</w:t>
                              </w:r>
                            </w:p>
                          </w:txbxContent>
                        </wps:txbx>
                        <wps:bodyPr rot="0" vert="horz" wrap="square" lIns="36000" tIns="18000" rIns="36000" bIns="18000" anchor="ctr" anchorCtr="0">
                          <a:noAutofit/>
                        </wps:bodyPr>
                      </wps:wsp>
                      <wps:wsp>
                        <wps:cNvPr id="12" name="Connector 12"/>
                        <wps:cNvCnPr/>
                        <wps:spPr>
                          <a:xfrm>
                            <a:off x="2952000" y="396000"/>
                            <a:ext cx="2205000" cy="234000"/>
                          </a:xfrm>
                          <a:prstGeom prst="straightConnector1">
                            <a:avLst/>
                          </a:prstGeom>
                          <a:ln w="15875">
                            <a:solidFill>
                              <a:srgbClr val="404040"/>
                            </a:solidFill>
                            <a:tailEnd type="triangle" w="med" len="med"/>
                          </a:ln>
                        </wps:spPr>
                        <wps:bodyPr/>
                      </wps:wsp>
                      <wps:wsp>
                        <wps:cNvPr id="13"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Statistik</w:t>
                              </w:r>
                            </w:p>
                            <w:p>
                              <w:pPr>
                                <w:spacing w:before="0" w:after="0" w:line="228" w:lineRule="auto"/>
                                <w:jc w:val="center"/>
                                <w:ind w:firstLine="0"/>
                              </w:pPr>
                              <w:r>
                                <w:rPr>
                                  <w:rFonts w:ascii="Times New Roman" w:hAnsi="Times New Roman" w:cs="Times New Roman"/>
                                  <w:b/>
                                  <w:color w:val="000000"/>
                                  <w:sz w:val="21"/>
                                  <w:szCs w:val="21"/>
                                </w:rPr>
                                <w:t xml:space="preserve">modellar</w:t>
                              </w:r>
                            </w:p>
                          </w:txbxContent>
                        </wps:txbx>
                        <wps:bodyPr rot="0" vert="horz" wrap="square" lIns="36000" tIns="18000" rIns="36000" bIns="18000" anchor="ctr" anchorCtr="0">
                          <a:noAutofit/>
                        </wps:bodyPr>
                      </wps:wsp>
                      <wps:wsp>
                        <wps:cNvPr id="14"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FIMS, SEER,</w:t>
                              </w:r>
                            </w:p>
                            <w:p>
                              <w:pPr>
                                <w:spacing w:before="0" w:after="0" w:line="228" w:lineRule="auto"/>
                                <w:jc w:val="center"/>
                                <w:ind w:firstLine="0"/>
                              </w:pPr>
                              <w:r>
                                <w:rPr>
                                  <w:rFonts w:ascii="Times New Roman" w:hAnsi="Times New Roman" w:cs="Times New Roman"/>
                                  <w:color w:val="000000"/>
                                  <w:sz w:val="20"/>
                                  <w:szCs w:val="20"/>
                                </w:rPr>
                                <w:t xml:space="preserve">SCOR (AQSh)</w:t>
                              </w:r>
                            </w:p>
                            <w:p>
                              <w:pPr>
                                <w:spacing w:before="0" w:after="0" w:line="228" w:lineRule="auto"/>
                                <w:jc w:val="center"/>
                                <w:ind w:firstLine="0"/>
                              </w:pPr>
                              <w:r>
                                <w:rPr>
                                  <w:rFonts w:ascii="Times New Roman" w:hAnsi="Times New Roman" w:cs="Times New Roman"/>
                                  <w:color w:val="000000"/>
                                  <w:sz w:val="20"/>
                                  <w:szCs w:val="20"/>
                                </w:rPr>
                                <w:t xml:space="preserve">SAABA ekspert</w:t>
                              </w:r>
                            </w:p>
                            <w:p>
                              <w:pPr>
                                <w:spacing w:before="0" w:after="0" w:line="228" w:lineRule="auto"/>
                                <w:jc w:val="center"/>
                                <w:ind w:firstLine="0"/>
                              </w:pPr>
                              <w:r>
                                <w:rPr>
                                  <w:rFonts w:ascii="Times New Roman" w:hAnsi="Times New Roman" w:cs="Times New Roman"/>
                                  <w:color w:val="000000"/>
                                  <w:sz w:val="20"/>
                                  <w:szCs w:val="20"/>
                                </w:rPr>
                                <w:t xml:space="preserve">tizimi (Fransiya)</w:t>
                              </w:r>
                            </w:p>
                          </w:txbxContent>
                        </wps:txbx>
                        <wps:bodyPr rot="0" vert="horz" wrap="square" lIns="36000" tIns="18000" rIns="36000" bIns="18000" anchor="ctr" anchorCtr="0">
                          <a:noAutofit/>
                        </wps:bodyPr>
                      </wps:wsp>
                      <wps:wsp>
                        <wps:cNvPr id="1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Joriy holatni baholash  ←————————————————→  Kelgusi holatni bashorat qilish</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1.3.1-rasm. Xorijiy mamlakatlarda banklar moliyaviy barqarorligini baholash tizimlarining tasnifi</w:t>
      </w:r>
      <w:r>
        <w:rPr>
          <w:rStyle w:val="FootnoteReference"/>
        </w:rPr>
        <w:footnoteReference w:id="169"/>
      </w:r>
    </w:p>
    <w:p>
      <w:pPr>
        <w:pStyle w:val="BodyText"/>
        <w:spacing w:line="360" w:lineRule="auto" w:before="0" w:after="0"/>
        <w:ind w:firstLine="709"/>
        <w:jc w:val="both"/>
      </w:pPr>
      <w:r>
        <w:rPr>
          <w:rFonts w:ascii="Times New Roman" w:hAnsi="Times New Roman" w:cs="Times New Roman" w:eastAsia="Times New Roman"/>
          <w:sz w:val="28"/>
        </w:rPr>
        <w:t xml:space="preserve">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Rivojlangan mamlakatlarda banklarni baholash tizimlarining qiyosiy tavsifi</w:t>
      </w:r>
      <w:r>
        <w:rPr>
          <w:rStyle w:val="FootnoteReference"/>
        </w:rPr>
        <w:footnoteReference w:id="170"/>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Tizim (joriy etilgan yili)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Turi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xususiyatlari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CAMELS (1978–1979)</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6 komponent, 1–5 ballik shkala; yig‘ma ball o‘rtacha emas, tekshiruv guruhi bahosi; natijalar oshkor qilinmaydi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FIMS, SEER, SCOR</w:t>
            </w:r>
          </w:p>
        </w:tc>
        <w:tc>
          <w:tcPr/>
          <w:p>
            <w:pPr>
              <w:pStyle w:val="Compact"/>
              <w:spacing w:line="240" w:lineRule="auto"/>
              <w:ind w:firstLine="0"/>
              <w:jc w:val="left"/>
            </w:pPr>
            <w:r>
              <w:rPr>
                <w:rFonts w:ascii="Times New Roman" w:hAnsi="Times New Roman" w:cs="Times New Roman" w:eastAsia="Times New Roman"/>
                <w:sz w:val="22"/>
              </w:rPr>
              <w:t xml:space="preserve">Statistik</w:t>
            </w:r>
          </w:p>
        </w:tc>
        <w:tc>
          <w:tcPr/>
          <w:p>
            <w:pPr>
              <w:pStyle w:val="Compact"/>
              <w:spacing w:line="240" w:lineRule="auto"/>
              <w:ind w:firstLine="0"/>
              <w:jc w:val="left"/>
            </w:pPr>
            <w:r>
              <w:rPr>
                <w:rFonts w:ascii="Times New Roman" w:hAnsi="Times New Roman" w:cs="Times New Roman" w:eastAsia="Times New Roman"/>
                <w:sz w:val="22"/>
              </w:rPr>
              <w:t xml:space="preserve">Logit modellar orqali reyting pasayishi va bankrotlik ehtimolini bashorat qilish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w:t>
            </w:r>
          </w:p>
        </w:tc>
        <w:tc>
          <w:tcPr/>
          <w:p>
            <w:pPr>
              <w:pStyle w:val="Compact"/>
              <w:spacing w:line="240" w:lineRule="auto"/>
              <w:ind w:firstLine="0"/>
              <w:jc w:val="left"/>
            </w:pPr>
            <w:r>
              <w:rPr>
                <w:rFonts w:ascii="Times New Roman" w:hAnsi="Times New Roman" w:cs="Times New Roman" w:eastAsia="Times New Roman"/>
                <w:sz w:val="22"/>
              </w:rPr>
              <w:t xml:space="preserve">BAITE (1997), RATE (1998)</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9 yo‘nalish; risk darajasi va nazorat sifati matritsasi; nazorat davri riskka bog‘langan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w:t>
            </w:r>
          </w:p>
        </w:tc>
        <w:tc>
          <w:tcPr/>
          <w:p>
            <w:pPr>
              <w:pStyle w:val="Compact"/>
              <w:spacing w:line="240" w:lineRule="auto"/>
              <w:ind w:firstLine="0"/>
              <w:jc w:val="left"/>
            </w:pPr>
            <w:r>
              <w:rPr>
                <w:rFonts w:ascii="Times New Roman" w:hAnsi="Times New Roman" w:cs="Times New Roman" w:eastAsia="Times New Roman"/>
                <w:sz w:val="22"/>
              </w:rPr>
              <w:t xml:space="preserve">BAKIS (1997)</w:t>
            </w:r>
          </w:p>
        </w:tc>
        <w:tc>
          <w:tcPr/>
          <w:p>
            <w:pPr>
              <w:pStyle w:val="Compact"/>
              <w:spacing w:line="240" w:lineRule="auto"/>
              <w:ind w:firstLine="0"/>
              <w:jc w:val="left"/>
            </w:pPr>
            <w:r>
              <w:rPr>
                <w:rFonts w:ascii="Times New Roman" w:hAnsi="Times New Roman" w:cs="Times New Roman" w:eastAsia="Times New Roman"/>
                <w:sz w:val="22"/>
              </w:rPr>
              <w:t xml:space="preserve">Koeffitsiyentlar va guruhlab tahlil</w:t>
            </w:r>
          </w:p>
        </w:tc>
        <w:tc>
          <w:tcPr/>
          <w:p>
            <w:pPr>
              <w:pStyle w:val="Compact"/>
              <w:spacing w:line="240" w:lineRule="auto"/>
              <w:ind w:firstLine="0"/>
              <w:jc w:val="left"/>
            </w:pPr>
            <w:r>
              <w:rPr>
                <w:rFonts w:ascii="Times New Roman" w:hAnsi="Times New Roman" w:cs="Times New Roman" w:eastAsia="Times New Roman"/>
                <w:sz w:val="22"/>
              </w:rPr>
              <w:t xml:space="preserve">47 ko‘rsatkich, teng vaznlar; guruh o‘rtachasi bilan taqqoslash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Fransiya</w:t>
            </w:r>
          </w:p>
        </w:tc>
        <w:tc>
          <w:tcPr/>
          <w:p>
            <w:pPr>
              <w:pStyle w:val="Compact"/>
              <w:spacing w:line="240" w:lineRule="auto"/>
              <w:ind w:firstLine="0"/>
              <w:jc w:val="left"/>
            </w:pPr>
            <w:r>
              <w:rPr>
                <w:rFonts w:ascii="Times New Roman" w:hAnsi="Times New Roman" w:cs="Times New Roman" w:eastAsia="Times New Roman"/>
                <w:sz w:val="22"/>
              </w:rPr>
              <w:t xml:space="preserve">ORAP (1997), SAABA</w:t>
            </w:r>
          </w:p>
        </w:tc>
        <w:tc>
          <w:tcPr/>
          <w:p>
            <w:pPr>
              <w:pStyle w:val="Compact"/>
              <w:spacing w:line="240" w:lineRule="auto"/>
              <w:ind w:firstLine="0"/>
              <w:jc w:val="left"/>
            </w:pPr>
            <w:r>
              <w:rPr>
                <w:rFonts w:ascii="Times New Roman" w:hAnsi="Times New Roman" w:cs="Times New Roman" w:eastAsia="Times New Roman"/>
                <w:sz w:val="22"/>
              </w:rPr>
              <w:t xml:space="preserve">Reyting va ekspert tizimi</w:t>
            </w:r>
          </w:p>
        </w:tc>
        <w:tc>
          <w:tcPr/>
          <w:p>
            <w:pPr>
              <w:pStyle w:val="Compact"/>
              <w:spacing w:line="240" w:lineRule="auto"/>
              <w:ind w:firstLine="0"/>
              <w:jc w:val="left"/>
            </w:pPr>
            <w:r>
              <w:rPr>
                <w:rFonts w:ascii="Times New Roman" w:hAnsi="Times New Roman" w:cs="Times New Roman" w:eastAsia="Times New Roman"/>
                <w:sz w:val="22"/>
              </w:rPr>
              <w:t xml:space="preserve">SAABA 25 ma’lumotlar bazasidan foydalanadi; 3 yillik to‘lov qobiliyati bahosi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Italiya</w:t>
            </w:r>
          </w:p>
        </w:tc>
        <w:tc>
          <w:tcPr/>
          <w:p>
            <w:pPr>
              <w:pStyle w:val="Compact"/>
              <w:spacing w:line="240" w:lineRule="auto"/>
              <w:ind w:firstLine="0"/>
              <w:jc w:val="left"/>
            </w:pPr>
            <w:r>
              <w:rPr>
                <w:rFonts w:ascii="Times New Roman" w:hAnsi="Times New Roman" w:cs="Times New Roman" w:eastAsia="Times New Roman"/>
                <w:sz w:val="22"/>
              </w:rPr>
              <w:t xml:space="preserve">PATROL (1993)</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Masofaviy nazorat va reyting</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Niderlandiya</w:t>
            </w:r>
          </w:p>
        </w:tc>
        <w:tc>
          <w:tcPr/>
          <w:p>
            <w:pPr>
              <w:pStyle w:val="Compact"/>
              <w:spacing w:line="240" w:lineRule="auto"/>
              <w:ind w:firstLine="0"/>
              <w:jc w:val="left"/>
            </w:pPr>
            <w:r>
              <w:rPr>
                <w:rFonts w:ascii="Times New Roman" w:hAnsi="Times New Roman" w:cs="Times New Roman" w:eastAsia="Times New Roman"/>
                <w:sz w:val="22"/>
              </w:rPr>
              <w:t xml:space="preserve">RAST</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Risklarni tahlil qilish va nazorat choralarini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pPr>
        <w:pStyle w:val="BodyText"/>
        <w:spacing w:line="360" w:lineRule="auto" w:before="0" w:after="0"/>
        <w:ind w:firstLine="709"/>
        <w:jc w:val="both"/>
      </w:pPr>
      <w:r>
        <w:rPr>
          <w:rFonts w:ascii="Times New Roman" w:hAnsi="Times New Roman" w:cs="Times New Roman" w:eastAsia="Times New Roman"/>
          <w:sz w:val="28"/>
        </w:rP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FootnoteReference"/>
        </w:rPr>
        <w:footnoteReference w:id="171"/>
      </w:r>
      <w:r>
        <w:rPr>
          <w:rFonts w:ascii="Times New Roman" w:hAnsi="Times New Roman" w:cs="Times New Roman" w:eastAsia="Times New Roman"/>
          <w:sz w:val="28"/>
        </w:rPr>
        <w:t xml:space="preserve">. Har bir yirik inqiroz nazorat tizimiga yangi vositani olib kirgan, natijada bugungi kunda AQShda reyting, kapitalga asoslangan majburiy choralar, statistik modellar va stress-testlardan iborat to‘rt qatlamli tizim shakllangan.</w:t>
      </w:r>
    </w:p>
    <w:p>
      <w:pPr>
        <w:pStyle w:val="BodyText"/>
        <w:spacing w:line="360" w:lineRule="auto" w:before="0" w:after="0"/>
        <w:ind w:firstLine="709"/>
        <w:jc w:val="both"/>
      </w:pPr>
      <w:r>
        <w:rPr>
          <w:rFonts w:ascii="Times New Roman" w:hAnsi="Times New Roman" w:cs="Times New Roman" w:eastAsia="Times New Roman"/>
          <w:sz w:val="28"/>
        </w:rPr>
        <w:t xml:space="preserve">Bu tizimning birinchi qatlamini CAMELS reyting tizimi tashkil etadi. U 1978-yilda Moliya institutlari federal ekspertiza kengashi tomonidan yaratilgan bo‘lib, 1997-yildan unga bozor riskiga sezgirlik komponenti qo‘shilgan</w:t>
      </w:r>
      <w:r>
        <w:rPr>
          <w:rStyle w:val="FootnoteReference"/>
        </w:rPr>
        <w:footnoteReference w:id="172"/>
      </w:r>
      <w:r>
        <w:rPr>
          <w:rFonts w:ascii="Times New Roman" w:hAnsi="Times New Roman" w:cs="Times New Roman" w:eastAsia="Times New Roman"/>
          <w:sz w:val="28"/>
        </w:rPr>
        <w:t xml:space="preserve">. Har bir 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FootnoteReference"/>
        </w:rPr>
        <w:footnoteReference w:id="173"/>
      </w:r>
      <w:r>
        <w:rPr>
          <w:rFonts w:ascii="Times New Roman" w:hAnsi="Times New Roman" w:cs="Times New Roman" w:eastAsia="Times New Roman"/>
          <w:sz w:val="28"/>
        </w:rPr>
        <w:t xml:space="preserve">. Demak, CAMELS tizimi ichki nazorat vositasi bo‘lib, bozor intizomini kuchaytirishga xizmat qilmaydi.</w:t>
      </w:r>
    </w:p>
    <w:p>
      <w:pPr>
        <w:pStyle w:val="BodyText"/>
        <w:spacing w:line="360" w:lineRule="auto" w:before="0" w:after="0"/>
        <w:ind w:firstLine="709"/>
        <w:jc w:val="both"/>
      </w:pPr>
      <w:r>
        <w:rPr>
          <w:rFonts w:ascii="Times New Roman" w:hAnsi="Times New Roman" w:cs="Times New Roman" w:eastAsia="Times New Roman"/>
          <w:sz w:val="28"/>
        </w:rPr>
        <w:t xml:space="preserve">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FootnoteReference"/>
        </w:rPr>
        <w:footnoteReference w:id="174"/>
      </w:r>
      <w:r>
        <w:rPr>
          <w:rFonts w:ascii="Times New Roman" w:hAnsi="Times New Roman" w:cs="Times New Roman" w:eastAsia="Times New Roman"/>
          <w:sz w:val="28"/>
        </w:rPr>
        <w:t xml:space="preserve">. Unga ko‘ra banklar kapital darajasiga qarab besh toifaga ajratiladi va har bir toifaga majburiy nazorat choralari biriktiriladi (1.3.2-rasm).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76000" cy="2376000"/>
                <wp:effectExtent l="0" t="0" r="0" b="0"/>
                <wp:docPr id="14" name="1.3.2-rasm"/>
                <wp:cNvGraphicFramePr/>
                <a:graphic>
                  <a:graphicData uri="http://schemas.microsoft.com/office/word/2010/wordprocessingGroup">
                    <wpg:wgp>
                      <wpg:cNvGrpSpPr/>
                      <wpg:grpSpPr>
                        <a:xfrm>
                          <a:off x="0" y="0"/>
                          <a:ext cx="5976000" cy="2376000"/>
                          <a:chOff x="0" y="0"/>
                          <a:chExt cx="5976000" cy="2376000"/>
                        </a:xfrm>
                      </wpg:grpSpPr>
                      <wps:wsp>
                        <wps:cNvPr id="1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Yaxshi kapitallashgan</w:t>
                              </w:r>
                            </w:p>
                          </w:txbxContent>
                        </wps:txbx>
                        <wps:bodyPr rot="0" vert="horz" wrap="square" lIns="36000" tIns="18000" rIns="36000" bIns="18000" anchor="ctr" anchorCtr="0">
                          <a:noAutofit/>
                        </wps:bodyPr>
                      </wps:wsp>
                      <wps:wsp>
                        <wps:cNvPr id="17"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10%; 1-darajali ≥ 6%; leverej ≥ 5%</w:t>
                              </w:r>
                            </w:p>
                          </w:txbxContent>
                        </wps:txbx>
                        <wps:bodyPr rot="0" vert="horz" wrap="square" lIns="36000" tIns="18000" rIns="36000" bIns="18000" anchor="ctr" anchorCtr="0">
                          <a:noAutofit/>
                        </wps:bodyPr>
                      </wps:wsp>
                      <wps:wsp>
                        <wps:cNvPr id="18"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Cheklovlar yo‘q</w:t>
                              </w:r>
                            </w:p>
                          </w:txbxContent>
                        </wps:txbx>
                        <wps:bodyPr rot="0" vert="horz" wrap="square" lIns="36000" tIns="18000" rIns="36000" bIns="18000" anchor="ctr" anchorCtr="0">
                          <a:noAutofit/>
                        </wps:bodyPr>
                      </wps:wsp>
                      <wps:wsp>
                        <wps:cNvPr id="19"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Yetarli kapitallashgan</w:t>
                              </w:r>
                            </w:p>
                          </w:txbxContent>
                        </wps:txbx>
                        <wps:bodyPr rot="0" vert="horz" wrap="square" lIns="36000" tIns="18000" rIns="36000" bIns="18000" anchor="ctr" anchorCtr="0">
                          <a:noAutofit/>
                        </wps:bodyPr>
                      </wps:wsp>
                      <wps:wsp>
                        <wps:cNvPr id="20"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8%; 1-darajali ≥ 4%; leverej ≥ 4%</w:t>
                              </w:r>
                            </w:p>
                          </w:txbxContent>
                        </wps:txbx>
                        <wps:bodyPr rot="0" vert="horz" wrap="square" lIns="36000" tIns="18000" rIns="36000" bIns="18000" anchor="ctr" anchorCtr="0">
                          <a:noAutofit/>
                        </wps:bodyPr>
                      </wps:wsp>
                      <wps:wsp>
                        <wps:cNvPr id="21"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Broker depozitlarini jalb qilish cheklanadi</w:t>
                              </w:r>
                            </w:p>
                          </w:txbxContent>
                        </wps:txbx>
                        <wps:bodyPr rot="0" vert="horz" wrap="square" lIns="36000" tIns="18000" rIns="36000" bIns="18000" anchor="ctr" anchorCtr="0">
                          <a:noAutofit/>
                        </wps:bodyPr>
                      </wps:wsp>
                      <wps:wsp>
                        <wps:cNvPr id="22"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Kapitali yetarli emas</w:t>
                              </w:r>
                            </w:p>
                          </w:txbxContent>
                        </wps:txbx>
                        <wps:bodyPr rot="0" vert="horz" wrap="square" lIns="36000" tIns="18000" rIns="36000" bIns="18000" anchor="ctr" anchorCtr="0">
                          <a:noAutofit/>
                        </wps:bodyPr>
                      </wps:wsp>
                      <wps:wsp>
                        <wps:cNvPr id="23"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8%; 1-darajali &lt; 4%; leverej &lt; 4%</w:t>
                              </w:r>
                            </w:p>
                          </w:txbxContent>
                        </wps:txbx>
                        <wps:bodyPr rot="0" vert="horz" wrap="square" lIns="36000" tIns="18000" rIns="36000" bIns="18000" anchor="ctr" anchorCtr="0">
                          <a:noAutofit/>
                        </wps:bodyPr>
                      </wps:wsp>
                      <wps:wsp>
                        <wps:cNvPr id="24"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Kapitalni tiklash rejasi; aktivlar o‘sishi va dividendlar cheklanadi</w:t>
                              </w:r>
                            </w:p>
                          </w:txbxContent>
                        </wps:txbx>
                        <wps:bodyPr rot="0" vert="horz" wrap="square" lIns="36000" tIns="18000" rIns="36000" bIns="18000" anchor="ctr" anchorCtr="0">
                          <a:noAutofit/>
                        </wps:bodyPr>
                      </wps:wsp>
                      <wps:wsp>
                        <wps:cNvPr id="25"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sezilarli yetarli emas</w:t>
                              </w:r>
                            </w:p>
                          </w:txbxContent>
                        </wps:txbx>
                        <wps:bodyPr rot="0" vert="horz" wrap="square" lIns="36000" tIns="18000" rIns="36000" bIns="18000" anchor="ctr" anchorCtr="0">
                          <a:noAutofit/>
                        </wps:bodyPr>
                      </wps:wsp>
                      <wps:wsp>
                        <wps:cNvPr id="26"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6%; 1-darajali &lt; 3%; leverej &lt; 3%</w:t>
                              </w:r>
                            </w:p>
                          </w:txbxContent>
                        </wps:txbx>
                        <wps:bodyPr rot="0" vert="horz" wrap="square" lIns="36000" tIns="18000" rIns="36000" bIns="18000" anchor="ctr" anchorCtr="0">
                          <a:noAutofit/>
                        </wps:bodyPr>
                      </wps:wsp>
                      <wps:wsp>
                        <wps:cNvPr id="27"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Rahbariyat almashtirilishi, faoliyat cheklanishi mumkin</w:t>
                              </w:r>
                            </w:p>
                          </w:txbxContent>
                        </wps:txbx>
                        <wps:bodyPr rot="0" vert="horz" wrap="square" lIns="36000" tIns="18000" rIns="36000" bIns="18000" anchor="ctr" anchorCtr="0">
                          <a:noAutofit/>
                        </wps:bodyPr>
                      </wps:wsp>
                      <wps:wsp>
                        <wps:cNvPr id="28"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keskin yetarli emas</w:t>
                              </w:r>
                            </w:p>
                          </w:txbxContent>
                        </wps:txbx>
                        <wps:bodyPr rot="0" vert="horz" wrap="square" lIns="36000" tIns="18000" rIns="36000" bIns="18000" anchor="ctr" anchorCtr="0">
                          <a:noAutofit/>
                        </wps:bodyPr>
                      </wps:wsp>
                      <wps:wsp>
                        <wps:cNvPr id="29"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Moddiy kapital ≤ 2%</w:t>
                              </w:r>
                            </w:p>
                          </w:txbxContent>
                        </wps:txbx>
                        <wps:bodyPr rot="0" vert="horz" wrap="square" lIns="36000" tIns="18000" rIns="36000" bIns="18000" anchor="ctr" anchorCtr="0">
                          <a:noAutofit/>
                        </wps:bodyPr>
                      </wps:wsp>
                      <wps:wsp>
                        <wps:cNvPr id="30"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Vaqtinchalik boshqaruv yoki tugatish</w:t>
                              </w:r>
                            </w:p>
                          </w:txbxContent>
                        </wps:txbx>
                        <wps:bodyPr rot="0" vert="horz" wrap="square" lIns="36000" tIns="18000" rIns="36000" bIns="18000" anchor="ctr" anchorCtr="0">
                          <a:noAutofit/>
                        </wps:bodyPr>
                      </wps:wsp>
                      <wps:wsp>
                        <wps:cNvPr id="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1.3.2-rasm. AQShda tezkor tuzatuvchi choralar tizimining kapital chegaralari</w:t>
      </w:r>
      <w:r>
        <w:rPr>
          <w:rStyle w:val="FootnoteReference"/>
        </w:rPr>
        <w:footnoteReference w:id="17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FootnoteReference"/>
        </w:rPr>
        <w:footnoteReference w:id="176"/>
      </w:r>
      <w:r>
        <w:rPr>
          <w:rFonts w:ascii="Times New Roman" w:hAnsi="Times New Roman" w:cs="Times New Roman" w:eastAsia="Times New Roman"/>
          <w:sz w:val="28"/>
        </w:rPr>
        <w:t xml:space="preserve">. Muallif fikricha, baholash natijasini nazorat qarori bilan avtomatik bog‘lash tamoyili O‘zbekiston uchun PCA tizimining eng qimmatli jihati hisoblanadi.</w:t>
      </w:r>
    </w:p>
    <w:p>
      <w:pPr>
        <w:pStyle w:val="BodyText"/>
        <w:spacing w:line="360" w:lineRule="auto" w:before="0" w:after="0"/>
        <w:ind w:firstLine="709"/>
        <w:jc w:val="both"/>
      </w:pPr>
      <w:r>
        <w:rPr>
          <w:rFonts w:ascii="Times New Roman" w:hAnsi="Times New Roman" w:cs="Times New Roman" w:eastAsia="Times New Roman"/>
          <w:sz w:val="28"/>
        </w:rP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FootnoteReference"/>
        </w:rPr>
        <w:footnoteReference w:id="1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5" name="1.3.3-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1.3.3-rasm. AQShda FIMS va UBSS modellarining bashorat aniqligi, %</w:t>
      </w:r>
      <w:r>
        <w:rPr>
          <w:rStyle w:val="FootnoteReference"/>
        </w:rPr>
        <w:footnoteReference w:id="178"/>
      </w:r>
    </w:p>
    <w:p>
      <w:pPr>
        <w:pStyle w:val="BodyText"/>
        <w:spacing w:line="360" w:lineRule="auto" w:before="0" w:after="0"/>
        <w:ind w:firstLine="709"/>
        <w:jc w:val="both"/>
      </w:pPr>
      <w:r>
        <w:rPr>
          <w:rFonts w:ascii="Times New Roman" w:hAnsi="Times New Roman" w:cs="Times New Roman" w:eastAsia="Times New Roman"/>
          <w:sz w:val="28"/>
        </w:rPr>
        <w:t xml:space="preserve">Rasm ma’lumotlari FIMS modeli to‘g‘ri bashorat ulushini 50 foizdan 74,6 foizga oshirganini, birinchi tur xatosini, ya’ni muammoli bankni sog‘lom deb 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pPr>
        <w:pStyle w:val="BodyText"/>
        <w:spacing w:line="360" w:lineRule="auto" w:before="0" w:after="0"/>
        <w:ind w:firstLine="709"/>
        <w:jc w:val="both"/>
      </w:pPr>
      <w:r>
        <w:rPr>
          <w:rFonts w:ascii="Times New Roman" w:hAnsi="Times New Roman" w:cs="Times New Roman" w:eastAsia="Times New Roman"/>
          <w:sz w:val="28"/>
        </w:rPr>
        <w:t xml:space="preserve">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FootnoteReference"/>
        </w:rPr>
        <w:footnoteReference w:id="179"/>
      </w:r>
      <w:r>
        <w:rPr>
          <w:rFonts w:ascii="Times New Roman" w:hAnsi="Times New Roman" w:cs="Times New Roman" w:eastAsia="Times New Roman"/>
          <w:sz w:val="28"/>
        </w:rPr>
        <w:t xml:space="preserve">. Shu tariqa AQSh nazorati yopiq baholashdan ochiq baholashga qarab qadam qo‘ydi va bozor intizomini nazorat vositasi sifatida ishga soldi.</w:t>
      </w:r>
    </w:p>
    <w:p>
      <w:pPr>
        <w:pStyle w:val="BodyText"/>
        <w:spacing w:line="360" w:lineRule="auto" w:before="0" w:after="0"/>
        <w:ind w:firstLine="709"/>
        <w:jc w:val="both"/>
      </w:pPr>
      <w:r>
        <w:rPr>
          <w:rFonts w:ascii="Times New Roman" w:hAnsi="Times New Roman" w:cs="Times New Roman" w:eastAsia="Times New Roman"/>
          <w:sz w:val="28"/>
        </w:rP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FootnoteReference"/>
        </w:rPr>
        <w:footnoteReference w:id="180"/>
      </w:r>
      <w:r>
        <w:rPr>
          <w:rFonts w:ascii="Times New Roman" w:hAnsi="Times New Roman" w:cs="Times New Roman" w:eastAsia="Times New Roman"/>
          <w:sz w:val="28"/>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FootnoteReference"/>
        </w:rPr>
        <w:footnoteReference w:id="181"/>
      </w:r>
      <w:r>
        <w:rPr>
          <w:rFonts w:ascii="Times New Roman" w:hAnsi="Times New Roman" w:cs="Times New Roman" w:eastAsia="Times New Roman"/>
          <w:sz w:val="28"/>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FootnoteReference"/>
        </w:rPr>
        <w:footnoteReference w:id="182"/>
      </w:r>
      <w:r>
        <w:rPr>
          <w:rFonts w:ascii="Times New Roman" w:hAnsi="Times New Roman" w:cs="Times New Roman" w:eastAsia="Times New Roman"/>
          <w:sz w:val="28"/>
        </w:rPr>
        <w:t xml:space="preserve">. Nihoyat, 2026-yil martida Bazel III ning yakuniy standartlarini joriy etish bo‘yicha qayta ishlangan takliflar e’lon qilindi; ular faqat eng yirik banklarga tatbiq etilishi va umumiy kapital talablarini biroz pasaytirishi kutilmoqda</w:t>
      </w:r>
      <w:r>
        <w:rPr>
          <w:rStyle w:val="FootnoteReference"/>
        </w:rPr>
        <w:footnoteReference w:id="183"/>
      </w:r>
      <w:r>
        <w:rPr>
          <w:rFonts w:ascii="Times New Roman" w:hAnsi="Times New Roman" w:cs="Times New Roman" w:eastAsia="Times New Roman"/>
          <w:sz w:val="28"/>
        </w:rPr>
        <w:t xml:space="preserve">. Ushbu islohotlar baholash natijasini nazorat qarori bilan bog‘lash tamoyili saqlanib qolgan holda, uning mezonlari moliyaviy ko‘rsatkichlarga ko‘proq tayanadigan bo‘lib borayotganini ko‘rsatadi.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FootnoteReference"/>
        </w:rPr>
        <w:footnoteReference w:id="184"/>
      </w:r>
      <w:r>
        <w:rPr>
          <w:rFonts w:ascii="Times New Roman" w:hAnsi="Times New Roman" w:cs="Times New Roman" w:eastAsia="Times New Roman"/>
          <w:sz w:val="28"/>
        </w:rPr>
        <w:t xml:space="preserve">. Bu xulosa davlat dasturlari bo‘yicha kreditlash ulushi yuqori bo‘lgan O‘zbekiston bank tizimi uchun ham dolzarbdir, chunki ijtimoiy maqsadlardagi kreditlash bank barqarorligi ko‘rsatkichlariga ta’sir qilmay qolmaydi.</w:t>
      </w:r>
    </w:p>
    <w:p>
      <w:pPr>
        <w:pStyle w:val="BodyText"/>
        <w:spacing w:line="360" w:lineRule="auto" w:before="0" w:after="0"/>
        <w:ind w:firstLine="709"/>
        <w:jc w:val="both"/>
      </w:pPr>
      <w:r>
        <w:rPr>
          <w:rFonts w:ascii="Times New Roman" w:hAnsi="Times New Roman" w:cs="Times New Roman" w:eastAsia="Times New Roman"/>
          <w:sz w:val="28"/>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qiladi</w:t>
      </w:r>
      <w:r>
        <w:rPr>
          <w:rStyle w:val="FootnoteReference"/>
        </w:rPr>
        <w:footnoteReference w:id="185"/>
      </w:r>
      <w:r>
        <w:rPr>
          <w:rFonts w:ascii="Times New Roman" w:hAnsi="Times New Roman" w:cs="Times New Roman" w:eastAsia="Times New Roman"/>
          <w:sz w:val="28"/>
        </w:rPr>
        <w:t xml:space="preserve">. Keyinchalik joriy etilgan RATE tizimi CAMEL-B omillari (kapital, aktivlar, bozor riski, foyda, majburiyatlar, biznes) va COM omillari (nazorat, tashkiliy tuzilma, boshqaruv) asosida yagona ball chiqaradi, nazorat davri esa 6 oydan 3 yilgacha belgilanadi</w:t>
      </w:r>
      <w:r>
        <w:rPr>
          <w:rStyle w:val="FootnoteReference"/>
        </w:rPr>
        <w:footnoteReference w:id="186"/>
      </w:r>
      <w:r>
        <w:rPr>
          <w:rFonts w:ascii="Times New Roman" w:hAnsi="Times New Roman" w:cs="Times New Roman" w:eastAsia="Times New Roman"/>
          <w:sz w:val="28"/>
        </w:rPr>
        <w:t xml:space="preserve">. Britaniya tizimining eng muhim xususiyati shundaki, bankning risk darajasi va undagi nazorat sifati bir matritsada birlashtirilib, nazorat intensivligi shu matritsa asosida belgilanadi (1.3.4-rasm).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6" name="1.3.4-rasm"/>
                <wp:cNvGraphicFramePr/>
                <a:graphic>
                  <a:graphicData uri="http://schemas.microsoft.com/office/word/2010/wordprocessingGroup">
                    <wpg:wgp>
                      <wpg:cNvGrpSpPr/>
                      <wpg:grpSpPr>
                        <a:xfrm>
                          <a:off x="0" y="0"/>
                          <a:ext cx="5904000" cy="2448000"/>
                          <a:chOff x="0" y="0"/>
                          <a:chExt cx="5904000" cy="2448000"/>
                        </a:xfrm>
                      </wpg:grpSpPr>
                      <wps:wsp>
                        <wps:cNvPr id="32"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19"/>
                                  <w:szCs w:val="19"/>
                                </w:rPr>
                                <w:t xml:space="preserve">Risk darajasi</w:t>
                              </w:r>
                            </w:p>
                          </w:txbxContent>
                        </wps:txbx>
                        <wps:bodyPr rot="0" vert="horz" wrap="square" lIns="36000" tIns="18000" rIns="36000" bIns="18000" anchor="ctr" anchorCtr="0">
                          <a:noAutofit/>
                        </wps:bodyPr>
                      </wps:wsp>
                      <wps:wsp>
                        <wps:cNvPr id="33"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Ichki nazorat sifati</w:t>
                              </w:r>
                            </w:p>
                          </w:txbxContent>
                        </wps:txbx>
                        <wps:bodyPr rot="0" vert="horz" wrap="square" lIns="36000" tIns="18000" rIns="36000" bIns="18000" anchor="ctr" anchorCtr="0">
                          <a:noAutofit/>
                        </wps:bodyPr>
                      </wps:wsp>
                      <wps:wsp>
                        <wps:cNvPr id="34"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Yuqori</w:t>
                              </w:r>
                            </w:p>
                          </w:txbxContent>
                        </wps:txbx>
                        <wps:bodyPr rot="0" vert="horz" wrap="square" lIns="36000" tIns="18000" rIns="36000" bIns="18000" anchor="ctr" anchorCtr="0">
                          <a:noAutofit/>
                        </wps:bodyPr>
                      </wps:wsp>
                      <wps:wsp>
                        <wps:cNvPr id="35"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Past</w:t>
                              </w:r>
                            </w:p>
                          </w:txbxContent>
                        </wps:txbx>
                        <wps:bodyPr rot="0" vert="horz" wrap="square" lIns="36000" tIns="18000" rIns="36000" bIns="18000" anchor="ctr" anchorCtr="0">
                          <a:noAutofit/>
                        </wps:bodyPr>
                      </wps:wsp>
                      <wps:wsp>
                        <wps:cNvPr id="36"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A</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18–24 oy</w:t>
                              </w:r>
                            </w:p>
                          </w:txbxContent>
                        </wps:txbx>
                        <wps:bodyPr rot="0" vert="horz" wrap="square" lIns="36000" tIns="18000" rIns="36000" bIns="18000" anchor="ctr" anchorCtr="0">
                          <a:noAutofit/>
                        </wps:bodyPr>
                      </wps:wsp>
                      <wps:wsp>
                        <wps:cNvPr id="37"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12–18 oy</w:t>
                              </w:r>
                            </w:p>
                          </w:txbxContent>
                        </wps:txbx>
                        <wps:bodyPr rot="0" vert="horz" wrap="square" lIns="36000" tIns="18000" rIns="36000" bIns="18000" anchor="ctr" anchorCtr="0">
                          <a:noAutofit/>
                        </wps:bodyPr>
                      </wps:wsp>
                      <wps:wsp>
                        <wps:cNvPr id="3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Past</w:t>
                              </w:r>
                            </w:p>
                          </w:txbxContent>
                        </wps:txbx>
                        <wps:bodyPr rot="0" vert="horz" wrap="square" lIns="36000" tIns="18000" rIns="36000" bIns="18000" anchor="ctr" anchorCtr="0">
                          <a:noAutofit/>
                        </wps:bodyPr>
                      </wps:wsp>
                      <wps:wsp>
                        <wps:cNvPr id="39"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6–12 oy</w:t>
                              </w:r>
                            </w:p>
                          </w:txbxContent>
                        </wps:txbx>
                        <wps:bodyPr rot="0" vert="horz" wrap="square" lIns="36000" tIns="18000" rIns="36000" bIns="18000" anchor="ctr" anchorCtr="0">
                          <a:noAutofit/>
                        </wps:bodyPr>
                      </wps:wsp>
                      <wps:wsp>
                        <wps:cNvPr id="40"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D</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taxminan 1 yil va</w:t>
                              </w:r>
                            </w:p>
                            <w:p>
                              <w:pPr>
                                <w:spacing w:before="0" w:after="0" w:line="228" w:lineRule="auto"/>
                                <w:jc w:val="center"/>
                                <w:ind w:firstLine="0"/>
                              </w:pPr>
                              <w:r>
                                <w:rPr>
                                  <w:rFonts w:ascii="Times New Roman" w:hAnsi="Times New Roman" w:cs="Times New Roman"/>
                                  <w:color w:val="FFFFFF"/>
                                  <w:sz w:val="22"/>
                                  <w:szCs w:val="22"/>
                                </w:rPr>
                                <w:t xml:space="preserve">qo‘shimcha choralar</w:t>
                              </w:r>
                            </w:p>
                          </w:txbxContent>
                        </wps:txbx>
                        <wps:bodyPr rot="0" vert="horz" wrap="square" lIns="36000" tIns="18000" rIns="36000" bIns="18000" anchor="ctr" anchorCtr="0">
                          <a:noAutofit/>
                        </wps:bodyPr>
                      </wps:wsp>
                      <wps:wsp>
                        <wps:cNvPr id="41"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Yuqori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1.3.4-rasm. Angliya bankining BAITE tizimida risk va nazorat matritsasi</w:t>
      </w:r>
      <w:r>
        <w:rPr>
          <w:rStyle w:val="FootnoteReference"/>
        </w:rPr>
        <w:footnoteReference w:id="187"/>
      </w:r>
    </w:p>
    <w:p>
      <w:pPr>
        <w:pStyle w:val="BodyText"/>
        <w:spacing w:line="360" w:lineRule="auto" w:before="0" w:after="0"/>
        <w:ind w:firstLine="709"/>
        <w:jc w:val="both"/>
      </w:pPr>
      <w:r>
        <w:rPr>
          <w:rFonts w:ascii="Times New Roman" w:hAnsi="Times New Roman" w:cs="Times New Roman" w:eastAsia="Times New Roman"/>
          <w:sz w:val="28"/>
        </w:rPr>
        <w:t xml:space="preserve">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pPr>
        <w:pStyle w:val="BodyText"/>
        <w:spacing w:line="360" w:lineRule="auto" w:before="0" w:after="0"/>
        <w:ind w:firstLine="709"/>
        <w:jc w:val="both"/>
      </w:pPr>
      <w:r>
        <w:rPr>
          <w:rFonts w:ascii="Times New Roman" w:hAnsi="Times New Roman" w:cs="Times New Roman" w:eastAsia="Times New Roman"/>
          <w:sz w:val="28"/>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ko‘rsatkichlari o‘xshash banklar guruhining o‘rtachasi bilan taqqoslanadi</w:t>
      </w:r>
      <w:r>
        <w:rPr>
          <w:rStyle w:val="FootnoteReference"/>
        </w:rPr>
        <w:footnoteReference w:id="188"/>
      </w:r>
      <w:r>
        <w:rPr>
          <w:rFonts w:ascii="Times New Roman" w:hAnsi="Times New Roman" w:cs="Times New Roman" w:eastAsia="Times New Roman"/>
          <w:sz w:val="28"/>
        </w:rPr>
        <w:t xml:space="preserve">.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pPr>
        <w:pStyle w:val="BodyText"/>
        <w:spacing w:line="360" w:lineRule="auto" w:before="0" w:after="0"/>
        <w:ind w:firstLine="709"/>
        <w:jc w:val="both"/>
      </w:pPr>
      <w:r>
        <w:rPr>
          <w:rFonts w:ascii="Times New Roman" w:hAnsi="Times New Roman" w:cs="Times New Roman" w:eastAsia="Times New Roman"/>
          <w:sz w:val="28"/>
        </w:rPr>
        <w:t xml:space="preserve">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FootnoteReference"/>
        </w:rPr>
        <w:footnoteReference w:id="189"/>
      </w:r>
      <w:r>
        <w:rPr>
          <w:rFonts w:ascii="Times New Roman" w:hAnsi="Times New Roman" w:cs="Times New Roman" w:eastAsia="Times New Roman"/>
          <w:sz w:val="28"/>
        </w:rPr>
        <w:t xml:space="preserve">. Italiyada esa 1993-yildan PATROL tizimi masofaviy nazorat va reyting baholash uchun ishlatiladi</w:t>
      </w:r>
      <w:r>
        <w:rPr>
          <w:rStyle w:val="FootnoteReference"/>
        </w:rPr>
        <w:footnoteReference w:id="190"/>
      </w:r>
      <w:r>
        <w:rPr>
          <w:rFonts w:ascii="Times New Roman" w:hAnsi="Times New Roman" w:cs="Times New Roman" w:eastAsia="Times New Roman"/>
          <w:sz w:val="28"/>
        </w:rPr>
        <w:t xml:space="preserve">.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FootnoteReference"/>
        </w:rPr>
        <w:footnoteReference w:id="191"/>
      </w:r>
      <w:r>
        <w:rPr>
          <w:rFonts w:ascii="Times New Roman" w:hAnsi="Times New Roman" w:cs="Times New Roman" w:eastAsia="Times New Roman"/>
          <w:sz w:val="28"/>
        </w:rPr>
        <w:t xml:space="preserve">. Holbuki, bunday rentabellikka qisqa muddatda erishib bo‘lmaydi. Demak, kapital talablarini oshirishda bankning foyda olish salohiyati ham hisobga olinishi zarur.</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Yevropa tizimli risklar kengashi amalga oshiradi; Yevropa bank boshqarmasi yagona qoidalar va ma’lumotlar bazasini ta’minlaydi</w:t>
      </w:r>
      <w:r>
        <w:rPr>
          <w:rStyle w:val="FootnoteReference"/>
        </w:rPr>
        <w:footnoteReference w:id="19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FootnoteReference"/>
        </w:rPr>
        <w:footnoteReference w:id="193"/>
      </w:r>
      <w:r>
        <w:rPr>
          <w:rFonts w:ascii="Times New Roman" w:hAnsi="Times New Roman" w:cs="Times New Roman" w:eastAsia="Times New Roman"/>
          <w:sz w:val="28"/>
        </w:rPr>
        <w:t xml:space="preserve">. Iqtisodiy tanazzul davrida ular o‘rtasidagi ziddiyat kuchayadi: makroprudensial siyosat kreditlashni qo‘llab-quvvatlash uchun buferlarni bo‘shatishni talab qilsa, mikroprudensial nazorat alohida bank barqarorligi uchun ularni saqlab qolishga intiladi.</w:t>
      </w:r>
    </w:p>
    <w:p>
      <w:pPr>
        <w:pStyle w:val="BodyText"/>
        <w:spacing w:line="360" w:lineRule="auto" w:before="0" w:after="0"/>
        <w:ind w:firstLine="709"/>
        <w:jc w:val="both"/>
      </w:pPr>
      <w:r>
        <w:rPr>
          <w:rFonts w:ascii="Times New Roman" w:hAnsi="Times New Roman" w:cs="Times New Roman" w:eastAsia="Times New Roman"/>
          <w:sz w:val="28"/>
        </w:rPr>
        <w:t xml:space="preserve">Ikki darajani bog‘lashda yagona ma’lumotlar bazasi muhim rol o‘ynaydi. Yevropa bank boshqarmasi 2009-yildan buyon Yevropa iqtisodiy hududining 20 ta mamlakatidagi 57 ta yirik bankdan har chorakda 53 ta asosiy risk indikatorini yig‘ib keladi. Bu banklar har bir milliy bank sektori aktivlarining kamida 50 foizini qamrab oladi</w:t>
      </w:r>
      <w:r>
        <w:rPr>
          <w:rStyle w:val="FootnoteReference"/>
        </w:rPr>
        <w:footnoteReference w:id="194"/>
      </w:r>
      <w:r>
        <w:rPr>
          <w:rFonts w:ascii="Times New Roman" w:hAnsi="Times New Roman" w:cs="Times New Roman" w:eastAsia="Times New Roman"/>
          <w:sz w:val="28"/>
        </w:rPr>
        <w:t xml:space="preserve">. Indikatorlar to‘rt blokka – kapital yetarliligi, aktivlar sifati, rentabellik va balans tuzilmasiga ajratilgan bo‘lib, ular asosida 11 ta risk omilini aks ettiruvchi «risklar paneli» shakllantiriladi</w:t>
      </w:r>
      <w:r>
        <w:rPr>
          <w:rStyle w:val="FootnoteReference"/>
        </w:rPr>
        <w:footnoteReference w:id="195"/>
      </w:r>
      <w:r>
        <w:rPr>
          <w:rFonts w:ascii="Times New Roman" w:hAnsi="Times New Roman" w:cs="Times New Roman" w:eastAsia="Times New Roman"/>
          <w:sz w:val="28"/>
        </w:rPr>
        <w:t xml:space="preserve">. Shunday qilib, Yevropa Ittifoqida baholash natijalari nazorat organining ichki hujjati bo‘lib qolmasdan, bozor ishtirokchilari foydalanishi mumkin bo‘lgan ochiq axborotga aylangan.</w:t>
      </w:r>
    </w:p>
    <w:p>
      <w:pPr>
        <w:pStyle w:val="BodyText"/>
        <w:spacing w:line="360" w:lineRule="auto" w:before="0" w:after="0"/>
        <w:ind w:firstLine="709"/>
        <w:jc w:val="both"/>
      </w:pPr>
      <w:r>
        <w:rPr>
          <w:rFonts w:ascii="Times New Roman" w:hAnsi="Times New Roman" w:cs="Times New Roman" w:eastAsia="Times New Roman"/>
          <w:sz w:val="28"/>
        </w:rPr>
        <w:t xml:space="preserve">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FootnoteReference"/>
        </w:rPr>
        <w:footnoteReference w:id="196"/>
      </w:r>
      <w:r>
        <w:rPr>
          <w:rFonts w:ascii="Times New Roman" w:hAnsi="Times New Roman" w:cs="Times New Roman" w:eastAsia="Times New Roman"/>
          <w:sz w:val="28"/>
        </w:rPr>
        <w:t xml:space="preserve">. Mualliflar eng maqbul yondashuv sifatida qat’iy bazaviy qoidani va unga qo‘shiladigan, vaziyatga qarab o‘zgartiriladigan diskretsion vositalarni ko‘rsatadi</w:t>
      </w:r>
      <w:r>
        <w:rPr>
          <w:rStyle w:val="FootnoteReference"/>
        </w:rPr>
        <w:footnoteReference w:id="19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FootnoteReference"/>
        </w:rPr>
        <w:footnoteReference w:id="198"/>
      </w:r>
      <w:r>
        <w:rPr>
          <w:rFonts w:ascii="Times New Roman" w:hAnsi="Times New Roman" w:cs="Times New Roman" w:eastAsia="Times New Roman"/>
          <w:sz w:val="28"/>
        </w:rPr>
        <w:t xml:space="preserve">. Buyuk Britaniyada bu standartlar 2027-yil 1-yanvardan kuchga kiradi</w:t>
      </w:r>
      <w:r>
        <w:rPr>
          <w:rStyle w:val="FootnoteReference"/>
        </w:rPr>
        <w:footnoteReference w:id="199"/>
      </w:r>
      <w:r>
        <w:rPr>
          <w:rFonts w:ascii="Times New Roman" w:hAnsi="Times New Roman" w:cs="Times New Roman" w:eastAsia="Times New Roman"/>
          <w:sz w:val="28"/>
        </w:rPr>
        <w:t xml:space="preserve">.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FootnoteReference"/>
        </w:rPr>
        <w:footnoteReference w:id="200"/>
      </w:r>
      <w:r>
        <w:rPr>
          <w:rFonts w:ascii="Times New Roman" w:hAnsi="Times New Roman" w:cs="Times New Roman" w:eastAsia="Times New Roman"/>
          <w:sz w:val="28"/>
        </w:rPr>
        <w:t xml:space="preserve">. Bu natijalar ham har bir bank kesimida ochiq e’lon qilinadi.</w:t>
      </w:r>
    </w:p>
    <w:p>
      <w:pPr>
        <w:pStyle w:val="BodyText"/>
        <w:spacing w:line="360" w:lineRule="auto" w:before="0" w:after="0"/>
        <w:ind w:firstLine="709"/>
        <w:jc w:val="both"/>
      </w:pPr>
      <w:r>
        <w:rPr>
          <w:rFonts w:ascii="Times New Roman" w:hAnsi="Times New Roman" w:cs="Times New Roman" w:eastAsia="Times New Roman"/>
          <w:sz w:val="28"/>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Rossiya bankining banklar moliyaviy barqarorligini baholash tizimi evolyutsiyasi</w:t>
      </w:r>
      <w:r>
        <w:rPr>
          <w:rStyle w:val="FootnoteReference"/>
        </w:rPr>
        <w:footnoteReference w:id="201"/>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Yil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Hujjat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1995</w:t>
            </w:r>
          </w:p>
        </w:tc>
        <w:tc>
          <w:tcPr/>
          <w:p>
            <w:pPr>
              <w:pStyle w:val="Compact"/>
              <w:spacing w:line="240" w:lineRule="auto"/>
              <w:ind w:firstLine="0"/>
              <w:jc w:val="left"/>
            </w:pPr>
            <w:r>
              <w:rPr>
                <w:rFonts w:ascii="Times New Roman" w:hAnsi="Times New Roman" w:cs="Times New Roman" w:eastAsia="Times New Roman"/>
                <w:sz w:val="22"/>
              </w:rPr>
              <w:t xml:space="preserve">15-3-3/668-son xat</w:t>
            </w:r>
          </w:p>
        </w:tc>
        <w:tc>
          <w:tcPr/>
          <w:p>
            <w:pPr>
              <w:pStyle w:val="Compact"/>
              <w:spacing w:line="240" w:lineRule="auto"/>
              <w:ind w:firstLine="0"/>
              <w:jc w:val="left"/>
            </w:pPr>
            <w:r>
              <w:rPr>
                <w:rFonts w:ascii="Times New Roman" w:hAnsi="Times New Roman" w:cs="Times New Roman" w:eastAsia="Times New Roman"/>
                <w:sz w:val="22"/>
              </w:rPr>
              <w:t xml:space="preserve">CAMEL ga asoslangan, 4 parametr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1997</w:t>
            </w:r>
          </w:p>
        </w:tc>
        <w:tc>
          <w:tcPr/>
          <w:p>
            <w:pPr>
              <w:pStyle w:val="Compact"/>
              <w:spacing w:line="240" w:lineRule="auto"/>
              <w:ind w:firstLine="0"/>
              <w:jc w:val="left"/>
            </w:pPr>
            <w:r>
              <w:rPr>
                <w:rFonts w:ascii="Times New Roman" w:hAnsi="Times New Roman" w:cs="Times New Roman" w:eastAsia="Times New Roman"/>
                <w:sz w:val="22"/>
              </w:rPr>
              <w:t xml:space="preserve">457-son xat</w:t>
            </w:r>
          </w:p>
        </w:tc>
        <w:tc>
          <w:tcPr/>
          <w:p>
            <w:pPr>
              <w:pStyle w:val="Compact"/>
              <w:spacing w:line="240" w:lineRule="auto"/>
              <w:ind w:firstLine="0"/>
              <w:jc w:val="left"/>
            </w:pPr>
            <w:r>
              <w:rPr>
                <w:rFonts w:ascii="Times New Roman" w:hAnsi="Times New Roman" w:cs="Times New Roman" w:eastAsia="Times New Roman"/>
                <w:sz w:val="22"/>
              </w:rPr>
              <w:t xml:space="preserve">Ikki toifa va ikki guruh; 2601 bankdan 852 tasi (32,8%) barqaror, 1052 tasi (40,4%) muammoli deb topilgan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2000</w:t>
            </w:r>
          </w:p>
        </w:tc>
        <w:tc>
          <w:tcPr/>
          <w:p>
            <w:pPr>
              <w:pStyle w:val="Compact"/>
              <w:spacing w:line="240" w:lineRule="auto"/>
              <w:ind w:firstLine="0"/>
              <w:jc w:val="left"/>
            </w:pPr>
            <w:r>
              <w:rPr>
                <w:rFonts w:ascii="Times New Roman" w:hAnsi="Times New Roman" w:cs="Times New Roman" w:eastAsia="Times New Roman"/>
                <w:sz w:val="22"/>
              </w:rPr>
              <w:t xml:space="preserve">766-U ko‘rsatma</w:t>
            </w:r>
          </w:p>
        </w:tc>
        <w:tc>
          <w:tcPr/>
          <w:p>
            <w:pPr>
              <w:pStyle w:val="Compact"/>
              <w:spacing w:line="240" w:lineRule="auto"/>
              <w:ind w:firstLine="0"/>
              <w:jc w:val="left"/>
            </w:pPr>
            <w:r>
              <w:rPr>
                <w:rFonts w:ascii="Times New Roman" w:hAnsi="Times New Roman" w:cs="Times New Roman" w:eastAsia="Times New Roman"/>
                <w:sz w:val="22"/>
              </w:rPr>
              <w:t xml:space="preserve">Asoslangan mulohaza tamoyili joriy etildi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2004</w:t>
            </w:r>
          </w:p>
        </w:tc>
        <w:tc>
          <w:tcPr/>
          <w:p>
            <w:pPr>
              <w:pStyle w:val="Compact"/>
              <w:spacing w:line="240" w:lineRule="auto"/>
              <w:ind w:firstLine="0"/>
              <w:jc w:val="left"/>
            </w:pPr>
            <w:r>
              <w:rPr>
                <w:rFonts w:ascii="Times New Roman" w:hAnsi="Times New Roman" w:cs="Times New Roman" w:eastAsia="Times New Roman"/>
                <w:sz w:val="22"/>
              </w:rPr>
              <w:t xml:space="preserve">1379-U ko‘rsatma</w:t>
            </w:r>
          </w:p>
        </w:tc>
        <w:tc>
          <w:tcPr/>
          <w:p>
            <w:pPr>
              <w:pStyle w:val="Compact"/>
              <w:spacing w:line="240" w:lineRule="auto"/>
              <w:ind w:firstLine="0"/>
              <w:jc w:val="left"/>
            </w:pPr>
            <w:r>
              <w:rPr>
                <w:rFonts w:ascii="Times New Roman" w:hAnsi="Times New Roman" w:cs="Times New Roman" w:eastAsia="Times New Roman"/>
                <w:sz w:val="22"/>
              </w:rPr>
              <w:t xml:space="preserve">Omonatlarni sug‘urtalash tizimiga qabul qilish uchun: 4 ballik shkala, vaznlar, yig‘ma ball, boshqaruv sifati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2008</w:t>
            </w:r>
          </w:p>
        </w:tc>
        <w:tc>
          <w:tcPr/>
          <w:p>
            <w:pPr>
              <w:pStyle w:val="Compact"/>
              <w:spacing w:line="240" w:lineRule="auto"/>
              <w:ind w:firstLine="0"/>
              <w:jc w:val="left"/>
            </w:pPr>
            <w:r>
              <w:rPr>
                <w:rFonts w:ascii="Times New Roman" w:hAnsi="Times New Roman" w:cs="Times New Roman" w:eastAsia="Times New Roman"/>
                <w:sz w:val="22"/>
              </w:rPr>
              <w:t xml:space="preserve">2005-U ko‘rsatma</w:t>
            </w:r>
          </w:p>
        </w:tc>
        <w:tc>
          <w:tcPr/>
          <w:p>
            <w:pPr>
              <w:pStyle w:val="Compact"/>
              <w:spacing w:line="240" w:lineRule="auto"/>
              <w:ind w:firstLine="0"/>
              <w:jc w:val="left"/>
            </w:pPr>
            <w:r>
              <w:rPr>
                <w:rFonts w:ascii="Times New Roman" w:hAnsi="Times New Roman" w:cs="Times New Roman" w:eastAsia="Times New Roman"/>
                <w:sz w:val="22"/>
              </w:rPr>
              <w:t xml:space="preserve">5 guruh; 12 oylik prognoz; strategik risk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2017</w:t>
            </w:r>
          </w:p>
        </w:tc>
        <w:tc>
          <w:tcPr/>
          <w:p>
            <w:pPr>
              <w:pStyle w:val="Compact"/>
              <w:spacing w:line="240" w:lineRule="auto"/>
              <w:ind w:firstLine="0"/>
              <w:jc w:val="left"/>
            </w:pPr>
            <w:r>
              <w:rPr>
                <w:rFonts w:ascii="Times New Roman" w:hAnsi="Times New Roman" w:cs="Times New Roman" w:eastAsia="Times New Roman"/>
                <w:sz w:val="22"/>
              </w:rPr>
              <w:t xml:space="preserve">4336-U ko‘rsatma</w:t>
            </w:r>
          </w:p>
        </w:tc>
        <w:tc>
          <w:tcPr/>
          <w:p>
            <w:pPr>
              <w:pStyle w:val="Compact"/>
              <w:spacing w:line="240" w:lineRule="auto"/>
              <w:ind w:firstLine="0"/>
              <w:jc w:val="left"/>
            </w:pPr>
            <w:r>
              <w:rPr>
                <w:rFonts w:ascii="Times New Roman" w:hAnsi="Times New Roman" w:cs="Times New Roman" w:eastAsia="Times New Roman"/>
                <w:sz w:val="22"/>
              </w:rPr>
              <w:t xml:space="preserve">Amaldagi tizim; guruhlarga qarab tabaqalashtirilgan nazorat rejimlari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2025</w:t>
            </w:r>
          </w:p>
        </w:tc>
        <w:tc>
          <w:tcPr/>
          <w:p>
            <w:pPr>
              <w:pStyle w:val="Compact"/>
              <w:spacing w:line="240" w:lineRule="auto"/>
              <w:ind w:firstLine="0"/>
              <w:jc w:val="left"/>
            </w:pPr>
            <w:r>
              <w:rPr>
                <w:rFonts w:ascii="Times New Roman" w:hAnsi="Times New Roman" w:cs="Times New Roman" w:eastAsia="Times New Roman"/>
                <w:sz w:val="22"/>
              </w:rPr>
              <w:t xml:space="preserve">Milliy qisqa muddatli likvidlik normativi</w:t>
            </w:r>
          </w:p>
        </w:tc>
        <w:tc>
          <w:tcPr/>
          <w:p>
            <w:pPr>
              <w:pStyle w:val="Compact"/>
              <w:spacing w:line="240" w:lineRule="auto"/>
              <w:ind w:firstLine="0"/>
              <w:jc w:val="left"/>
            </w:pPr>
            <w:r>
              <w:rPr>
                <w:rFonts w:ascii="Times New Roman" w:hAnsi="Times New Roman" w:cs="Times New Roman" w:eastAsia="Times New Roman"/>
                <w:sz w:val="22"/>
              </w:rPr>
              <w:t xml:space="preserve">Bazel LCR o‘rniga tizimli banklar uchun milliy normativ; real stress darajasi va kengroq likvid aktivlar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2026</w:t>
            </w:r>
          </w:p>
        </w:tc>
        <w:tc>
          <w:tcPr/>
          <w:p>
            <w:pPr>
              <w:pStyle w:val="Compact"/>
              <w:spacing w:line="240" w:lineRule="auto"/>
              <w:ind w:firstLine="0"/>
              <w:jc w:val="left"/>
            </w:pPr>
            <w:r>
              <w:rPr>
                <w:rFonts w:ascii="Times New Roman" w:hAnsi="Times New Roman" w:cs="Times New Roman" w:eastAsia="Times New Roman"/>
                <w:sz w:val="22"/>
              </w:rPr>
              <w:t xml:space="preserve">7302-U ko‘rsatma</w:t>
            </w:r>
          </w:p>
        </w:tc>
        <w:tc>
          <w:tcPr/>
          <w:p>
            <w:pPr>
              <w:pStyle w:val="Compact"/>
              <w:spacing w:line="240" w:lineRule="auto"/>
              <w:ind w:firstLine="0"/>
              <w:jc w:val="left"/>
            </w:pPr>
            <w:r>
              <w:rPr>
                <w:rFonts w:ascii="Times New Roman" w:hAnsi="Times New Roman" w:cs="Times New Roman" w:eastAsia="Times New Roman"/>
                <w:sz w:val="22"/>
              </w:rPr>
              <w:t xml:space="preserve">4336-U ko‘rsatmaga o‘zgartirishlar, jumladan, ochiq valyuta pozitsiyasi limitlarini buzish bahosi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pPr>
        <w:pStyle w:val="BodyText"/>
        <w:spacing w:line="360" w:lineRule="auto" w:before="0" w:after="0"/>
        <w:ind w:firstLine="709"/>
        <w:jc w:val="both"/>
      </w:pPr>
      <w:r>
        <w:rPr>
          <w:rFonts w:ascii="Times New Roman" w:hAnsi="Times New Roman" w:cs="Times New Roman" w:eastAsia="Times New Roman"/>
          <w:sz w:val="28"/>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teng</w:t>
      </w:r>
      <w:r>
        <w:rPr>
          <w:rStyle w:val="FootnoteReference"/>
        </w:rPr>
        <w:footnoteReference w:id="202"/>
      </w:r>
      <w:r>
        <w:rPr>
          <w:rFonts w:ascii="Times New Roman" w:hAnsi="Times New Roman" w:cs="Times New Roman" w:eastAsia="Times New Roman"/>
          <w:sz w:val="28"/>
        </w:rP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FootnoteReference"/>
        </w:rPr>
        <w:footnoteReference w:id="203"/>
      </w:r>
      <w:r>
        <w:rPr>
          <w:rFonts w:ascii="Times New Roman" w:hAnsi="Times New Roman" w:cs="Times New Roman" w:eastAsia="Times New Roman"/>
          <w:sz w:val="28"/>
        </w:rPr>
        <w:t xml:space="preserve">. Bundan tashqari, komponentlar bir-biri bilan bog‘lanmagan holda baholanadi, holbuki amalda kapital, likvidlik va aktivlar sifati o‘zaro chambarchas bog‘liq</w:t>
      </w:r>
      <w:r>
        <w:rPr>
          <w:rStyle w:val="FootnoteReference"/>
        </w:rPr>
        <w:footnoteReference w:id="20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FootnoteReference"/>
        </w:rPr>
        <w:footnoteReference w:id="205"/>
      </w:r>
      <w:r>
        <w:rPr>
          <w:rFonts w:ascii="Times New Roman" w:hAnsi="Times New Roman" w:cs="Times New Roman" w:eastAsia="Times New Roman"/>
          <w:sz w:val="28"/>
        </w:rPr>
        <w:t xml:space="preserve">. Bu jarayon 2019-yilda yakunlanmadi, balki keyingi yillarda ham davom etdi. Shu sababli islohotning boshlanishini ham, davomini ham Bazel qo‘mitasining standart jadvali va O‘zbekiston tajribasi bilan solishtirish maqsadga muvofiq (1.3.5-rasm).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7" name="1.3.5-rasm"/>
            <wp:cNvGraphicFramePr/>
            <a:graphic>
              <a:graphicData uri="http://schemas.openxmlformats.org/drawingml/2006/chart">
                <c:chart r:id="rId1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1.3.5-rasm. Likvidlikni qoplash koeffitsiyentiga qo‘yiladigan talablar: islohotning boshlanishi va davomi, %</w:t>
      </w:r>
      <w:r>
        <w:rPr>
          <w:rStyle w:val="FootnoteReference"/>
        </w:rPr>
        <w:footnoteReference w:id="20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FootnoteReference"/>
        </w:rPr>
        <w:footnoteReference w:id="207"/>
      </w:r>
      <w:r>
        <w:rPr>
          <w:rFonts w:ascii="Times New Roman" w:hAnsi="Times New Roman" w:cs="Times New Roman" w:eastAsia="Times New Roman"/>
          <w:sz w:val="28"/>
        </w:rPr>
        <w:t xml:space="preserve">. Bu holat xalqaro standartni joriy etishdan oldin milliy moliya bozorining unga tayyorligini baholash zarurligini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FootnoteReference"/>
        </w:rPr>
        <w:footnoteReference w:id="208"/>
      </w:r>
      <w:r>
        <w:rPr>
          <w:rFonts w:ascii="Times New Roman" w:hAnsi="Times New Roman" w:cs="Times New Roman" w:eastAsia="Times New Roman"/>
          <w:sz w:val="28"/>
        </w:rP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FootnoteReference"/>
        </w:rPr>
        <w:footnoteReference w:id="209"/>
      </w:r>
      <w:r>
        <w:rPr>
          <w:rFonts w:ascii="Times New Roman" w:hAnsi="Times New Roman" w:cs="Times New Roman" w:eastAsia="Times New Roman"/>
          <w:sz w:val="28"/>
        </w:rPr>
        <w:t xml:space="preserve">.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FootnoteReference"/>
        </w:rPr>
        <w:footnoteReference w:id="210"/>
      </w:r>
      <w:r>
        <w:rPr>
          <w:rFonts w:ascii="Times New Roman" w:hAnsi="Times New Roman" w:cs="Times New Roman" w:eastAsia="Times New Roman"/>
          <w:sz w:val="28"/>
        </w:rPr>
        <w:t xml:space="preserve">. Bazel qo‘mitasi ham 2023-yilgi AQSh bank inqirozidan keyin raqamli kanallar orqali omonatlarning tez chiqib ketishi likvidlik koeffitsiyentining farazlarida to‘liq aks etmaganini qayd etib, bu standartni qayta ko‘rib chiqish masalasini kun tartibiga qo‘ydi</w:t>
      </w:r>
      <w:r>
        <w:rPr>
          <w:rStyle w:val="FootnoteReference"/>
        </w:rPr>
        <w:footnoteReference w:id="21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Rossiya bankining 3883-U ko‘rsatmasi bilan ichki kapital yetarliligini baholash jarayoni joriy etildi. Mualliflar uni avval aktivlari 500 mlrd rubldan oshgan banklarda, keyin esa boshqa banklarda bosqichma-bosqich joriy etishni taklif qilgan</w:t>
      </w:r>
      <w:r>
        <w:rPr>
          <w:rStyle w:val="FootnoteReference"/>
        </w:rPr>
        <w:footnoteReference w:id="212"/>
      </w:r>
      <w:r>
        <w:rPr>
          <w:rFonts w:ascii="Times New Roman" w:hAnsi="Times New Roman" w:cs="Times New Roman" w:eastAsia="Times New Roman"/>
          <w:sz w:val="28"/>
        </w:rPr>
        <w:t xml:space="preserve">. Bunday tabaqalashtirilgan yondashuv kichik banklarga ortiqcha yuk tushishining oldini oladi va O‘zbekistonda ham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FootnoteReference"/>
        </w:rPr>
        <w:footnoteReference w:id="213"/>
      </w:r>
      <w:r>
        <w:rPr>
          <w:rFonts w:ascii="Times New Roman" w:hAnsi="Times New Roman" w:cs="Times New Roman" w:eastAsia="Times New Roman"/>
          <w:sz w:val="28"/>
        </w:rPr>
        <w:t xml:space="preserve">.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FootnoteReference"/>
        </w:rPr>
        <w:footnoteReference w:id="214"/>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548000"/>
                <wp:effectExtent l="0" t="0" r="0" b="0"/>
                <wp:docPr id="18" name="1.3.6-rasm"/>
                <wp:cNvGraphicFramePr/>
                <a:graphic>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Bazaviy, salbiy,</w:t>
                              </w:r>
                            </w:p>
                            <w:p>
                              <w:pPr>
                                <w:spacing w:before="0" w:after="0" w:line="228" w:lineRule="auto"/>
                                <w:jc w:val="center"/>
                                <w:ind w:firstLine="0"/>
                              </w:pPr>
                              <w:r>
                                <w:rPr>
                                  <w:rFonts w:ascii="Times New Roman" w:hAnsi="Times New Roman" w:cs="Times New Roman"/>
                                  <w:color w:val="000000"/>
                                  <w:sz w:val="18"/>
                                  <w:szCs w:val="18"/>
                                </w:rPr>
                                <w:t xml:space="preserve">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Makroiqtisodiy</w:t>
                              </w:r>
                            </w:p>
                            <w:p>
                              <w:pPr>
                                <w:spacing w:before="0" w:after="0" w:line="228" w:lineRule="auto"/>
                                <w:jc w:val="center"/>
                                <w:ind w:firstLine="0"/>
                              </w:pPr>
                              <w:r>
                                <w:rPr>
                                  <w:rFonts w:ascii="Times New Roman" w:hAnsi="Times New Roman" w:cs="Times New Roman"/>
                                  <w:b/>
                                  <w:color w:val="FFFFFF"/>
                                  <w:sz w:val="20"/>
                                  <w:szCs w:val="20"/>
                                </w:rPr>
                                <w:t xml:space="preserve">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YaIM, valyuta kursi,</w:t>
                              </w:r>
                            </w:p>
                            <w:p>
                              <w:pPr>
                                <w:spacing w:before="0" w:after="0" w:line="228" w:lineRule="auto"/>
                                <w:jc w:val="center"/>
                                <w:ind w:firstLine="0"/>
                              </w:pPr>
                              <w:r>
                                <w:rPr>
                                  <w:rFonts w:ascii="Times New Roman" w:hAnsi="Times New Roman" w:cs="Times New Roman"/>
                                  <w:color w:val="000000"/>
                                  <w:sz w:val="18"/>
                                  <w:szCs w:val="18"/>
                                </w:rPr>
                                <w:t xml:space="preserve">inflyatsiya, daromadlar,</w:t>
                              </w:r>
                            </w:p>
                            <w:p>
                              <w:pPr>
                                <w:spacing w:before="0" w:after="0" w:line="228" w:lineRule="auto"/>
                                <w:jc w:val="center"/>
                                <w:ind w:firstLine="0"/>
                              </w:pPr>
                              <w:r>
                                <w:rPr>
                                  <w:rFonts w:ascii="Times New Roman" w:hAnsi="Times New Roman" w:cs="Times New Roman"/>
                                  <w:color w:val="000000"/>
                                  <w:sz w:val="18"/>
                                  <w:szCs w:val="18"/>
                                </w:rPr>
                                <w:t xml:space="preserve">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w:t>
                              </w:r>
                            </w:p>
                            <w:p>
                              <w:pPr>
                                <w:spacing w:before="0" w:after="0" w:line="228" w:lineRule="auto"/>
                                <w:jc w:val="center"/>
                                <w:ind w:firstLine="0"/>
                              </w:pPr>
                              <w:r>
                                <w:rPr>
                                  <w:rFonts w:ascii="Times New Roman" w:hAnsi="Times New Roman" w:cs="Times New Roman"/>
                                  <w:b/>
                                  <w:color w:val="FFFFFF"/>
                                  <w:sz w:val="20"/>
                                  <w:szCs w:val="20"/>
                                </w:rPr>
                                <w:t xml:space="preserve">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Muammoli kreditlar</w:t>
                              </w:r>
                            </w:p>
                            <w:p>
                              <w:pPr>
                                <w:spacing w:before="0" w:after="0" w:line="228" w:lineRule="auto"/>
                                <w:jc w:val="center"/>
                                <w:ind w:firstLine="0"/>
                              </w:pPr>
                              <w:r>
                                <w:rPr>
                                  <w:rFonts w:ascii="Times New Roman" w:hAnsi="Times New Roman" w:cs="Times New Roman"/>
                                  <w:color w:val="000000"/>
                                  <w:sz w:val="18"/>
                                  <w:szCs w:val="18"/>
                                </w:rPr>
                                <w:t xml:space="preserve">ulushi, foiz stavkalari,</w:t>
                              </w:r>
                            </w:p>
                            <w:p>
                              <w:pPr>
                                <w:spacing w:before="0" w:after="0" w:line="228" w:lineRule="auto"/>
                                <w:jc w:val="center"/>
                                <w:ind w:firstLine="0"/>
                              </w:pPr>
                              <w:r>
                                <w:rPr>
                                  <w:rFonts w:ascii="Times New Roman" w:hAnsi="Times New Roman" w:cs="Times New Roman"/>
                                  <w:color w:val="000000"/>
                                  <w:sz w:val="18"/>
                                  <w:szCs w:val="18"/>
                                </w:rPr>
                                <w:t xml:space="preserve">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Balans imitatsion</w:t>
                              </w:r>
                            </w:p>
                            <w:p>
                              <w:pPr>
                                <w:spacing w:before="0" w:after="0" w:line="228" w:lineRule="auto"/>
                                <w:jc w:val="center"/>
                                <w:ind w:firstLine="0"/>
                              </w:pPr>
                              <w:r>
                                <w:rPr>
                                  <w:rFonts w:ascii="Times New Roman" w:hAnsi="Times New Roman" w:cs="Times New Roman"/>
                                  <w:b/>
                                  <w:color w:val="FFFFFF"/>
                                  <w:sz w:val="20"/>
                                  <w:szCs w:val="20"/>
                                </w:rPr>
                                <w:t xml:space="preserve">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tanqisligi; nazorat</w:t>
                              </w:r>
                            </w:p>
                            <w:p>
                              <w:pPr>
                                <w:spacing w:before="0" w:after="0" w:line="228" w:lineRule="auto"/>
                                <w:jc w:val="center"/>
                                <w:ind w:firstLine="0"/>
                              </w:pPr>
                              <w:r>
                                <w:rPr>
                                  <w:rFonts w:ascii="Times New Roman" w:hAnsi="Times New Roman" w:cs="Times New Roman"/>
                                  <w:color w:val="000000"/>
                                  <w:sz w:val="18"/>
                                  <w:szCs w:val="18"/>
                                </w:rPr>
                                <w:t xml:space="preserve">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pPr>
                                <w:spacing w:before="0" w:after="0" w:line="228" w:lineRule="auto"/>
                                <w:jc w:val="center"/>
                                <w:ind w:firstLine="0"/>
                              </w:pPr>
                              <w:r>
                                <w:rPr>
                                  <w:rFonts w:ascii="Times New Roman" w:hAnsi="Times New Roman" w:cs="Times New Roman"/>
                                  <w:i/>
                                  <w:color w:val="000000"/>
                                  <w:sz w:val="18"/>
                                  <w:szCs w:val="18"/>
                                </w:rPr>
                                <w:t xml:space="preserve">Teskari aloqa: kredit taklifining iqtisodiyotga ta’siri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1.3.6-rasm. Nazorat stress-testining umumiy arxitekturasi</w:t>
      </w:r>
      <w:r>
        <w:rPr>
          <w:rStyle w:val="FootnoteReference"/>
        </w:rPr>
        <w:footnoteReference w:id="215"/>
      </w:r>
    </w:p>
    <w:p>
      <w:pPr>
        <w:pStyle w:val="BodyText"/>
        <w:spacing w:line="360" w:lineRule="auto" w:before="0" w:after="0"/>
        <w:ind w:firstLine="709"/>
        <w:jc w:val="both"/>
      </w:pPr>
      <w:r>
        <w:rPr>
          <w:rFonts w:ascii="Times New Roman" w:hAnsi="Times New Roman" w:cs="Times New Roman" w:eastAsia="Times New Roman"/>
          <w:sz w:val="28"/>
        </w:rPr>
        <w:t xml:space="preserve">Tizimli ahamiyatli kredit tashkilotlarini aniqlashda Rossiya banki 3737-U ko‘rsatmasiga tayanadi</w:t>
      </w:r>
      <w:r>
        <w:rPr>
          <w:rStyle w:val="FootnoteReference"/>
        </w:rPr>
        <w:footnoteReference w:id="216"/>
      </w:r>
      <w:r>
        <w:rPr>
          <w:rFonts w:ascii="Times New Roman" w:hAnsi="Times New Roman" w:cs="Times New Roman" w:eastAsia="Times New Roman"/>
          <w:sz w:val="28"/>
        </w:rPr>
        <w:t xml:space="preserve">.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FootnoteReference"/>
        </w:rPr>
        <w:footnoteReference w:id="21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FootnoteReference"/>
        </w:rPr>
        <w:footnoteReference w:id="218"/>
      </w:r>
      <w:r>
        <w:rPr>
          <w:rFonts w:ascii="Times New Roman" w:hAnsi="Times New Roman" w:cs="Times New Roman" w:eastAsia="Times New Roman"/>
          <w:sz w:val="28"/>
        </w:rP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FootnoteReference"/>
        </w:rPr>
        <w:footnoteReference w:id="219"/>
      </w:r>
      <w:r>
        <w:rPr>
          <w:rFonts w:ascii="Times New Roman" w:hAnsi="Times New Roman" w:cs="Times New Roman" w:eastAsia="Times New Roman"/>
          <w:sz w:val="28"/>
        </w:rPr>
        <w:t xml:space="preserve">. Keyinchalik, 2015-yilda kreditlarning depozitlarga nisbati bo‘yicha qat’iy cheklov qonundan chiqarilib, monitoring ko‘rsatkichiga aylantirildi</w:t>
      </w:r>
      <w:r>
        <w:rPr>
          <w:rStyle w:val="FootnoteReference"/>
        </w:rPr>
        <w:footnoteReference w:id="220"/>
      </w:r>
      <w:r>
        <w:rPr>
          <w:rFonts w:ascii="Times New Roman" w:hAnsi="Times New Roman" w:cs="Times New Roman" w:eastAsia="Times New Roman"/>
          <w:sz w:val="28"/>
        </w:rPr>
        <w:t xml:space="preserve">. Tizimli ahamiyatli banklarga yuqori kapital talablari qo‘yilgan: asosiy kapital 8,5 foiz, birinchi darajali kapital 9,5 foiz, jami kapital 11,5 foiz</w:t>
      </w:r>
      <w:r>
        <w:rPr>
          <w:rStyle w:val="FootnoteReference"/>
        </w:rPr>
        <w:footnoteReference w:id="221"/>
      </w:r>
      <w:r>
        <w:rPr>
          <w:rFonts w:ascii="Times New Roman" w:hAnsi="Times New Roman" w:cs="Times New Roman" w:eastAsia="Times New Roman"/>
          <w:sz w:val="28"/>
        </w:rPr>
        <w:t xml:space="preserve">. 2024-yil 1-yanvardan esa tijorat banklari kapitalini 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FootnoteReference"/>
        </w:rPr>
        <w:footnoteReference w:id="222"/>
      </w:r>
      <w:r>
        <w:rPr>
          <w:rFonts w:ascii="Times New Roman" w:hAnsi="Times New Roman" w:cs="Times New Roman" w:eastAsia="Times New Roman"/>
          <w:sz w:val="28"/>
        </w:rPr>
        <w:t xml:space="preserve">. Bu proporsional yondashuv O‘zbekiston uchun ham e’tiborga loyiq, chunki mamlakatdagi banklar hajmi va faoliyat murakkabligi jihatidan keskin farq qiladi.</w:t>
      </w:r>
    </w:p>
    <w:p>
      <w:pPr>
        <w:pStyle w:val="BodyText"/>
        <w:spacing w:line="360" w:lineRule="auto" w:before="0" w:after="0"/>
        <w:ind w:firstLine="709"/>
        <w:jc w:val="both"/>
      </w:pPr>
      <w:r>
        <w:rPr>
          <w:rFonts w:ascii="Times New Roman" w:hAnsi="Times New Roman" w:cs="Times New Roman" w:eastAsia="Times New Roman"/>
          <w:sz w:val="28"/>
        </w:rPr>
        <w:t xml:space="preserve">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FootnoteReference"/>
        </w:rPr>
        <w:footnoteReference w:id="223"/>
      </w:r>
      <w:r>
        <w:rPr>
          <w:rFonts w:ascii="Times New Roman" w:hAnsi="Times New Roman" w:cs="Times New Roman" w:eastAsia="Times New Roman"/>
          <w:sz w:val="28"/>
        </w:rPr>
        <w:t xml:space="preserve">. XVJ esa 2016-yilda Xitoy kompaniyalariga berilgan tijorat kreditlarining 15,5 foizi «risk ostida» ekanini va ular bo‘yicha potensial yo‘qotishlar YaIMning qariyb 7 foiziga teng bo‘lishi mumkinligini baholagan</w:t>
      </w:r>
      <w:r>
        <w:rPr>
          <w:rStyle w:val="FootnoteReference"/>
        </w:rPr>
        <w:footnoteReference w:id="22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FootnoteReference"/>
        </w:rPr>
        <w:footnoteReference w:id="225"/>
      </w:r>
      <w:r>
        <w:rPr>
          <w:rFonts w:ascii="Times New Roman" w:hAnsi="Times New Roman" w:cs="Times New Roman" w:eastAsia="Times New Roman"/>
          <w:sz w:val="28"/>
        </w:rPr>
        <w:t xml:space="preserve">. Biroq ularning yonida «alohida e’tibor talab qiluvchi» kreditlar ham bor bo‘lib, ularning ulushi 2,2 foiz atrofida saqlanib kelmoqda; ikkalasi qo‘shilganda muammoli aktivlar ulushi 3,7 foizga yetadi</w:t>
      </w:r>
      <w:r>
        <w:rPr>
          <w:rStyle w:val="FootnoteReference"/>
        </w:rPr>
        <w:footnoteReference w:id="226"/>
      </w:r>
      <w:r>
        <w:rPr>
          <w:rFonts w:ascii="Times New Roman" w:hAnsi="Times New Roman" w:cs="Times New Roman" w:eastAsia="Times New Roman"/>
          <w:sz w:val="28"/>
        </w:rPr>
        <w:t xml:space="preserve">. B. Charoenwong, M. Miao va T. Ruan esa banklar muammoli kreditlarni o‘zlariga bog‘liq tomonlarga «sotib», ularning riskini amalda o‘zida qoldirayotganini aniqlagan. Mualliflar fikricha, shunday yashirin kreditlar hisobga olinsa, Xitoyda muammoli kreditlarning haqiqiy hajmi rasmiy ko‘rsatkichdan 2–3 barobar ko‘p bo‘ladi</w:t>
      </w:r>
      <w:r>
        <w:rPr>
          <w:rStyle w:val="FootnoteReference"/>
        </w:rPr>
        <w:footnoteReference w:id="227"/>
      </w:r>
      <w:r>
        <w:rPr>
          <w:rFonts w:ascii="Times New Roman" w:hAnsi="Times New Roman" w:cs="Times New Roman" w:eastAsia="Times New Roman"/>
          <w:sz w:val="28"/>
        </w:rPr>
        <w:t xml:space="preserve">. Ushbu ma’lumotlar 1.3.7-rasmda umumlashtirildi.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9" name="1.3.7-rasm"/>
            <wp:cNvGraphicFramePr/>
            <a:graphic>
              <a:graphicData uri="http://schemas.openxmlformats.org/drawingml/2006/chart">
                <c:chart r:id="rId1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1.3.7-rasm. Xitoy tijorat banklarida muammoli kreditlar ulushi: rasmiy ma’lumotlar va muqobil baholar, %</w:t>
      </w:r>
      <w:r>
        <w:rPr>
          <w:rStyle w:val="FootnoteReference"/>
        </w:rPr>
        <w:footnoteReference w:id="228"/>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FootnoteReference"/>
        </w:rPr>
        <w:footnoteReference w:id="229"/>
      </w:r>
      <w:r>
        <w:rPr>
          <w:rFonts w:ascii="Times New Roman" w:hAnsi="Times New Roman" w:cs="Times New Roman" w:eastAsia="Times New Roman"/>
          <w:sz w:val="28"/>
        </w:rPr>
        <w:t xml:space="preserve">. Bunday tafovutning sababi nimada? He Wei Ping fikricha, davlatning yashirin kafolati, ya’ni «banklar qulashidan oldin qutqariladi» degan ishonch bozor intizomini zaiflashtiradi, tartibga solish maqsadlari esa hukumatning iqtisodiy va ijtimoiy siyosatiga bo‘ysundiriladi</w:t>
      </w:r>
      <w:r>
        <w:rPr>
          <w:rStyle w:val="FootnoteReference"/>
        </w:rPr>
        <w:footnoteReference w:id="230"/>
      </w:r>
      <w:r>
        <w:rPr>
          <w:rFonts w:ascii="Times New Roman" w:hAnsi="Times New Roman" w:cs="Times New Roman" w:eastAsia="Times New Roman"/>
          <w:sz w:val="28"/>
        </w:rPr>
        <w:t xml:space="preserve">. Natijada muammoli aktivlar restrukturizatsiya qilinib, rasmiy hisobotlarda o‘z aksini topmaydi. Bu xulosa davlat ulushi yuqori bo‘lgan har qanday bank tizimi, jumladan, O‘zbekiston bank tizimi uchun ham jiddiy ogohlantirish hisoblanadi.</w:t>
      </w:r>
    </w:p>
    <w:p>
      <w:pPr>
        <w:pStyle w:val="BodyText"/>
        <w:spacing w:line="360" w:lineRule="auto" w:before="0" w:after="0"/>
        <w:ind w:firstLine="709"/>
        <w:jc w:val="both"/>
      </w:pPr>
      <w:r>
        <w:rPr>
          <w:rFonts w:ascii="Times New Roman" w:hAnsi="Times New Roman" w:cs="Times New Roman" w:eastAsia="Times New Roman"/>
          <w:sz w:val="28"/>
        </w:rPr>
        <w:t xml:space="preserve">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FootnoteReference"/>
        </w:rPr>
        <w:footnoteReference w:id="231"/>
      </w:r>
      <w:r>
        <w:rPr>
          <w:rFonts w:ascii="Times New Roman" w:hAnsi="Times New Roman" w:cs="Times New Roman" w:eastAsia="Times New Roman"/>
          <w:sz w:val="28"/>
        </w:rPr>
        <w:t xml:space="preserve">. Braziliyada Bazel III dan oldin kapital yetarliligiga talab 11 foiz bo‘lib, talab qilib olinguncha depozitlar bo‘yicha majburiy zaxira normasi 45 foizgacha yetgan</w:t>
      </w:r>
      <w:r>
        <w:rPr>
          <w:rStyle w:val="FootnoteReference"/>
        </w:rPr>
        <w:footnoteReference w:id="232"/>
      </w:r>
      <w:r>
        <w:rPr>
          <w:rFonts w:ascii="Times New Roman" w:hAnsi="Times New Roman" w:cs="Times New Roman" w:eastAsia="Times New Roman"/>
          <w:sz w:val="28"/>
        </w:rPr>
        <w:t xml:space="preserve">. Rossiyada esa BRIKS mamlakatlari orasida eng yuqori muddati o‘tgan qarzlar ulushi (8,35 foiz) qayd etilgan</w:t>
      </w:r>
      <w:r>
        <w:rPr>
          <w:rStyle w:val="FootnoteReference"/>
        </w:rPr>
        <w:footnoteReference w:id="233"/>
      </w:r>
      <w:r>
        <w:rPr>
          <w:rFonts w:ascii="Times New Roman" w:hAnsi="Times New Roman" w:cs="Times New Roman" w:eastAsia="Times New Roman"/>
          <w:sz w:val="28"/>
        </w:rPr>
        <w:t xml:space="preserve">. Bu misollar bir xil xalqaro standart turli mamlakatlarda turlicha natija berishini, shu bois uni milliy sharoitga moslashtirish muqarrar ekanini ko‘rsatadi.</w:t>
      </w:r>
    </w:p>
    <w:p>
      <w:pPr>
        <w:pStyle w:val="BodyText"/>
        <w:spacing w:line="360" w:lineRule="auto" w:before="0" w:after="0"/>
        <w:ind w:firstLine="709"/>
        <w:jc w:val="both"/>
      </w:pPr>
      <w:r>
        <w:rPr>
          <w:rFonts w:ascii="Times New Roman" w:hAnsi="Times New Roman" w:cs="Times New Roman" w:eastAsia="Times New Roman"/>
          <w:sz w:val="28"/>
        </w:rPr>
        <w:t xml:space="preserve">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Xorijiy tajriba va undan O‘zbekiston uchun kelib chiqadigan xulosalar</w:t>
      </w:r>
      <w:r>
        <w:rPr>
          <w:rStyle w:val="FootnoteReference"/>
        </w:rPr>
        <w:footnoteReference w:id="234"/>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 / tizim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Tajriba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PCA</w:t>
            </w:r>
          </w:p>
        </w:tc>
        <w:tc>
          <w:tcPr/>
          <w:p>
            <w:pPr>
              <w:pStyle w:val="Compact"/>
              <w:spacing w:line="240" w:lineRule="auto"/>
              <w:ind w:firstLine="0"/>
              <w:jc w:val="left"/>
            </w:pPr>
            <w:r>
              <w:rPr>
                <w:rFonts w:ascii="Times New Roman" w:hAnsi="Times New Roman" w:cs="Times New Roman" w:eastAsia="Times New Roman"/>
                <w:sz w:val="22"/>
              </w:rPr>
              <w:t xml:space="preserve">Kapitalning pog‘onali chegaralari aniq nazorat choralari bilan bog‘langan</w:t>
            </w:r>
          </w:p>
        </w:tc>
        <w:tc>
          <w:tcPr/>
          <w:p>
            <w:pPr>
              <w:pStyle w:val="Compact"/>
              <w:spacing w:line="240" w:lineRule="auto"/>
              <w:ind w:firstLine="0"/>
              <w:jc w:val="left"/>
            </w:pPr>
            <w:r>
              <w:rPr>
                <w:rFonts w:ascii="Times New Roman" w:hAnsi="Times New Roman" w:cs="Times New Roman" w:eastAsia="Times New Roman"/>
                <w:sz w:val="22"/>
              </w:rPr>
              <w:t xml:space="preserve">Kapital ko‘rsatkichini ko‘p pog‘onali shkala bilan baholash va tezkor tuzatuvchi choralar tizimini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FIMS</w:t>
            </w:r>
          </w:p>
        </w:tc>
        <w:tc>
          <w:tcPr/>
          <w:p>
            <w:pPr>
              <w:pStyle w:val="Compact"/>
              <w:spacing w:line="240" w:lineRule="auto"/>
              <w:ind w:firstLine="0"/>
              <w:jc w:val="left"/>
            </w:pPr>
            <w:r>
              <w:rPr>
                <w:rFonts w:ascii="Times New Roman" w:hAnsi="Times New Roman" w:cs="Times New Roman" w:eastAsia="Times New Roman"/>
                <w:sz w:val="22"/>
              </w:rPr>
              <w:t xml:space="preserve">Statistik model reytingni va bankrotlikni bashorat qiladi, chegara birinchi tur xatosini kamaytirishga moslangan</w:t>
            </w:r>
          </w:p>
        </w:tc>
        <w:tc>
          <w:tcPr/>
          <w:p>
            <w:pPr>
              <w:pStyle w:val="Compact"/>
              <w:spacing w:line="240" w:lineRule="auto"/>
              <w:ind w:firstLine="0"/>
              <w:jc w:val="left"/>
            </w:pPr>
            <w:r>
              <w:rPr>
                <w:rFonts w:ascii="Times New Roman" w:hAnsi="Times New Roman" w:cs="Times New Roman" w:eastAsia="Times New Roman"/>
                <w:sz w:val="22"/>
              </w:rPr>
              <w:t xml:space="preserve">Baholash metodikasining bashorat kuchini statistik usullar bilan tekshirish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stress-testlar</w:t>
            </w:r>
          </w:p>
        </w:tc>
        <w:tc>
          <w:tcPr/>
          <w:p>
            <w:pPr>
              <w:pStyle w:val="Compact"/>
              <w:spacing w:line="240" w:lineRule="auto"/>
              <w:ind w:firstLine="0"/>
              <w:jc w:val="left"/>
            </w:pPr>
            <w:r>
              <w:rPr>
                <w:rFonts w:ascii="Times New Roman" w:hAnsi="Times New Roman" w:cs="Times New Roman" w:eastAsia="Times New Roman"/>
                <w:sz w:val="22"/>
              </w:rPr>
              <w:t xml:space="preserve">Natijalar ommaga e’lon qilinadi</w:t>
            </w:r>
          </w:p>
        </w:tc>
        <w:tc>
          <w:tcPr/>
          <w:p>
            <w:pPr>
              <w:pStyle w:val="Compact"/>
              <w:spacing w:line="240" w:lineRule="auto"/>
              <w:ind w:firstLine="0"/>
              <w:jc w:val="left"/>
            </w:pPr>
            <w:r>
              <w:rPr>
                <w:rFonts w:ascii="Times New Roman" w:hAnsi="Times New Roman" w:cs="Times New Roman" w:eastAsia="Times New Roman"/>
                <w:sz w:val="22"/>
              </w:rPr>
              <w:t xml:space="preserve">Stress-test natijalarini oshkor qilish orqali bozor intizomini kuchaytirish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 – BAITE, RATE</w:t>
            </w:r>
          </w:p>
        </w:tc>
        <w:tc>
          <w:tcPr/>
          <w:p>
            <w:pPr>
              <w:pStyle w:val="Compact"/>
              <w:spacing w:line="240" w:lineRule="auto"/>
              <w:ind w:firstLine="0"/>
              <w:jc w:val="left"/>
            </w:pPr>
            <w:r>
              <w:rPr>
                <w:rFonts w:ascii="Times New Roman" w:hAnsi="Times New Roman" w:cs="Times New Roman" w:eastAsia="Times New Roman"/>
                <w:sz w:val="22"/>
              </w:rPr>
              <w:t xml:space="preserve">Nazorat intensivligi risk darajasiga bog‘langan</w:t>
            </w:r>
          </w:p>
        </w:tc>
        <w:tc>
          <w:tcPr/>
          <w:p>
            <w:pPr>
              <w:pStyle w:val="Compact"/>
              <w:spacing w:line="240" w:lineRule="auto"/>
              <w:ind w:firstLine="0"/>
              <w:jc w:val="left"/>
            </w:pPr>
            <w:r>
              <w:rPr>
                <w:rFonts w:ascii="Times New Roman" w:hAnsi="Times New Roman" w:cs="Times New Roman" w:eastAsia="Times New Roman"/>
                <w:sz w:val="22"/>
              </w:rPr>
              <w:t xml:space="preserve">Baholash natijasini nazorat rejimi va tekshiruv davriyligi bilan bog‘lash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 – BAKIS</w:t>
            </w:r>
          </w:p>
        </w:tc>
        <w:tc>
          <w:tcPr/>
          <w:p>
            <w:pPr>
              <w:pStyle w:val="Compact"/>
              <w:spacing w:line="240" w:lineRule="auto"/>
              <w:ind w:firstLine="0"/>
              <w:jc w:val="left"/>
            </w:pPr>
            <w:r>
              <w:rPr>
                <w:rFonts w:ascii="Times New Roman" w:hAnsi="Times New Roman" w:cs="Times New Roman" w:eastAsia="Times New Roman"/>
                <w:sz w:val="22"/>
              </w:rPr>
              <w:t xml:space="preserve">Teng vaznlar, guruh o‘rtachasi bilan taqqoslash</w:t>
            </w:r>
          </w:p>
        </w:tc>
        <w:tc>
          <w:tcPr/>
          <w:p>
            <w:pPr>
              <w:pStyle w:val="Compact"/>
              <w:spacing w:line="240" w:lineRule="auto"/>
              <w:ind w:firstLine="0"/>
              <w:jc w:val="left"/>
            </w:pPr>
            <w:r>
              <w:rPr>
                <w:rFonts w:ascii="Times New Roman" w:hAnsi="Times New Roman" w:cs="Times New Roman" w:eastAsia="Times New Roman"/>
                <w:sz w:val="22"/>
              </w:rPr>
              <w:t xml:space="preserve">Qiyosiy (peer) baholashni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EBA KRI</w:t>
            </w:r>
          </w:p>
        </w:tc>
        <w:tc>
          <w:tcPr/>
          <w:p>
            <w:pPr>
              <w:pStyle w:val="Compact"/>
              <w:spacing w:line="240" w:lineRule="auto"/>
              <w:ind w:firstLine="0"/>
              <w:jc w:val="left"/>
            </w:pPr>
            <w:r>
              <w:rPr>
                <w:rFonts w:ascii="Times New Roman" w:hAnsi="Times New Roman" w:cs="Times New Roman" w:eastAsia="Times New Roman"/>
                <w:sz w:val="22"/>
              </w:rPr>
              <w:t xml:space="preserve">Ochiq ma’lumotlar bazasi, risklar paneli</w:t>
            </w:r>
          </w:p>
        </w:tc>
        <w:tc>
          <w:tcPr/>
          <w:p>
            <w:pPr>
              <w:pStyle w:val="Compact"/>
              <w:spacing w:line="240" w:lineRule="auto"/>
              <w:ind w:firstLine="0"/>
              <w:jc w:val="left"/>
            </w:pPr>
            <w:r>
              <w:rPr>
                <w:rFonts w:ascii="Times New Roman" w:hAnsi="Times New Roman" w:cs="Times New Roman" w:eastAsia="Times New Roman"/>
                <w:sz w:val="22"/>
              </w:rPr>
              <w:t xml:space="preserve">Banklar ko‘rsatkichlarini ochiq e’lon qilish, kredit riskiga ortiqcha urg‘u bermaslik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ESRB</w:t>
            </w:r>
          </w:p>
        </w:tc>
        <w:tc>
          <w:tcPr/>
          <w:p>
            <w:pPr>
              <w:pStyle w:val="Compact"/>
              <w:spacing w:line="240" w:lineRule="auto"/>
              <w:ind w:firstLine="0"/>
              <w:jc w:val="left"/>
            </w:pPr>
            <w:r>
              <w:rPr>
                <w:rFonts w:ascii="Times New Roman" w:hAnsi="Times New Roman" w:cs="Times New Roman" w:eastAsia="Times New Roman"/>
                <w:sz w:val="22"/>
              </w:rPr>
              <w:t xml:space="preserve">Qat’iy baza va diskretsion makroprudensial vositalar</w:t>
            </w:r>
          </w:p>
        </w:tc>
        <w:tc>
          <w:tcPr/>
          <w:p>
            <w:pPr>
              <w:pStyle w:val="Compact"/>
              <w:spacing w:line="240" w:lineRule="auto"/>
              <w:ind w:firstLine="0"/>
              <w:jc w:val="left"/>
            </w:pPr>
            <w:r>
              <w:rPr>
                <w:rFonts w:ascii="Times New Roman" w:hAnsi="Times New Roman" w:cs="Times New Roman" w:eastAsia="Times New Roman"/>
                <w:sz w:val="22"/>
              </w:rPr>
              <w:t xml:space="preserve">Mikro va makroprudensial baholashni uyg‘unlashtirish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Rossiya</w:t>
            </w:r>
          </w:p>
        </w:tc>
        <w:tc>
          <w:tcPr/>
          <w:p>
            <w:pPr>
              <w:pStyle w:val="Compact"/>
              <w:spacing w:line="240" w:lineRule="auto"/>
              <w:ind w:firstLine="0"/>
              <w:jc w:val="left"/>
            </w:pPr>
            <w:r>
              <w:rPr>
                <w:rFonts w:ascii="Times New Roman" w:hAnsi="Times New Roman" w:cs="Times New Roman" w:eastAsia="Times New Roman"/>
                <w:sz w:val="22"/>
              </w:rPr>
              <w:t xml:space="preserve">Ochiq vaznli 1–4 ballik tizim; dinamika va prognoz yo‘qligi tanqid qilingan</w:t>
            </w:r>
          </w:p>
        </w:tc>
        <w:tc>
          <w:tcPr/>
          <w:p>
            <w:pPr>
              <w:pStyle w:val="Compact"/>
              <w:spacing w:line="240" w:lineRule="auto"/>
              <w:ind w:firstLine="0"/>
              <w:jc w:val="left"/>
            </w:pPr>
            <w:r>
              <w:rPr>
                <w:rFonts w:ascii="Times New Roman" w:hAnsi="Times New Roman" w:cs="Times New Roman" w:eastAsia="Times New Roman"/>
                <w:sz w:val="22"/>
              </w:rPr>
              <w:t xml:space="preserve">Ochiq vaznli integral baholashga dinamik va prognoz elementlarini qo‘shish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Xitoy</w:t>
            </w:r>
          </w:p>
        </w:tc>
        <w:tc>
          <w:tcPr/>
          <w:p>
            <w:pPr>
              <w:pStyle w:val="Compact"/>
              <w:spacing w:line="240" w:lineRule="auto"/>
              <w:ind w:firstLine="0"/>
              <w:jc w:val="left"/>
            </w:pPr>
            <w:r>
              <w:rPr>
                <w:rFonts w:ascii="Times New Roman" w:hAnsi="Times New Roman" w:cs="Times New Roman" w:eastAsia="Times New Roman"/>
                <w:sz w:val="22"/>
              </w:rPr>
              <w:t xml:space="preserve">Rasmiy NPL bilan haqiqiy risk o‘rtasida katta tafovut</w:t>
            </w:r>
          </w:p>
        </w:tc>
        <w:tc>
          <w:tcPr/>
          <w:p>
            <w:pPr>
              <w:pStyle w:val="Compact"/>
              <w:spacing w:line="240" w:lineRule="auto"/>
              <w:ind w:firstLine="0"/>
              <w:jc w:val="left"/>
            </w:pPr>
            <w:r>
              <w:rPr>
                <w:rFonts w:ascii="Times New Roman" w:hAnsi="Times New Roman" w:cs="Times New Roman" w:eastAsia="Times New Roman"/>
                <w:sz w:val="22"/>
              </w:rPr>
              <w:t xml:space="preserve">Aktivlar sifatini MHXS 9 bo‘yicha va mustaqil baholash; davlat banklariga alohida e’tibor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xulosalarni uch asosiy yo‘nalishga birlashtirish mumkin.</w:t>
      </w:r>
    </w:p>
    <w:p>
      <w:pPr>
        <w:pStyle w:val="BodyText"/>
        <w:spacing w:line="360" w:lineRule="auto" w:before="0" w:after="0"/>
        <w:ind w:firstLine="709"/>
        <w:jc w:val="both"/>
      </w:pPr>
      <w:r>
        <w:rPr>
          <w:rFonts w:ascii="Times New Roman" w:hAnsi="Times New Roman" w:cs="Times New Roman" w:eastAsia="Times New Roman"/>
          <w:sz w:val="28"/>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bo‘lsa, 2.3-paragrafda ko‘rsatilganidek, erta ogohlantirish va tezkor tuzatuvchi choralar tizimi hali shakllanish bosqichida.</w:t>
      </w:r>
    </w:p>
    <w:p>
      <w:pPr>
        <w:pStyle w:val="BodyText"/>
        <w:spacing w:line="360" w:lineRule="auto" w:before="0" w:after="0"/>
        <w:ind w:firstLine="709"/>
        <w:jc w:val="both"/>
      </w:pPr>
      <w:r>
        <w:rPr>
          <w:rFonts w:ascii="Times New Roman" w:hAnsi="Times New Roman" w:cs="Times New Roman" w:eastAsia="Times New Roman"/>
          <w:sz w:val="28"/>
        </w:rPr>
        <w:t xml:space="preserve">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Uchinchidan, rasmiy ko‘rsatkichlarning ishonchliligi masalasiga alohida e’tibor qaratish lozim. Xitoy tajribasi va AQShdagi CRA qonuni bilan bog‘liq holatlar davlat tomonidan yo‘naltirilgan kreditlash ulushi yuqori bo‘lgan tizimlarda rasmiy ko‘rsatkichlar haqiqiy riskni kamsitib ko‘rsatishi mumkinligidan dalolat beradi. Davlat banklari ulushi hamon yuqori bo‘lgan O‘zbekiston uchun bu xulosa ayniqsa muhimdir.</w:t>
      </w:r>
    </w:p>
    <w:p>
      <w:pPr>
        <w:pStyle w:val="BodyText"/>
        <w:spacing w:line="360" w:lineRule="auto" w:before="0" w:after="0"/>
        <w:ind w:firstLine="709"/>
        <w:jc w:val="both"/>
      </w:pPr>
      <w:r>
        <w:rPr>
          <w:rFonts w:ascii="Times New Roman" w:hAnsi="Times New Roman" w:cs="Times New Roman" w:eastAsia="Times New Roman"/>
          <w:sz w:val="28"/>
        </w:rP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bookmarkEnd w:id="3"/>
    <w:bookmarkStart w:id="4" w:name="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baholashning nazariy-metodologik asoslari, xalqaro standartlari va xorijiy tajribasi tadqiq etildi hamda quyidagi xulosalar shakllantirildi.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pPr>
        <w:pStyle w:val="Heading1"/>
        <w:pageBreakBefore/>
        <w:jc w:val="center"/>
      </w:pPr>
      <w:r>
        <w:t>II BOB. O‘ZBEKISTON BANK TIZIMIDA MOLIYAVIY BARQARORLIKNI BAHOLASH AMALIYOTINING XALQARO STANDARTLARGA MUVOFIQLIGI TAHLILI</w:t>
      </w:r>
    </w:p>
    <w:bookmarkStart w:id="5" w:name="Xacf6eb0da76150b1b8727c097bc04fa1f11b2d8"/>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2.1-§. Oʻzbekistonda banklar moliyaviy barqarorligini baholashning amaldagi holati va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bookmarkStart w:id="6" w:name="X19913ebc704099758ceb5b2d73a60641195b13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1. Baholashning me’yoriy-huquqiy va institutsional asoslari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20000"/>
                <wp:effectExtent l="0" t="0" r="0" b="0"/>
                <wp:docPr id="20" name="2.1.1-rasm"/>
                <wp:cNvGraphicFramePr/>
                <a:graphic>
                  <a:graphicData uri="http://schemas.microsoft.com/office/word/2010/wordprocessingGroup">
                    <wpg:wgp>
                      <wpg:cNvGrpSpPr/>
                      <wpg:grpSpPr>
                        <a:xfrm>
                          <a:off x="0" y="0"/>
                          <a:ext cx="5904000" cy="2520000"/>
                          <a:chOff x="0" y="0"/>
                          <a:chExt cx="5904000" cy="2520000"/>
                        </a:xfrm>
                      </wpg:grpSpPr>
                      <wps:wsp>
                        <wps:cNvPr id="2"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Qonunlar</w:t>
                              </w:r>
                            </w:p>
                          </w:txbxContent>
                        </wps:txbx>
                        <wps:bodyPr rot="0" vert="horz" wrap="square" lIns="36000" tIns="18000" rIns="36000" bIns="18000" anchor="ctr" anchorCtr="0">
                          <a:noAutofit/>
                        </wps:bodyPr>
                      </wps:wsp>
                      <wps:wsp>
                        <wps:cNvPr id="3"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«O‘zbekiston Respublikasining</w:t>
                              </w:r>
                            </w:p>
                            <w:p>
                              <w:pPr>
                                <w:spacing w:before="0" w:after="0" w:line="228" w:lineRule="auto"/>
                                <w:jc w:val="center"/>
                                <w:ind w:firstLine="0"/>
                              </w:pPr>
                              <w:r>
                                <w:rPr>
                                  <w:rFonts w:ascii="Times New Roman" w:hAnsi="Times New Roman" w:cs="Times New Roman"/>
                                  <w:color w:val="000000"/>
                                  <w:sz w:val="20"/>
                                  <w:szCs w:val="20"/>
                                </w:rPr>
                                <w:t xml:space="preserve">Markaziy banki to‘g‘risida»gi Qonun</w:t>
                              </w:r>
                            </w:p>
                          </w:txbxContent>
                        </wps:txbx>
                        <wps:bodyPr rot="0" vert="horz" wrap="square" lIns="36000" tIns="18000" rIns="36000" bIns="18000" anchor="ctr" anchorCtr="0">
                          <a:noAutofit/>
                        </wps:bodyPr>
                      </wps:wsp>
                      <wps:wsp>
                        <wps:cNvPr id="4"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«Banklar va bank faoliyati</w:t>
                              </w:r>
                            </w:p>
                            <w:p>
                              <w:pPr>
                                <w:spacing w:before="0" w:after="0" w:line="228" w:lineRule="auto"/>
                                <w:jc w:val="center"/>
                                <w:ind w:firstLine="0"/>
                              </w:pPr>
                              <w:r>
                                <w:rPr>
                                  <w:rFonts w:ascii="Times New Roman" w:hAnsi="Times New Roman" w:cs="Times New Roman"/>
                                  <w:color w:val="000000"/>
                                  <w:sz w:val="20"/>
                                  <w:szCs w:val="20"/>
                                </w:rPr>
                                <w:t xml:space="preserve">to‘g‘risida»gi Qonun</w:t>
                              </w:r>
                            </w:p>
                          </w:txbxContent>
                        </wps:txbx>
                        <wps:bodyPr rot="0" vert="horz" wrap="square" lIns="36000" tIns="18000" rIns="36000" bIns="18000" anchor="ctr" anchorCtr="0">
                          <a:noAutofit/>
                        </wps:bodyPr>
                      </wps:wsp>
                      <wps:wsp>
                        <wps:cNvPr id="5" name="Connector 5"/>
                        <wps:cNvCnPr/>
                        <wps:spPr>
                          <a:xfrm>
                            <a:off x="540000" y="522000"/>
                            <a:ext cx="0" cy="162000"/>
                          </a:xfrm>
                          <a:prstGeom prst="straightConnector1">
                            <a:avLst/>
                          </a:prstGeom>
                          <a:ln w="19050">
                            <a:solidFill>
                              <a:srgbClr val="404040"/>
                            </a:solidFill>
                            <a:tailEnd type="triangle" w="med" len="med"/>
                          </a:ln>
                        </wps:spPr>
                        <wps:bodyPr/>
                      </wps:wsp>
                      <wps:wsp>
                        <wps:cNvPr id="6"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w:t>
                              </w:r>
                            </w:p>
                            <w:p>
                              <w:pPr>
                                <w:spacing w:before="0" w:after="0" w:line="228" w:lineRule="auto"/>
                                <w:jc w:val="center"/>
                                <w:ind w:firstLine="0"/>
                              </w:pPr>
                              <w:r>
                                <w:rPr>
                                  <w:rFonts w:ascii="Times New Roman" w:hAnsi="Times New Roman" w:cs="Times New Roman"/>
                                  <w:b/>
                                  <w:color w:val="FFFFFF"/>
                                  <w:sz w:val="22"/>
                                  <w:szCs w:val="22"/>
                                </w:rPr>
                                <w:t xml:space="preserve">talablar</w:t>
                              </w:r>
                            </w:p>
                          </w:txbxContent>
                        </wps:txbx>
                        <wps:bodyPr rot="0" vert="horz" wrap="square" lIns="36000" tIns="18000" rIns="36000" bIns="18000" anchor="ctr" anchorCtr="0">
                          <a:noAutofit/>
                        </wps:bodyPr>
                      </wps:wsp>
                      <wps:wsp>
                        <wps:cNvPr id="7"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 3697, 2025)</w:t>
                              </w:r>
                            </w:p>
                          </w:txbxContent>
                        </wps:txbx>
                        <wps:bodyPr rot="0" vert="horz" wrap="square" lIns="36000" tIns="18000" rIns="36000" bIns="18000" anchor="ctr" anchorCtr="0">
                          <a:noAutofit/>
                        </wps:bodyPr>
                      </wps:wsp>
                      <wps:wsp>
                        <wps:cNvPr id="8"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Likvidlik</w:t>
                              </w:r>
                            </w:p>
                            <w:p>
                              <w:pPr>
                                <w:spacing w:before="0" w:after="0" w:line="228" w:lineRule="auto"/>
                                <w:jc w:val="center"/>
                                <w:ind w:firstLine="0"/>
                              </w:pPr>
                              <w:r>
                                <w:rPr>
                                  <w:rFonts w:ascii="Times New Roman" w:hAnsi="Times New Roman" w:cs="Times New Roman"/>
                                  <w:color w:val="000000"/>
                                  <w:sz w:val="20"/>
                                  <w:szCs w:val="20"/>
                                </w:rPr>
                                <w:t xml:space="preserve">(LCR, NSFR, milliy</w:t>
                              </w:r>
                            </w:p>
                            <w:p>
                              <w:pPr>
                                <w:spacing w:before="0" w:after="0" w:line="228" w:lineRule="auto"/>
                                <w:jc w:val="center"/>
                                <w:ind w:firstLine="0"/>
                              </w:pPr>
                              <w:r>
                                <w:rPr>
                                  <w:rFonts w:ascii="Times New Roman" w:hAnsi="Times New Roman" w:cs="Times New Roman"/>
                                  <w:color w:val="000000"/>
                                  <w:sz w:val="20"/>
                                  <w:szCs w:val="20"/>
                                </w:rPr>
                                <w:t xml:space="preserve">normativlar)</w:t>
                              </w:r>
                            </w:p>
                          </w:txbxContent>
                        </wps:txbx>
                        <wps:bodyPr rot="0" vert="horz" wrap="square" lIns="36000" tIns="18000" rIns="36000" bIns="18000" anchor="ctr" anchorCtr="0">
                          <a:noAutofit/>
                        </wps:bodyPr>
                      </wps:wsp>
                      <wps:wsp>
                        <wps:cNvPr id="9"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Aktivlarni tasniflash</w:t>
                              </w:r>
                            </w:p>
                            <w:p>
                              <w:pPr>
                                <w:spacing w:before="0" w:after="0" w:line="228" w:lineRule="auto"/>
                                <w:jc w:val="center"/>
                                <w:ind w:firstLine="0"/>
                              </w:pPr>
                              <w:r>
                                <w:rPr>
                                  <w:rFonts w:ascii="Times New Roman" w:hAnsi="Times New Roman" w:cs="Times New Roman"/>
                                  <w:color w:val="000000"/>
                                  <w:sz w:val="20"/>
                                  <w:szCs w:val="20"/>
                                </w:rPr>
                                <w:t xml:space="preserve">va zaxiralar</w:t>
                              </w:r>
                            </w:p>
                          </w:txbxContent>
                        </wps:txbx>
                        <wps:bodyPr rot="0" vert="horz" wrap="square" lIns="36000" tIns="18000" rIns="36000" bIns="18000" anchor="ctr" anchorCtr="0">
                          <a:noAutofit/>
                        </wps:bodyPr>
                      </wps:wsp>
                      <wps:wsp>
                        <wps:cNvPr id="10" name="Connector 10"/>
                        <wps:cNvCnPr/>
                        <wps:spPr>
                          <a:xfrm>
                            <a:off x="540000" y="1170000"/>
                            <a:ext cx="0" cy="162000"/>
                          </a:xfrm>
                          <a:prstGeom prst="straightConnector1">
                            <a:avLst/>
                          </a:prstGeom>
                          <a:ln w="19050">
                            <a:solidFill>
                              <a:srgbClr val="404040"/>
                            </a:solidFill>
                            <a:tailEnd type="triangle" w="med" len="med"/>
                          </a:ln>
                        </wps:spPr>
                        <wps:bodyPr/>
                      </wps:wsp>
                      <wps:wsp>
                        <wps:cNvPr id="11"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Ichki boshqaruv</w:t>
                              </w:r>
                            </w:p>
                            <w:p>
                              <w:pPr>
                                <w:spacing w:before="0" w:after="0" w:line="228" w:lineRule="auto"/>
                                <w:jc w:val="center"/>
                                <w:ind w:firstLine="0"/>
                              </w:pPr>
                              <w:r>
                                <w:rPr>
                                  <w:rFonts w:ascii="Times New Roman" w:hAnsi="Times New Roman" w:cs="Times New Roman"/>
                                  <w:b/>
                                  <w:color w:val="FFFFFF"/>
                                  <w:sz w:val="22"/>
                                  <w:szCs w:val="22"/>
                                </w:rPr>
                                <w:t xml:space="preserve">talablari</w:t>
                              </w:r>
                            </w:p>
                          </w:txbxContent>
                        </wps:txbx>
                        <wps:bodyPr rot="0" vert="horz" wrap="square" lIns="36000" tIns="18000" rIns="36000" bIns="18000" anchor="ctr" anchorCtr="0">
                          <a:noAutofit/>
                        </wps:bodyPr>
                      </wps:wsp>
                      <wps:wsp>
                        <wps:cNvPr id="12"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Korporativ boshqaruv</w:t>
                              </w:r>
                            </w:p>
                            <w:p>
                              <w:pPr>
                                <w:spacing w:before="0" w:after="0" w:line="228" w:lineRule="auto"/>
                                <w:jc w:val="center"/>
                                <w:ind w:firstLine="0"/>
                              </w:pPr>
                              <w:r>
                                <w:rPr>
                                  <w:rFonts w:ascii="Times New Roman" w:hAnsi="Times New Roman" w:cs="Times New Roman"/>
                                  <w:color w:val="000000"/>
                                  <w:sz w:val="20"/>
                                  <w:szCs w:val="20"/>
                                </w:rPr>
                                <w:t xml:space="preserve">(№ 3254, 2020)</w:t>
                              </w:r>
                            </w:p>
                          </w:txbxContent>
                        </wps:txbx>
                        <wps:bodyPr rot="0" vert="horz" wrap="square" lIns="36000" tIns="18000" rIns="36000" bIns="18000" anchor="ctr" anchorCtr="0">
                          <a:noAutofit/>
                        </wps:bodyPr>
                      </wps:wsp>
                      <wps:wsp>
                        <wps:cNvPr id="1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Risklarni boshqarish</w:t>
                              </w:r>
                            </w:p>
                            <w:p>
                              <w:pPr>
                                <w:spacing w:before="0" w:after="0" w:line="228" w:lineRule="auto"/>
                                <w:jc w:val="center"/>
                                <w:ind w:firstLine="0"/>
                              </w:pPr>
                              <w:r>
                                <w:rPr>
                                  <w:rFonts w:ascii="Times New Roman" w:hAnsi="Times New Roman" w:cs="Times New Roman"/>
                                  <w:color w:val="000000"/>
                                  <w:sz w:val="20"/>
                                  <w:szCs w:val="20"/>
                                </w:rPr>
                                <w:t xml:space="preserve">tizimi (№ 3427, 2023)</w:t>
                              </w:r>
                            </w:p>
                          </w:txbxContent>
                        </wps:txbx>
                        <wps:bodyPr rot="0" vert="horz" wrap="square" lIns="36000" tIns="18000" rIns="36000" bIns="18000" anchor="ctr" anchorCtr="0">
                          <a:noAutofit/>
                        </wps:bodyPr>
                      </wps:wsp>
                      <wps:wsp>
                        <wps:cNvPr id="14"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Ichki audit</w:t>
                              </w:r>
                            </w:p>
                            <w:p>
                              <w:pPr>
                                <w:spacing w:before="0" w:after="0" w:line="228" w:lineRule="auto"/>
                                <w:jc w:val="center"/>
                                <w:ind w:firstLine="0"/>
                              </w:pPr>
                              <w:r>
                                <w:rPr>
                                  <w:rFonts w:ascii="Times New Roman" w:hAnsi="Times New Roman" w:cs="Times New Roman"/>
                                  <w:color w:val="000000"/>
                                  <w:sz w:val="20"/>
                                  <w:szCs w:val="20"/>
                                </w:rPr>
                                <w:t xml:space="preserve">(№ 3302, 2021)</w:t>
                              </w:r>
                            </w:p>
                          </w:txbxContent>
                        </wps:txbx>
                        <wps:bodyPr rot="0" vert="horz" wrap="square" lIns="36000" tIns="18000" rIns="36000" bIns="18000" anchor="ctr" anchorCtr="0">
                          <a:noAutofit/>
                        </wps:bodyPr>
                      </wps:wsp>
                      <wps:wsp>
                        <wps:cNvPr id="15" name="Connector 15"/>
                        <wps:cNvCnPr/>
                        <wps:spPr>
                          <a:xfrm>
                            <a:off x="540000" y="1818000"/>
                            <a:ext cx="0" cy="162000"/>
                          </a:xfrm>
                          <a:prstGeom prst="straightConnector1">
                            <a:avLst/>
                          </a:prstGeom>
                          <a:ln w="19050">
                            <a:solidFill>
                              <a:srgbClr val="404040"/>
                            </a:solidFill>
                            <a:tailEnd type="triangle" w="med" len="med"/>
                          </a:ln>
                        </wps:spPr>
                        <wps:bodyPr/>
                      </wps:wsp>
                      <wps:wsp>
                        <wps:cNvPr id="16"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Nazorat</w:t>
                              </w:r>
                            </w:p>
                            <w:p>
                              <w:pPr>
                                <w:spacing w:before="0" w:after="0" w:line="228" w:lineRule="auto"/>
                                <w:jc w:val="center"/>
                                <w:ind w:firstLine="0"/>
                              </w:pPr>
                              <w:r>
                                <w:rPr>
                                  <w:rFonts w:ascii="Times New Roman" w:hAnsi="Times New Roman" w:cs="Times New Roman"/>
                                  <w:b/>
                                  <w:color w:val="FFFFFF"/>
                                  <w:sz w:val="22"/>
                                  <w:szCs w:val="22"/>
                                </w:rPr>
                                <w:t xml:space="preserve">jarayonlari</w:t>
                              </w:r>
                            </w:p>
                          </w:txbxContent>
                        </wps:txbx>
                        <wps:bodyPr rot="0" vert="horz" wrap="square" lIns="36000" tIns="18000" rIns="36000" bIns="18000" anchor="ctr" anchorCtr="0">
                          <a:noAutofit/>
                        </wps:bodyPr>
                      </wps:wsp>
                      <wps:wsp>
                        <wps:cNvPr id="17"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Risklarga asoslangan</w:t>
                              </w:r>
                            </w:p>
                            <w:p>
                              <w:pPr>
                                <w:spacing w:before="0" w:after="0" w:line="228" w:lineRule="auto"/>
                                <w:jc w:val="center"/>
                                <w:ind w:firstLine="0"/>
                              </w:pPr>
                              <w:r>
                                <w:rPr>
                                  <w:rFonts w:ascii="Times New Roman" w:hAnsi="Times New Roman" w:cs="Times New Roman"/>
                                  <w:color w:val="000000"/>
                                  <w:sz w:val="20"/>
                                  <w:szCs w:val="20"/>
                                </w:rPr>
                                <w:t xml:space="preserve">nazorat (42/29, 2023)</w:t>
                              </w:r>
                            </w:p>
                          </w:txbxContent>
                        </wps:txbx>
                        <wps:bodyPr rot="0" vert="horz" wrap="square" lIns="36000" tIns="18000" rIns="36000" bIns="18000" anchor="ctr" anchorCtr="0">
                          <a:noAutofit/>
                        </wps:bodyPr>
                      </wps:wsp>
                      <wps:wsp>
                        <wps:cNvPr id="18"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(34/3, 2023)</w:t>
                              </w:r>
                            </w:p>
                          </w:txbxContent>
                        </wps:txbx>
                        <wps:bodyPr rot="0" vert="horz" wrap="square" lIns="36000" tIns="18000" rIns="36000" bIns="18000" anchor="ctr" anchorCtr="0">
                          <a:noAutofit/>
                        </wps:bodyPr>
                      </wps:wsp>
                      <wps:wsp>
                        <wps:cNvPr id="19"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Tizimli banklar</w:t>
                              </w:r>
                            </w:p>
                            <w:p>
                              <w:pPr>
                                <w:spacing w:before="0" w:after="0" w:line="228" w:lineRule="auto"/>
                                <w:jc w:val="center"/>
                                <w:ind w:firstLine="0"/>
                              </w:pPr>
                              <w:r>
                                <w:rPr>
                                  <w:rFonts w:ascii="Times New Roman" w:hAnsi="Times New Roman" w:cs="Times New Roman"/>
                                  <w:color w:val="000000"/>
                                  <w:sz w:val="20"/>
                                  <w:szCs w:val="20"/>
                                </w:rPr>
                                <w:t xml:space="preserve">(4/13, 2023)</w:t>
                              </w:r>
                            </w:p>
                          </w:txbxContent>
                        </wps:txbx>
                        <wps:bodyPr rot="0" vert="horz" wrap="square" lIns="36000" tIns="18000" rIns="36000" bIns="18000" anchor="ctr" anchorCtr="0">
                          <a:noAutofit/>
                        </wps:bodyPr>
                      </wps:wsp>
                      <wps:wsp>
                        <wps:cNvPr id="20"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Kontrsiklik</w:t>
                              </w:r>
                            </w:p>
                            <w:p>
                              <w:pPr>
                                <w:spacing w:before="0" w:after="0" w:line="228" w:lineRule="auto"/>
                                <w:jc w:val="center"/>
                                <w:ind w:firstLine="0"/>
                              </w:pPr>
                              <w:r>
                                <w:rPr>
                                  <w:rFonts w:ascii="Times New Roman" w:hAnsi="Times New Roman" w:cs="Times New Roman"/>
                                  <w:color w:val="000000"/>
                                  <w:sz w:val="20"/>
                                  <w:szCs w:val="20"/>
                                </w:rPr>
                                <w:t xml:space="preserve">bufer (2026)</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2.1.1-rasm. O‘zbekistonda banklar moliyaviy barqarorligini baholashning me’yoriy-huquqiy asoslari</w:t>
      </w:r>
      <w:r>
        <w:rPr>
          <w:rStyle w:val="FootnoteReference"/>
        </w:rPr>
        <w:footnoteReference w:id="23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FootnoteReference"/>
        </w:rPr>
        <w:footnoteReference w:id="2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nizom 2026-yil 1-yanvardan o‘z kuchini yo‘qotdi</w:t>
      </w:r>
      <w:r>
        <w:rPr>
          <w:rStyle w:val="FootnoteReference"/>
        </w:rPr>
        <w:footnoteReference w:id="237"/>
      </w:r>
      <w:r>
        <w:rPr>
          <w:rFonts w:ascii="Times New Roman" w:hAnsi="Times New Roman" w:cs="Times New Roman" w:eastAsia="Times New Roman"/>
          <w:sz w:val="28"/>
        </w:rPr>
        <w:t xml:space="preserve">. Shu bilan Bazel III ning makroprudensial elementlari – kapital buferlari ham joriy etildi.</w:t>
      </w:r>
    </w:p>
    <w:bookmarkEnd w:id="5"/>
    <w:bookmarkStart w:id="7" w:name="amaldagi-baholash-tizimining-tarkibi"/>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 Amaldagi baholash tizimining tarkibi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28000"/>
                <wp:effectExtent l="0" t="0" r="0" b="0"/>
                <wp:docPr id="21" name="2.1.2-rasm"/>
                <wp:cNvGraphicFramePr/>
                <a:graphic>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O‘zbekiston Respublikasi</w:t>
                              </w:r>
                            </w:p>
                            <w:p>
                              <w:pPr>
                                <w:spacing w:before="0" w:after="0" w:line="228" w:lineRule="auto"/>
                                <w:jc w:val="center"/>
                                <w:ind w:firstLine="0"/>
                              </w:pPr>
                              <w:r>
                                <w:rPr>
                                  <w:rFonts w:ascii="Times New Roman" w:hAnsi="Times New Roman" w:cs="Times New Roman"/>
                                  <w:b/>
                                  <w:color w:val="FFFFFF"/>
                                  <w:sz w:val="22"/>
                                  <w:szCs w:val="22"/>
                                </w:rPr>
                                <w:t xml:space="preserve">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leverej;</w:t>
                              </w:r>
                            </w:p>
                            <w:p>
                              <w:pPr>
                                <w:spacing w:before="0" w:after="0" w:line="228" w:lineRule="auto"/>
                                <w:jc w:val="center"/>
                                <w:ind w:firstLine="0"/>
                              </w:pPr>
                              <w:r>
                                <w:rPr>
                                  <w:rFonts w:ascii="Times New Roman" w:hAnsi="Times New Roman" w:cs="Times New Roman"/>
                                  <w:color w:val="000000"/>
                                  <w:sz w:val="20"/>
                                  <w:szCs w:val="20"/>
                                </w:rPr>
                                <w:t xml:space="preserve">LCR, NSFR va milliy</w:t>
                              </w:r>
                            </w:p>
                            <w:p>
                              <w:pPr>
                                <w:spacing w:before="0" w:after="0" w:line="228" w:lineRule="auto"/>
                                <w:jc w:val="center"/>
                                <w:ind w:firstLine="0"/>
                              </w:pPr>
                              <w:r>
                                <w:rPr>
                                  <w:rFonts w:ascii="Times New Roman" w:hAnsi="Times New Roman" w:cs="Times New Roman"/>
                                  <w:color w:val="000000"/>
                                  <w:sz w:val="20"/>
                                  <w:szCs w:val="20"/>
                                </w:rPr>
                                <w:t xml:space="preserve">likvidlik normativlari;</w:t>
                              </w:r>
                            </w:p>
                            <w:p>
                              <w:pPr>
                                <w:spacing w:before="0" w:after="0" w:line="228" w:lineRule="auto"/>
                                <w:jc w:val="center"/>
                                <w:ind w:firstLine="0"/>
                              </w:pPr>
                              <w:r>
                                <w:rPr>
                                  <w:rFonts w:ascii="Times New Roman" w:hAnsi="Times New Roman" w:cs="Times New Roman"/>
                                  <w:color w:val="000000"/>
                                  <w:sz w:val="20"/>
                                  <w:szCs w:val="20"/>
                                </w:rPr>
                                <w:t xml:space="preserve">hisobotlar asosida</w:t>
                              </w:r>
                            </w:p>
                            <w:p>
                              <w:pPr>
                                <w:spacing w:before="0" w:after="0" w:line="228" w:lineRule="auto"/>
                                <w:jc w:val="center"/>
                                <w:ind w:firstLine="0"/>
                              </w:pPr>
                              <w:r>
                                <w:rPr>
                                  <w:rFonts w:ascii="Times New Roman" w:hAnsi="Times New Roman" w:cs="Times New Roman"/>
                                  <w:color w:val="000000"/>
                                  <w:sz w:val="20"/>
                                  <w:szCs w:val="20"/>
                                </w:rPr>
                                <w:t xml:space="preserve">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Risklarga asoslangan</w:t>
                              </w:r>
                            </w:p>
                            <w:p>
                              <w:pPr>
                                <w:spacing w:before="0" w:after="0" w:line="228" w:lineRule="auto"/>
                                <w:jc w:val="center"/>
                                <w:ind w:firstLine="0"/>
                              </w:pPr>
                              <w:r>
                                <w:rPr>
                                  <w:rFonts w:ascii="Times New Roman" w:hAnsi="Times New Roman" w:cs="Times New Roman"/>
                                  <w:b/>
                                  <w:color w:val="FFFFFF"/>
                                  <w:sz w:val="22"/>
                                  <w:szCs w:val="22"/>
                                </w:rPr>
                                <w:t xml:space="preserve">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 risk profili va</w:t>
                              </w:r>
                            </w:p>
                            <w:p>
                              <w:pPr>
                                <w:spacing w:before="0" w:after="0" w:line="228" w:lineRule="auto"/>
                                <w:jc w:val="center"/>
                                <w:ind w:firstLine="0"/>
                              </w:pPr>
                              <w:r>
                                <w:rPr>
                                  <w:rFonts w:ascii="Times New Roman" w:hAnsi="Times New Roman" w:cs="Times New Roman"/>
                                  <w:color w:val="000000"/>
                                  <w:sz w:val="20"/>
                                  <w:szCs w:val="20"/>
                                </w:rPr>
                                <w:t xml:space="preserve">ichki nazoratining</w:t>
                              </w:r>
                            </w:p>
                            <w:p>
                              <w:pPr>
                                <w:spacing w:before="0" w:after="0" w:line="228" w:lineRule="auto"/>
                                <w:jc w:val="center"/>
                                <w:ind w:firstLine="0"/>
                              </w:pPr>
                              <w:r>
                                <w:rPr>
                                  <w:rFonts w:ascii="Times New Roman" w:hAnsi="Times New Roman" w:cs="Times New Roman"/>
                                  <w:color w:val="000000"/>
                                  <w:sz w:val="20"/>
                                  <w:szCs w:val="20"/>
                                </w:rPr>
                                <w:t xml:space="preserve">avtomatik reytingi;</w:t>
                              </w:r>
                            </w:p>
                            <w:p>
                              <w:pPr>
                                <w:spacing w:before="0" w:after="0" w:line="228" w:lineRule="auto"/>
                                <w:jc w:val="center"/>
                                <w:ind w:firstLine="0"/>
                              </w:pPr>
                              <w:r>
                                <w:rPr>
                                  <w:rFonts w:ascii="Times New Roman" w:hAnsi="Times New Roman" w:cs="Times New Roman"/>
                                  <w:color w:val="000000"/>
                                  <w:sz w:val="20"/>
                                  <w:szCs w:val="20"/>
                                </w:rPr>
                                <w:t xml:space="preserve">kuratorlar tuzatishi;</w:t>
                              </w:r>
                            </w:p>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Makroprudensial</w:t>
                              </w:r>
                            </w:p>
                            <w:p>
                              <w:pPr>
                                <w:spacing w:before="0" w:after="0" w:line="228" w:lineRule="auto"/>
                                <w:jc w:val="center"/>
                                <w:ind w:firstLine="0"/>
                              </w:pPr>
                              <w:r>
                                <w:rPr>
                                  <w:rFonts w:ascii="Times New Roman" w:hAnsi="Times New Roman" w:cs="Times New Roman"/>
                                  <w:b/>
                                  <w:color w:val="FFFFFF"/>
                                  <w:sz w:val="22"/>
                                  <w:szCs w:val="22"/>
                                </w:rPr>
                                <w:t xml:space="preserve">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Moliyaviy barqarorlik</w:t>
                              </w:r>
                            </w:p>
                            <w:p>
                              <w:pPr>
                                <w:spacing w:before="0" w:after="0" w:line="228" w:lineRule="auto"/>
                                <w:jc w:val="center"/>
                                <w:ind w:firstLine="0"/>
                              </w:pPr>
                              <w:r>
                                <w:rPr>
                                  <w:rFonts w:ascii="Times New Roman" w:hAnsi="Times New Roman" w:cs="Times New Roman"/>
                                  <w:color w:val="000000"/>
                                  <w:sz w:val="20"/>
                                  <w:szCs w:val="20"/>
                                </w:rPr>
                                <w:t xml:space="preserve">sharhi (yiliga 2 marta);</w:t>
                              </w:r>
                            </w:p>
                            <w:p>
                              <w:pPr>
                                <w:spacing w:before="0" w:after="0" w:line="228" w:lineRule="auto"/>
                                <w:jc w:val="center"/>
                                <w:ind w:firstLine="0"/>
                              </w:pPr>
                              <w:r>
                                <w:rPr>
                                  <w:rFonts w:ascii="Times New Roman" w:hAnsi="Times New Roman" w:cs="Times New Roman"/>
                                  <w:color w:val="000000"/>
                                  <w:sz w:val="20"/>
                                  <w:szCs w:val="20"/>
                                </w:rPr>
                                <w:t xml:space="preserve">to‘lov qobiliyati va</w:t>
                              </w:r>
                            </w:p>
                            <w:p>
                              <w:pPr>
                                <w:spacing w:before="0" w:after="0" w:line="228" w:lineRule="auto"/>
                                <w:jc w:val="center"/>
                                <w:ind w:firstLine="0"/>
                              </w:pPr>
                              <w:r>
                                <w:rPr>
                                  <w:rFonts w:ascii="Times New Roman" w:hAnsi="Times New Roman" w:cs="Times New Roman"/>
                                  <w:color w:val="000000"/>
                                  <w:sz w:val="20"/>
                                  <w:szCs w:val="20"/>
                                </w:rPr>
                                <w:t xml:space="preserve">likvidlik stress-testlari;</w:t>
                              </w:r>
                            </w:p>
                            <w:p>
                              <w:pPr>
                                <w:spacing w:before="0" w:after="0" w:line="228" w:lineRule="auto"/>
                                <w:jc w:val="center"/>
                                <w:ind w:firstLine="0"/>
                              </w:pPr>
                              <w:r>
                                <w:rPr>
                                  <w:rFonts w:ascii="Times New Roman" w:hAnsi="Times New Roman" w:cs="Times New Roman"/>
                                  <w:color w:val="000000"/>
                                  <w:sz w:val="20"/>
                                  <w:szCs w:val="20"/>
                                </w:rPr>
                                <w:t xml:space="preserve">kontrsiklik bufer;</w:t>
                              </w:r>
                            </w:p>
                            <w:p>
                              <w:pPr>
                                <w:spacing w:before="0" w:after="0" w:line="228" w:lineRule="auto"/>
                                <w:jc w:val="center"/>
                                <w:ind w:firstLine="0"/>
                              </w:pPr>
                              <w:r>
                                <w:rPr>
                                  <w:rFonts w:ascii="Times New Roman" w:hAnsi="Times New Roman" w:cs="Times New Roman"/>
                                  <w:color w:val="000000"/>
                                  <w:sz w:val="20"/>
                                  <w:szCs w:val="20"/>
                                </w:rPr>
                                <w:t xml:space="preserve">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2.1.2-rasm. O‘zbekistonda banklar moliyaviy barqarorligini baholashning amaldagi tizimi</w:t>
      </w:r>
      <w:r>
        <w:rPr>
          <w:rStyle w:val="FootnoteReference"/>
        </w:rPr>
        <w:footnoteReference w:id="238"/>
      </w:r>
    </w:p>
    <w:p>
      <w:pPr>
        <w:pStyle w:val="BodyText"/>
        <w:spacing w:line="360" w:lineRule="auto" w:before="0" w:after="0"/>
        <w:ind w:firstLine="709"/>
        <w:jc w:val="both"/>
      </w:pPr>
      <w:r>
        <w:rPr>
          <w:bCs/>
          <w:rFonts w:ascii="Times New Roman" w:hAnsi="Times New Roman" w:cs="Times New Roman" w:eastAsia="Times New Roman"/>
          <w:b/>
          <w:sz w:val="28"/>
        </w:rPr>
        <w:t xml:space="preserve">Prudensial normativlar.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birinchi va eng rasmiylashgan darajasi – banklarning majburiy prudensial normativlarga rioya etishini nazorat qilish. Amaldagi asosiy talablar 2.1.1-jadvalda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tijorat banklariga qo‘yiladigan asosiy prudensial talablar</w:t>
      </w:r>
      <w:r>
        <w:rPr>
          <w:rStyle w:val="FootnoteReference"/>
        </w:rPr>
        <w:footnoteReference w:id="239"/>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 minimumi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Izoh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 4,5%</w:t>
            </w:r>
          </w:p>
        </w:tc>
        <w:tc>
          <w:tcPr/>
          <w:p>
            <w:pPr>
              <w:pStyle w:val="Compact"/>
              <w:spacing w:line="240" w:lineRule="auto"/>
              <w:ind w:firstLine="0"/>
              <w:jc w:val="left"/>
            </w:pPr>
            <w:r>
              <w:rPr>
                <w:rFonts w:ascii="Times New Roman" w:hAnsi="Times New Roman" w:cs="Times New Roman" w:eastAsia="Times New Roman"/>
                <w:sz w:val="22"/>
              </w:rPr>
              <w:t xml:space="preserve">2026-yildan yangi nizom bo‘yicha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p>
            <w:pPr>
              <w:pStyle w:val="Compact"/>
              <w:spacing w:line="240" w:lineRule="auto"/>
              <w:ind w:firstLine="0"/>
              <w:jc w:val="left"/>
            </w:pPr>
            <w:r>
              <w:rPr>
                <w:rFonts w:ascii="Times New Roman" w:hAnsi="Times New Roman" w:cs="Times New Roman" w:eastAsia="Times New Roman"/>
                <w:sz w:val="22"/>
              </w:rPr>
              <w:t xml:space="preserve">≥ 13% (2020–2025-yillar)</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3% lik saqlash buferini o‘z ichiga olgan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Leverej koeffitsiyenti</w:t>
            </w:r>
          </w:p>
        </w:tc>
        <w:tc>
          <w:tcPr/>
          <w:p>
            <w:pPr>
              <w:pStyle w:val="Compact"/>
              <w:spacing w:line="240" w:lineRule="auto"/>
              <w:ind w:firstLine="0"/>
              <w:jc w:val="left"/>
            </w:pPr>
            <w:r>
              <w:rPr>
                <w:rFonts w:ascii="Times New Roman" w:hAnsi="Times New Roman" w:cs="Times New Roman" w:eastAsia="Times New Roman"/>
                <w:sz w:val="22"/>
              </w:rPr>
              <w:t xml:space="preserve">≥ 6%</w:t>
            </w:r>
          </w:p>
        </w:tc>
        <w:tc>
          <w:tcPr/>
          <w:p>
            <w:pPr>
              <w:pStyle w:val="Compact"/>
              <w:spacing w:line="240" w:lineRule="auto"/>
              <w:ind w:firstLine="0"/>
              <w:jc w:val="left"/>
            </w:pPr>
            <w:r>
              <w:rPr>
                <w:rFonts w:ascii="Times New Roman" w:hAnsi="Times New Roman" w:cs="Times New Roman" w:eastAsia="Times New Roman"/>
                <w:sz w:val="22"/>
              </w:rPr>
              <w:t xml:space="preserve">≥ 3%</w:t>
            </w:r>
          </w:p>
        </w:tc>
        <w:tc>
          <w:tcPr/>
          <w:p>
            <w:pPr>
              <w:pStyle w:val="Compact"/>
              <w:spacing w:line="240" w:lineRule="auto"/>
              <w:ind w:firstLine="0"/>
              <w:jc w:val="left"/>
            </w:pPr>
            <w:r>
              <w:rPr>
                <w:rFonts w:ascii="Times New Roman" w:hAnsi="Times New Roman" w:cs="Times New Roman" w:eastAsia="Times New Roman"/>
                <w:sz w:val="22"/>
              </w:rPr>
              <w:t xml:space="preserve">Bazel minimumidan ikki baravar yuqori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Kapitalni saqlash buferi</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2025-yildan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Kontrsiklik bufer</w:t>
            </w:r>
          </w:p>
        </w:tc>
        <w:tc>
          <w:tcPr/>
          <w:p>
            <w:pPr>
              <w:pStyle w:val="Compact"/>
              <w:spacing w:line="240" w:lineRule="auto"/>
              <w:ind w:firstLine="0"/>
              <w:jc w:val="left"/>
            </w:pPr>
            <w:r>
              <w:rPr>
                <w:rFonts w:ascii="Times New Roman" w:hAnsi="Times New Roman" w:cs="Times New Roman" w:eastAsia="Times New Roman"/>
                <w:sz w:val="22"/>
              </w:rPr>
              <w:t xml:space="preserve">1,5%</w:t>
            </w:r>
          </w:p>
        </w:tc>
        <w:tc>
          <w:tcPr/>
          <w:p>
            <w:pPr>
              <w:pStyle w:val="Compact"/>
              <w:spacing w:line="240" w:lineRule="auto"/>
              <w:ind w:firstLine="0"/>
              <w:jc w:val="left"/>
            </w:pPr>
            <w:r>
              <w:rPr>
                <w:rFonts w:ascii="Times New Roman" w:hAnsi="Times New Roman" w:cs="Times New Roman" w:eastAsia="Times New Roman"/>
                <w:sz w:val="22"/>
              </w:rPr>
              <w:t xml:space="preserve">0–2,5%</w:t>
            </w:r>
          </w:p>
        </w:tc>
        <w:tc>
          <w:tcPr/>
          <w:p>
            <w:pPr>
              <w:pStyle w:val="Compact"/>
              <w:spacing w:line="240" w:lineRule="auto"/>
              <w:ind w:firstLine="0"/>
              <w:jc w:val="left"/>
            </w:pPr>
            <w:r>
              <w:rPr>
                <w:rFonts w:ascii="Times New Roman" w:hAnsi="Times New Roman" w:cs="Times New Roman" w:eastAsia="Times New Roman"/>
                <w:sz w:val="22"/>
              </w:rPr>
              <w:t xml:space="preserve">2026-yil 1-yanvardan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Tizimli ahamiyatli banklar buferi</w:t>
            </w:r>
          </w:p>
        </w:tc>
        <w:tc>
          <w:tcPr/>
          <w:p>
            <w:pPr>
              <w:pStyle w:val="Compact"/>
              <w:spacing w:line="240" w:lineRule="auto"/>
              <w:ind w:firstLine="0"/>
              <w:jc w:val="left"/>
            </w:pPr>
            <w:r>
              <w:rPr>
                <w:rFonts w:ascii="Times New Roman" w:hAnsi="Times New Roman" w:cs="Times New Roman" w:eastAsia="Times New Roman"/>
                <w:sz w:val="22"/>
              </w:rPr>
              <w:t xml:space="preserve">1%</w:t>
            </w:r>
          </w:p>
        </w:tc>
        <w:tc>
          <w:tcPr/>
          <w:p>
            <w:pPr>
              <w:pStyle w:val="Compact"/>
              <w:spacing w:line="240" w:lineRule="auto"/>
              <w:ind w:firstLine="0"/>
              <w:jc w:val="left"/>
            </w:pPr>
            <w:r>
              <w:rPr>
                <w:rFonts w:ascii="Times New Roman" w:hAnsi="Times New Roman" w:cs="Times New Roman" w:eastAsia="Times New Roman"/>
                <w:sz w:val="22"/>
              </w:rPr>
              <w:t xml:space="preserve">1–3,5% (G-SIB)</w:t>
            </w:r>
          </w:p>
        </w:tc>
        <w:tc>
          <w:tcPr/>
          <w:p>
            <w:pPr>
              <w:pStyle w:val="Compact"/>
              <w:spacing w:line="240" w:lineRule="auto"/>
              <w:ind w:firstLine="0"/>
              <w:jc w:val="left"/>
            </w:pPr>
            <w:r>
              <w:rPr>
                <w:rFonts w:ascii="Times New Roman" w:hAnsi="Times New Roman" w:cs="Times New Roman" w:eastAsia="Times New Roman"/>
                <w:sz w:val="22"/>
              </w:rPr>
              <w:t xml:space="preserve">7 ta bank uchun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LCR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 to‘liq</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NSFR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Joriy likvidlik</w:t>
            </w:r>
          </w:p>
        </w:tc>
        <w:tc>
          <w:tcPr/>
          <w:p>
            <w:pPr>
              <w:pStyle w:val="Compact"/>
              <w:spacing w:line="240" w:lineRule="auto"/>
              <w:ind w:firstLine="0"/>
              <w:jc w:val="left"/>
            </w:pPr>
            <w:r>
              <w:rPr>
                <w:rFonts w:ascii="Times New Roman" w:hAnsi="Times New Roman" w:cs="Times New Roman" w:eastAsia="Times New Roman"/>
                <w:sz w:val="22"/>
              </w:rPr>
              <w:t xml:space="preserve">≥ 30%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Lahzali likvidlik</w:t>
            </w:r>
          </w:p>
        </w:tc>
        <w:tc>
          <w:tcPr/>
          <w:p>
            <w:pPr>
              <w:pStyle w:val="Compact"/>
              <w:spacing w:line="240" w:lineRule="auto"/>
              <w:ind w:firstLine="0"/>
              <w:jc w:val="left"/>
            </w:pPr>
            <w:r>
              <w:rPr>
                <w:rFonts w:ascii="Times New Roman" w:hAnsi="Times New Roman" w:cs="Times New Roman" w:eastAsia="Times New Roman"/>
                <w:sz w:val="22"/>
              </w:rPr>
              <w:t xml:space="preserve">≥ 10%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ko‘rinadiki, O‘zbekistonda miqdoriy kapital talablari Bazel III minimumlaridan yuqori belgilangan, likvidlik bo‘yicha esa xalqaro koeffitsiyentlar bilan bir qatorda milliy normativlar ham saqlanib qolgan. B.T. Berdiyarov aynan shu milliy likvidlik normativlarini XVJ ning moliyaviy barqarorlik ko‘rsatkichlari bilan birgalikda baholash tizimiga kiritishni taklif etgan edi</w:t>
      </w:r>
      <w:r>
        <w:rPr>
          <w:rStyle w:val="FootnoteReference"/>
        </w:rPr>
        <w:footnoteReference w:id="240"/>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Risklarga asoslangan nazorat.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ikkinchi darajasi – alohida banklar risk profilini baholash. O‘zbekistonda CAMEL reyting tizimi 1997–1998-yillarda joriy etilgan bo‘lib</w:t>
      </w:r>
      <w:r>
        <w:rPr>
          <w:rStyle w:val="FootnoteReference"/>
        </w:rPr>
        <w:footnoteReference w:id="241"/>
      </w:r>
      <w:r>
        <w:rPr>
          <w:rFonts w:ascii="Times New Roman" w:hAnsi="Times New Roman" w:cs="Times New Roman" w:eastAsia="Times New Roman"/>
          <w:sz w:val="28"/>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FootnoteReference"/>
        </w:rPr>
        <w:footnoteReference w:id="242"/>
      </w:r>
      <w:r>
        <w:rPr>
          <w:rFonts w:ascii="Times New Roman" w:hAnsi="Times New Roman" w:cs="Times New Roman" w:eastAsia="Times New Roman"/>
          <w:sz w:val="28"/>
        </w:rPr>
        <w:t xml:space="preserve">. Markaziy bankning asoslangan mulohazasi ham shu darajada qo‘llanadi.</w:t>
      </w:r>
    </w:p>
    <w:p>
      <w:pPr>
        <w:pStyle w:val="BodyText"/>
        <w:spacing w:line="360" w:lineRule="auto" w:before="0" w:after="0"/>
        <w:ind w:firstLine="709"/>
        <w:jc w:val="both"/>
      </w:pPr>
      <w:r>
        <w:rPr>
          <w:rFonts w:ascii="Times New Roman" w:hAnsi="Times New Roman" w:cs="Times New Roman" w:eastAsia="Times New Roman"/>
          <w:sz w:val="28"/>
        </w:rPr>
        <w:t xml:space="preserve">Biroq bu baholashning natijalari oshkor qilinmaydi va ochiq ma’lumotlar asosida takrorlab bo‘lmaydi. T.M. Karaliyev va I.F. Sayfiddinov milliy CAMEL tizimida omillar uchun solishtirma vazn va qiyosiy baholash yo‘qligini qayd etgan edi</w:t>
      </w:r>
      <w:r>
        <w:rPr>
          <w:rStyle w:val="FootnoteReference"/>
        </w:rPr>
        <w:footnoteReference w:id="243"/>
      </w:r>
      <w:r>
        <w:rPr>
          <w:rFonts w:ascii="Times New Roman" w:hAnsi="Times New Roman" w:cs="Times New Roman" w:eastAsia="Times New Roman"/>
          <w:sz w:val="28"/>
        </w:rPr>
        <w:t xml:space="preserve">. Yo‘l xaritasida ham avtomatik reyting tuzatishlarini muntazam tekshirish va ularning asoslanganligini ta’minlash uchun alohida «sifat nazorati» bo‘linmasini tashkil etish ko‘zda tutilgani bu muammo hali dolzarbligini ko‘rsatadi</w:t>
      </w:r>
      <w:r>
        <w:rPr>
          <w:rStyle w:val="FootnoteReference"/>
        </w:rPr>
        <w:footnoteReference w:id="244"/>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Makroprudensial monitoring.</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FootnoteReference"/>
        </w:rPr>
        <w:footnoteReference w:id="245"/>
      </w:r>
      <w:r>
        <w:rPr>
          <w:rFonts w:ascii="Times New Roman" w:hAnsi="Times New Roman" w:cs="Times New Roman" w:eastAsia="Times New Roman"/>
          <w:sz w:val="28"/>
        </w:rPr>
        <w:t xml:space="preserve">. 2023-yildan boshlab tizimli ahamiyatga molik banklar har yili aniqlanadi; 2026-yil uchun ro‘yxatga yetti bank – O‘zmilliybank, Agrobank, O‘zsanoatqurilishbank, Xalq banki, Ipoteka-bank, Kapitalbank va Asakabank kiritilgan</w:t>
      </w:r>
      <w:r>
        <w:rPr>
          <w:rStyle w:val="FootnoteReference"/>
        </w:rPr>
        <w:footnoteReference w:id="246"/>
      </w:r>
      <w:r>
        <w:rPr>
          <w:rFonts w:ascii="Times New Roman" w:hAnsi="Times New Roman" w:cs="Times New Roman" w:eastAsia="Times New Roman"/>
          <w:sz w:val="28"/>
        </w:rPr>
        <w:t xml:space="preserve">.</w:t>
      </w:r>
    </w:p>
    <w:bookmarkEnd w:id="6"/>
    <w:bookmarkStart w:id="8" w:name="Xd6eefd4cc7ba4b935b761c202625a21524724c6"/>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3. Bank tizimi moliyaviy barqarorligining asosiy ko‘rsatkichlari</w:t>
      </w:r>
    </w:p>
    <w:p>
      <w:pPr>
        <w:pStyle w:val="FirstParagraph"/>
        <w:spacing w:line="360" w:lineRule="auto" w:before="0" w:after="0"/>
        <w:ind w:firstLine="709"/>
        <w:jc w:val="both"/>
      </w:pPr>
      <w:r>
        <w:rPr>
          <w:rFonts w:ascii="Times New Roman" w:hAnsi="Times New Roman" w:cs="Times New Roman" w:eastAsia="Times New Roman"/>
          <w:sz w:val="28"/>
        </w:rPr>
        <w:t xml:space="preserve">Amaldagi baholash tizimi natijalariga ko‘ra, O‘zbekiston bank tizimi kapital yetarliligi bo‘yicha barqaror holatda. Kapital monandligi 2021–2025-yillarda 17,4–18,3 foiz oralig‘ida bo‘lib, 2023-yil oxirida 17,5 foizni</w:t>
      </w:r>
      <w:r>
        <w:rPr>
          <w:rStyle w:val="FootnoteReference"/>
        </w:rPr>
        <w:footnoteReference w:id="247"/>
      </w:r>
      <w:r>
        <w:rPr>
          <w:rFonts w:ascii="Times New Roman" w:hAnsi="Times New Roman" w:cs="Times New Roman" w:eastAsia="Times New Roman"/>
          <w:sz w:val="28"/>
        </w:rPr>
        <w:t xml:space="preserve">, 2025-yil oxirida 18,3 foizni tashkil etgan; asosiy kapital (CET1) monandligi 2025-yil oxirida 14,7 foizga teng bo‘lgan</w:t>
      </w:r>
      <w:r>
        <w:rPr>
          <w:rStyle w:val="FootnoteReference"/>
        </w:rPr>
        <w:footnoteReference w:id="248"/>
      </w:r>
      <w:r>
        <w:rPr>
          <w:rFonts w:ascii="Times New Roman" w:hAnsi="Times New Roman" w:cs="Times New Roman" w:eastAsia="Times New Roman"/>
          <w:sz w:val="28"/>
        </w:rPr>
        <w:t xml:space="preserve">. Muammoli kreditlar ulushi esa 2021-yil oxiridagi 5,2 foizdan 2025-yil oxirida 3,0 foizgacha kamaygan</w:t>
      </w:r>
      <w:r>
        <w:rPr>
          <w:rStyle w:val="FootnoteReference"/>
        </w:rPr>
        <w:footnoteReference w:id="24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2" name="2.1.3-rasm"/>
            <wp:cNvGraphicFramePr/>
            <a:graphic>
              <a:graphicData uri="http://schemas.openxmlformats.org/drawingml/2006/chart">
                <c:chart r:id="rId1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2.1.3-rasm. O‘zbekiston bank tizimida kapital monandligi ko‘rsatkichlari dinamikasi, %</w:t>
      </w:r>
      <w:r>
        <w:rPr>
          <w:rStyle w:val="FootnoteReference"/>
        </w:rPr>
        <w:footnoteReference w:id="250"/>
      </w:r>
    </w:p>
    <w:p>
      <w:pPr>
        <w:pStyle w:val="BodyText"/>
        <w:spacing w:line="360" w:lineRule="auto" w:before="0" w:after="0"/>
        <w:ind w:firstLine="709"/>
        <w:jc w:val="both"/>
      </w:pPr>
      <w:r>
        <w:rPr>
          <w:rFonts w:ascii="Times New Roman" w:hAnsi="Times New Roman" w:cs="Times New Roman" w:eastAsia="Times New Roman"/>
          <w:sz w:val="28"/>
        </w:rPr>
        <w:t xml:space="preserve">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FootnoteReference"/>
        </w:rPr>
        <w:footnoteReference w:id="251"/>
      </w:r>
      <w:r>
        <w:rPr>
          <w:rFonts w:ascii="Times New Roman" w:hAnsi="Times New Roman" w:cs="Times New Roman" w:eastAsia="Times New Roman"/>
          <w:sz w:val="28"/>
        </w:rPr>
        <w:t xml:space="preserve">. 2025-yil birinchi yarmi bo‘yicha sharhda bu ko‘rsatkichlar mos ravishda 6,1 va 8,4 foiz, leverej koeffitsiyenti esa 5,3 foiz deb baholangan edi</w:t>
      </w:r>
      <w:r>
        <w:rPr>
          <w:rStyle w:val="FootnoteReference"/>
        </w:rPr>
        <w:footnoteReference w:id="25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3" name="2.1.4-rasm"/>
            <wp:cNvGraphicFramePr/>
            <a:graphic>
              <a:graphicData uri="http://schemas.openxmlformats.org/drawingml/2006/chart">
                <c:chart r:id="rId1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2.1.4-rasm. Salbiy stress-ssenariyda bank tizimi kapital ko‘rsatkichlarining o‘zgarishi, %</w:t>
      </w:r>
      <w:r>
        <w:rPr>
          <w:rStyle w:val="FootnoteReference"/>
        </w:rPr>
        <w:footnoteReference w:id="253"/>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salbiy ssenariyda kapital ko‘rsatkichlari amaldagi regulyativ minimumlardan (CET1 bo‘yicha 8 foiz, jami kapital bo‘yicha 13 foiz)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bookmarkEnd w:id="7"/>
    <w:bookmarkStart w:id="9" w:name="X1eb9f5556cdb29c45b5626a98aaf278fffe0b8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4.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FootnoteReference"/>
        </w:rPr>
        <w:footnoteReference w:id="254"/>
      </w:r>
      <w:r>
        <w:rPr>
          <w:rFonts w:ascii="Times New Roman" w:hAnsi="Times New Roman" w:cs="Times New Roman" w:eastAsia="Times New Roman"/>
          <w:sz w:val="28"/>
        </w:rPr>
        <w:t xml:space="preserve">. FSAP topilmalari va ularga javoban yo‘l xaritasida belgilangan choralar 2.1.2-jadvalda tizimlashtirilgan.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banklar moliyaviy barqarorligini baholashning xalqaro standartlarga muvofiqligi: tafovutlar va choralar</w:t>
      </w:r>
      <w:r>
        <w:rPr>
          <w:rStyle w:val="FootnoteReference"/>
        </w:rPr>
        <w:footnoteReference w:id="25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Soha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O‘zbekistondagi holat (FSAP)</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Yo‘l xaritasidagi chora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Muddat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ta’rifi</w:t>
            </w:r>
          </w:p>
        </w:tc>
        <w:tc>
          <w:tcPr/>
          <w:p>
            <w:pPr>
              <w:pStyle w:val="Compact"/>
              <w:spacing w:line="240" w:lineRule="auto"/>
              <w:ind w:firstLine="0"/>
              <w:jc w:val="left"/>
            </w:pPr>
            <w:r>
              <w:rPr>
                <w:rFonts w:ascii="Times New Roman" w:hAnsi="Times New Roman" w:cs="Times New Roman" w:eastAsia="Times New Roman"/>
                <w:sz w:val="22"/>
              </w:rPr>
              <w:t xml:space="preserve">Kapital instrumentlari yo‘qotishni qoplash qobiliyatiga ega bo‘lishi kerak</w:t>
            </w:r>
          </w:p>
        </w:tc>
        <w:tc>
          <w:tcPr/>
          <w:p>
            <w:pPr>
              <w:pStyle w:val="Compact"/>
              <w:spacing w:line="240" w:lineRule="auto"/>
              <w:ind w:firstLine="0"/>
              <w:jc w:val="left"/>
            </w:pPr>
            <w:r>
              <w:rPr>
                <w:rFonts w:ascii="Times New Roman" w:hAnsi="Times New Roman" w:cs="Times New Roman" w:eastAsia="Times New Roman"/>
                <w:sz w:val="22"/>
              </w:rPr>
              <w:t xml:space="preserve">II darajali kapitalning ~1/3 qismini tashkil etuvchi subordinar qarzlar hisobdan chiqarish yoki konvertatsiya xususiyatiga ega emas</w:t>
            </w:r>
          </w:p>
        </w:tc>
        <w:tc>
          <w:tcPr/>
          <w:p>
            <w:pPr>
              <w:pStyle w:val="Compact"/>
              <w:spacing w:line="240" w:lineRule="auto"/>
              <w:ind w:firstLine="0"/>
              <w:jc w:val="left"/>
            </w:pPr>
            <w:r>
              <w:rPr>
                <w:rFonts w:ascii="Times New Roman" w:hAnsi="Times New Roman" w:cs="Times New Roman" w:eastAsia="Times New Roman"/>
                <w:sz w:val="22"/>
              </w:rPr>
              <w:t xml:space="preserve">I va II darajali kapital tarkibi va mezonlarini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Risk bo‘yicha tortilgan aktivlar</w:t>
            </w:r>
          </w:p>
        </w:tc>
        <w:tc>
          <w:tcPr/>
          <w:p>
            <w:pPr>
              <w:pStyle w:val="Compact"/>
              <w:spacing w:line="240" w:lineRule="auto"/>
              <w:ind w:firstLine="0"/>
              <w:jc w:val="left"/>
            </w:pPr>
            <w:r>
              <w:rPr>
                <w:rFonts w:ascii="Times New Roman" w:hAnsi="Times New Roman" w:cs="Times New Roman" w:eastAsia="Times New Roman"/>
                <w:sz w:val="22"/>
              </w:rPr>
              <w:t xml:space="preserve">Bazel metodikasi bo‘yicha kredit, operatsion va bozor risklarini hisoblash</w:t>
            </w:r>
          </w:p>
        </w:tc>
        <w:tc>
          <w:tcPr/>
          <w:p>
            <w:pPr>
              <w:pStyle w:val="Compact"/>
              <w:spacing w:line="240" w:lineRule="auto"/>
              <w:ind w:firstLine="0"/>
              <w:jc w:val="left"/>
            </w:pPr>
            <w:r>
              <w:rPr>
                <w:rFonts w:ascii="Times New Roman" w:hAnsi="Times New Roman" w:cs="Times New Roman" w:eastAsia="Times New Roman"/>
                <w:sz w:val="22"/>
              </w:rPr>
              <w:t xml:space="preserve">Ayrim jihatlarda Bazel metodikasidan chetlanish</w:t>
            </w:r>
          </w:p>
        </w:tc>
        <w:tc>
          <w:tcPr/>
          <w:p>
            <w:pPr>
              <w:pStyle w:val="Compact"/>
              <w:spacing w:line="240" w:lineRule="auto"/>
              <w:ind w:firstLine="0"/>
              <w:jc w:val="left"/>
            </w:pPr>
            <w:r>
              <w:rPr>
                <w:rFonts w:ascii="Times New Roman" w:hAnsi="Times New Roman" w:cs="Times New Roman" w:eastAsia="Times New Roman"/>
                <w:sz w:val="22"/>
              </w:rPr>
              <w:t xml:space="preserve">Ayrim kredit, operatsion va bozor risklarini hisoblash tartibini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buferlari</w:t>
            </w:r>
          </w:p>
        </w:tc>
        <w:tc>
          <w:tcPr/>
          <w:p>
            <w:pPr>
              <w:pStyle w:val="Compact"/>
              <w:spacing w:line="240" w:lineRule="auto"/>
              <w:ind w:firstLine="0"/>
              <w:jc w:val="left"/>
            </w:pPr>
            <w:r>
              <w:rPr>
                <w:rFonts w:ascii="Times New Roman" w:hAnsi="Times New Roman" w:cs="Times New Roman" w:eastAsia="Times New Roman"/>
                <w:sz w:val="22"/>
              </w:rPr>
              <w:t xml:space="preserve">Saqlash, kontrsiklik va tizimli banklar buferlari</w:t>
            </w:r>
          </w:p>
        </w:tc>
        <w:tc>
          <w:tcPr/>
          <w:p>
            <w:pPr>
              <w:pStyle w:val="Compact"/>
              <w:spacing w:line="240" w:lineRule="auto"/>
              <w:ind w:firstLine="0"/>
              <w:jc w:val="left"/>
            </w:pPr>
            <w:r>
              <w:rPr>
                <w:rFonts w:ascii="Times New Roman" w:hAnsi="Times New Roman" w:cs="Times New Roman" w:eastAsia="Times New Roman"/>
                <w:sz w:val="22"/>
              </w:rPr>
              <w:t xml:space="preserve">Tizimli banklar aniqlangan, ammo ularga bufer qo‘llanmagan</w:t>
            </w:r>
          </w:p>
        </w:tc>
        <w:tc>
          <w:tcPr/>
          <w:p>
            <w:pPr>
              <w:pStyle w:val="Compact"/>
              <w:spacing w:line="240" w:lineRule="auto"/>
              <w:ind w:firstLine="0"/>
              <w:jc w:val="left"/>
            </w:pPr>
            <w:r>
              <w:rPr>
                <w:rFonts w:ascii="Times New Roman" w:hAnsi="Times New Roman" w:cs="Times New Roman" w:eastAsia="Times New Roman"/>
                <w:sz w:val="22"/>
              </w:rPr>
              <w:t xml:space="preserve">Uchala bufer joriy etildi (2025–2026)</w:t>
            </w:r>
          </w:p>
        </w:tc>
        <w:tc>
          <w:tcPr/>
          <w:p>
            <w:pPr>
              <w:pStyle w:val="Compact"/>
              <w:spacing w:line="240" w:lineRule="auto"/>
              <w:ind w:firstLine="0"/>
              <w:jc w:val="left"/>
            </w:pPr>
            <w:r>
              <w:rPr>
                <w:rFonts w:ascii="Times New Roman" w:hAnsi="Times New Roman" w:cs="Times New Roman" w:eastAsia="Times New Roman"/>
                <w:sz w:val="22"/>
              </w:rPr>
              <w:t xml:space="preserve">2025–2026-y.</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2-ustun (ICAAP, SREP)</w:t>
            </w:r>
          </w:p>
        </w:tc>
        <w:tc>
          <w:tcPr/>
          <w:p>
            <w:pPr>
              <w:pStyle w:val="Compact"/>
              <w:spacing w:line="240" w:lineRule="auto"/>
              <w:ind w:firstLine="0"/>
              <w:jc w:val="left"/>
            </w:pPr>
            <w:r>
              <w:rPr>
                <w:rFonts w:ascii="Times New Roman" w:hAnsi="Times New Roman" w:cs="Times New Roman" w:eastAsia="Times New Roman"/>
                <w:sz w:val="22"/>
              </w:rPr>
              <w:t xml:space="preserve">Kapital talabi bank risk profiliga moslashtiriladi</w:t>
            </w:r>
          </w:p>
        </w:tc>
        <w:tc>
          <w:tcPr/>
          <w:p>
            <w:pPr>
              <w:pStyle w:val="Compact"/>
              <w:spacing w:line="240" w:lineRule="auto"/>
              <w:ind w:firstLine="0"/>
              <w:jc w:val="left"/>
            </w:pPr>
            <w:r>
              <w:rPr>
                <w:rFonts w:ascii="Times New Roman" w:hAnsi="Times New Roman" w:cs="Times New Roman" w:eastAsia="Times New Roman"/>
                <w:sz w:val="22"/>
              </w:rPr>
              <w:t xml:space="preserve">2-ustun metodikasi yo‘q</w:t>
            </w:r>
          </w:p>
        </w:tc>
        <w:tc>
          <w:tcPr/>
          <w:p>
            <w:pPr>
              <w:pStyle w:val="Compact"/>
              <w:spacing w:line="240" w:lineRule="auto"/>
              <w:ind w:firstLine="0"/>
              <w:jc w:val="left"/>
            </w:pPr>
            <w:r>
              <w:rPr>
                <w:rFonts w:ascii="Times New Roman" w:hAnsi="Times New Roman" w:cs="Times New Roman" w:eastAsia="Times New Roman"/>
                <w:sz w:val="22"/>
              </w:rPr>
              <w:t xml:space="preserve">Tizimli banklarda ICAAP ni majburiy joriy etish; foiz riski asosida 2-ustunni joriy etish</w:t>
            </w:r>
          </w:p>
        </w:tc>
        <w:tc>
          <w:tcPr/>
          <w:p>
            <w:pPr>
              <w:pStyle w:val="Compact"/>
              <w:spacing w:line="240" w:lineRule="auto"/>
              <w:ind w:firstLine="0"/>
              <w:jc w:val="left"/>
            </w:pPr>
            <w:r>
              <w:rPr>
                <w:rFonts w:ascii="Times New Roman" w:hAnsi="Times New Roman" w:cs="Times New Roman" w:eastAsia="Times New Roman"/>
                <w:sz w:val="22"/>
              </w:rPr>
              <w:t xml:space="preserve">2026–2028-y.; ICAAP – 2027-y. III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p>
            <w:pPr>
              <w:pStyle w:val="Compact"/>
              <w:spacing w:line="240" w:lineRule="auto"/>
              <w:ind w:firstLine="0"/>
              <w:jc w:val="left"/>
            </w:pPr>
            <w:r>
              <w:rPr>
                <w:rFonts w:ascii="Times New Roman" w:hAnsi="Times New Roman" w:cs="Times New Roman" w:eastAsia="Times New Roman"/>
                <w:sz w:val="22"/>
              </w:rPr>
              <w:t xml:space="preserve">Muammoli kreditlar va restrukturizatsiya qilingan aktivlarning Bazel ta’riflari; MHXS 9</w:t>
            </w:r>
          </w:p>
        </w:tc>
        <w:tc>
          <w:tcPr/>
          <w:p>
            <w:pPr>
              <w:pStyle w:val="Compact"/>
              <w:spacing w:line="240" w:lineRule="auto"/>
              <w:ind w:firstLine="0"/>
              <w:jc w:val="left"/>
            </w:pPr>
            <w:r>
              <w:rPr>
                <w:rFonts w:ascii="Times New Roman" w:hAnsi="Times New Roman" w:cs="Times New Roman" w:eastAsia="Times New Roman"/>
                <w:sz w:val="22"/>
              </w:rPr>
              <w:t xml:space="preserve">Aktivlar sifati to‘g‘risida hisobotlarda kamsitib ko‘rsatish holatlari, ayniqsa imtiyozli va yo‘naltirilgan kreditlarda</w:t>
            </w:r>
          </w:p>
        </w:tc>
        <w:tc>
          <w:tcPr/>
          <w:p>
            <w:pPr>
              <w:pStyle w:val="Compact"/>
              <w:spacing w:line="240" w:lineRule="auto"/>
              <w:ind w:firstLine="0"/>
              <w:jc w:val="left"/>
            </w:pPr>
            <w:r>
              <w:rPr>
                <w:rFonts w:ascii="Times New Roman" w:hAnsi="Times New Roman" w:cs="Times New Roman" w:eastAsia="Times New Roman"/>
                <w:sz w:val="22"/>
              </w:rPr>
              <w:t xml:space="preserve">Muammoli kredit ta’rifini kengaytirish, MHXS 9 ning 3-bosqichini to‘liq qamrash, «forborne exposures» ta’rifini joriy etish</w:t>
            </w:r>
          </w:p>
        </w:tc>
        <w:tc>
          <w:tcPr/>
          <w:p>
            <w:pPr>
              <w:pStyle w:val="Compact"/>
              <w:spacing w:line="240" w:lineRule="auto"/>
              <w:ind w:firstLine="0"/>
              <w:jc w:val="left"/>
            </w:pPr>
            <w:r>
              <w:rPr>
                <w:rFonts w:ascii="Times New Roman" w:hAnsi="Times New Roman" w:cs="Times New Roman" w:eastAsia="Times New Roman"/>
                <w:sz w:val="22"/>
              </w:rPr>
              <w:t xml:space="preserve">2026-y.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 Bazel III ga to‘liq mos</w:t>
            </w:r>
          </w:p>
        </w:tc>
        <w:tc>
          <w:tcPr/>
          <w:p>
            <w:pPr>
              <w:pStyle w:val="Compact"/>
              <w:spacing w:line="240" w:lineRule="auto"/>
              <w:ind w:firstLine="0"/>
              <w:jc w:val="left"/>
            </w:pPr>
            <w:r>
              <w:rPr>
                <w:rFonts w:ascii="Times New Roman" w:hAnsi="Times New Roman" w:cs="Times New Roman" w:eastAsia="Times New Roman"/>
                <w:sz w:val="22"/>
              </w:rPr>
              <w:t xml:space="preserve">Ayrim elementlar va koeffitsiyentlar Bazel III dan farq qiladi</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elementlarini to‘liq moslashtirish, 2026-yil 1-yanvardan monitoring</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3-ustun (oshkoralik)</w:t>
            </w:r>
          </w:p>
        </w:tc>
        <w:tc>
          <w:tcPr/>
          <w:p>
            <w:pPr>
              <w:pStyle w:val="Compact"/>
              <w:spacing w:line="240" w:lineRule="auto"/>
              <w:ind w:firstLine="0"/>
              <w:jc w:val="left"/>
            </w:pPr>
            <w:r>
              <w:rPr>
                <w:rFonts w:ascii="Times New Roman" w:hAnsi="Times New Roman" w:cs="Times New Roman" w:eastAsia="Times New Roman"/>
                <w:sz w:val="22"/>
              </w:rPr>
              <w:t xml:space="preserve">Moliyaviy va nazorat hisobotlarini oshkor qilish bo‘yicha minimal talablar</w:t>
            </w:r>
          </w:p>
        </w:tc>
        <w:tc>
          <w:tcPr/>
          <w:p>
            <w:pPr>
              <w:pStyle w:val="Compact"/>
              <w:spacing w:line="240" w:lineRule="auto"/>
              <w:ind w:firstLine="0"/>
              <w:jc w:val="left"/>
            </w:pPr>
            <w:r>
              <w:rPr>
                <w:rFonts w:ascii="Times New Roman" w:hAnsi="Times New Roman" w:cs="Times New Roman" w:eastAsia="Times New Roman"/>
                <w:sz w:val="22"/>
              </w:rPr>
              <w:t xml:space="preserve">Minimal talablar belgilanmagan</w:t>
            </w:r>
          </w:p>
        </w:tc>
        <w:tc>
          <w:tcPr/>
          <w:p>
            <w:pPr>
              <w:pStyle w:val="Compact"/>
              <w:spacing w:line="240" w:lineRule="auto"/>
              <w:ind w:firstLine="0"/>
              <w:jc w:val="left"/>
            </w:pPr>
            <w:r>
              <w:rPr>
                <w:rFonts w:ascii="Times New Roman" w:hAnsi="Times New Roman" w:cs="Times New Roman" w:eastAsia="Times New Roman"/>
                <w:sz w:val="22"/>
              </w:rPr>
              <w:t xml:space="preserve">Oshkoralik bo‘yicha minimal talablar nizomini ishlab chiqish</w:t>
            </w:r>
          </w:p>
        </w:tc>
        <w:tc>
          <w:tcPr/>
          <w:p>
            <w:pPr>
              <w:pStyle w:val="Compact"/>
              <w:spacing w:line="240" w:lineRule="auto"/>
              <w:ind w:firstLine="0"/>
              <w:jc w:val="left"/>
            </w:pPr>
            <w:r>
              <w:rPr>
                <w:rFonts w:ascii="Times New Roman" w:hAnsi="Times New Roman" w:cs="Times New Roman" w:eastAsia="Times New Roman"/>
                <w:sz w:val="22"/>
              </w:rPr>
              <w:t xml:space="preserve">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Konsolidatsiyalangan nazorat</w:t>
            </w:r>
          </w:p>
        </w:tc>
        <w:tc>
          <w:tcPr/>
          <w:p>
            <w:pPr>
              <w:pStyle w:val="Compact"/>
              <w:spacing w:line="240" w:lineRule="auto"/>
              <w:ind w:firstLine="0"/>
              <w:jc w:val="left"/>
            </w:pPr>
            <w:r>
              <w:rPr>
                <w:rFonts w:ascii="Times New Roman" w:hAnsi="Times New Roman" w:cs="Times New Roman" w:eastAsia="Times New Roman"/>
                <w:sz w:val="22"/>
              </w:rPr>
              <w:t xml:space="preserve">Bank guruhlari, shu jumladan nobank ona kompaniyalar ustidan nazorat</w:t>
            </w:r>
          </w:p>
        </w:tc>
        <w:tc>
          <w:tcPr/>
          <w:p>
            <w:pPr>
              <w:pStyle w:val="Compact"/>
              <w:spacing w:line="240" w:lineRule="auto"/>
              <w:ind w:firstLine="0"/>
              <w:jc w:val="left"/>
            </w:pPr>
            <w:r>
              <w:rPr>
                <w:rFonts w:ascii="Times New Roman" w:hAnsi="Times New Roman" w:cs="Times New Roman" w:eastAsia="Times New Roman"/>
                <w:sz w:val="22"/>
              </w:rPr>
              <w:t xml:space="preserve">Huquqiy asos to‘liq emas</w:t>
            </w:r>
          </w:p>
        </w:tc>
        <w:tc>
          <w:tcPr/>
          <w:p>
            <w:pPr>
              <w:pStyle w:val="Compact"/>
              <w:spacing w:line="240" w:lineRule="auto"/>
              <w:ind w:firstLine="0"/>
              <w:jc w:val="left"/>
            </w:pPr>
            <w:r>
              <w:rPr>
                <w:rFonts w:ascii="Times New Roman" w:hAnsi="Times New Roman" w:cs="Times New Roman" w:eastAsia="Times New Roman"/>
                <w:sz w:val="22"/>
              </w:rPr>
              <w:t xml:space="preserve">Qonunga o‘zgartirish; konsolidatsiyalangan nazorat nizomi</w:t>
            </w:r>
          </w:p>
        </w:tc>
        <w:tc>
          <w:tcPr/>
          <w:p>
            <w:pPr>
              <w:pStyle w:val="Compact"/>
              <w:spacing w:line="240" w:lineRule="auto"/>
              <w:ind w:firstLine="0"/>
              <w:jc w:val="left"/>
            </w:pPr>
            <w:r>
              <w:rPr>
                <w:rFonts w:ascii="Times New Roman" w:hAnsi="Times New Roman" w:cs="Times New Roman" w:eastAsia="Times New Roman"/>
                <w:sz w:val="22"/>
              </w:rPr>
              <w:t xml:space="preserve">2027-y.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Erta aralashuv</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va tezkor tuzatuvchi choralar</w:t>
            </w:r>
          </w:p>
        </w:tc>
        <w:tc>
          <w:tcPr/>
          <w:p>
            <w:pPr>
              <w:pStyle w:val="Compact"/>
              <w:spacing w:line="240" w:lineRule="auto"/>
              <w:ind w:firstLine="0"/>
              <w:jc w:val="left"/>
            </w:pPr>
            <w:r>
              <w:rPr>
                <w:rFonts w:ascii="Times New Roman" w:hAnsi="Times New Roman" w:cs="Times New Roman" w:eastAsia="Times New Roman"/>
                <w:sz w:val="22"/>
              </w:rPr>
              <w:t xml:space="preserve">Mavjud emas</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(EWS) va tezkor tuzatuvchi choralar (PCA) tizimini joriy etish</w:t>
            </w:r>
          </w:p>
        </w:tc>
        <w:tc>
          <w:tcPr/>
          <w:p>
            <w:pPr>
              <w:pStyle w:val="Compact"/>
              <w:spacing w:line="240" w:lineRule="auto"/>
              <w:ind w:firstLine="0"/>
              <w:jc w:val="left"/>
            </w:pPr>
            <w:r>
              <w:rPr>
                <w:rFonts w:ascii="Times New Roman" w:hAnsi="Times New Roman" w:cs="Times New Roman" w:eastAsia="Times New Roman"/>
                <w:sz w:val="22"/>
              </w:rPr>
              <w:t xml:space="preserve">2026-y. I chorak – 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Banklarni sanatsiya qilish</w:t>
            </w:r>
          </w:p>
        </w:tc>
        <w:tc>
          <w:tcPr/>
          <w:p>
            <w:pPr>
              <w:pStyle w:val="Compact"/>
              <w:spacing w:line="240" w:lineRule="auto"/>
              <w:ind w:firstLine="0"/>
              <w:jc w:val="left"/>
            </w:pPr>
            <w:r>
              <w:rPr>
                <w:rFonts w:ascii="Times New Roman" w:hAnsi="Times New Roman" w:cs="Times New Roman" w:eastAsia="Times New Roman"/>
                <w:sz w:val="22"/>
              </w:rPr>
              <w:t xml:space="preserve">Sanatsiya rejimi, sanatsiya rejalari va jamg‘armasi</w:t>
            </w:r>
          </w:p>
        </w:tc>
        <w:tc>
          <w:tcPr/>
          <w:p>
            <w:pPr>
              <w:pStyle w:val="Compact"/>
              <w:spacing w:line="240" w:lineRule="auto"/>
              <w:ind w:firstLine="0"/>
              <w:jc w:val="left"/>
            </w:pPr>
            <w:r>
              <w:rPr>
                <w:rFonts w:ascii="Times New Roman" w:hAnsi="Times New Roman" w:cs="Times New Roman" w:eastAsia="Times New Roman"/>
                <w:sz w:val="22"/>
              </w:rPr>
              <w:t xml:space="preserve">Shakllanish bosqichida</w:t>
            </w:r>
          </w:p>
        </w:tc>
        <w:tc>
          <w:tcPr/>
          <w:p>
            <w:pPr>
              <w:pStyle w:val="Compact"/>
              <w:spacing w:line="240" w:lineRule="auto"/>
              <w:ind w:firstLine="0"/>
              <w:jc w:val="left"/>
            </w:pPr>
            <w:r>
              <w:rPr>
                <w:rFonts w:ascii="Times New Roman" w:hAnsi="Times New Roman" w:cs="Times New Roman" w:eastAsia="Times New Roman"/>
                <w:sz w:val="22"/>
              </w:rPr>
              <w:t xml:space="preserve">Sanatsiya tizimini yaratish; tizimli banklar uchun birinchi sanatsiya rejalari</w:t>
            </w:r>
          </w:p>
        </w:tc>
        <w:tc>
          <w:tcPr/>
          <w:p>
            <w:pPr>
              <w:pStyle w:val="Compact"/>
              <w:spacing w:line="240" w:lineRule="auto"/>
              <w:ind w:firstLine="0"/>
              <w:jc w:val="left"/>
            </w:pPr>
            <w:r>
              <w:rPr>
                <w:rFonts w:ascii="Times New Roman" w:hAnsi="Times New Roman" w:cs="Times New Roman" w:eastAsia="Times New Roman"/>
                <w:sz w:val="22"/>
              </w:rPr>
              <w:t xml:space="preserve">2026–2028-y.</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tafovutlarni tahlil qilish ularni besh guruhga ajratish imkonini beradi (2.1.5-rasm).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84000"/>
                <wp:effectExtent l="0" t="0" r="0" b="0"/>
                <wp:docPr id="24" name="2.1.5-rasm"/>
                <wp:cNvGraphicFramePr/>
                <a:graphic>
                  <a:graphicData uri="http://schemas.microsoft.com/office/word/2010/wordprocessingGroup">
                    <wpg:wgp>
                      <wpg:cNvGrpSpPr/>
                      <wpg:grpSpPr>
                        <a:xfrm>
                          <a:off x="0" y="0"/>
                          <a:ext cx="5904000" cy="2484000"/>
                          <a:chOff x="0" y="0"/>
                          <a:chExt cx="5904000" cy="2484000"/>
                        </a:xfrm>
                      </wpg:grpSpPr>
                      <wps:wsp>
                        <wps:cNvPr id="34"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Xalqaro standartlarga moslashtirish muammolari</w:t>
                              </w:r>
                            </w:p>
                          </w:txbxContent>
                        </wps:txbx>
                        <wps:bodyPr rot="0" vert="horz" wrap="square" lIns="36000" tIns="18000" rIns="36000" bIns="18000" anchor="ctr" anchorCtr="0">
                          <a:noAutofit/>
                        </wps:bodyPr>
                      </wps:wsp>
                      <wps:wsp>
                        <wps:cNvPr id="35"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36"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Kapitalni o‘lchash</w:t>
                              </w:r>
                            </w:p>
                          </w:txbxContent>
                        </wps:txbx>
                        <wps:bodyPr rot="0" vert="horz" wrap="square" lIns="36000" tIns="18000" rIns="36000" bIns="18000" anchor="ctr" anchorCtr="0">
                          <a:noAutofit/>
                        </wps:bodyPr>
                      </wps:wsp>
                      <wps:wsp>
                        <wps:cNvPr id="37"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subordinar qarzlar Bazel</w:t>
                              </w:r>
                            </w:p>
                            <w:p>
                              <w:pPr>
                                <w:spacing w:before="0" w:after="0" w:line="228" w:lineRule="auto"/>
                                <w:jc w:val="center"/>
                                <w:ind w:firstLine="0"/>
                              </w:pPr>
                              <w:r>
                                <w:rPr>
                                  <w:rFonts w:ascii="Times New Roman" w:hAnsi="Times New Roman" w:cs="Times New Roman"/>
                                  <w:color w:val="000000"/>
                                  <w:sz w:val="18"/>
                                  <w:szCs w:val="18"/>
                                </w:rPr>
                                <w:t xml:space="preserve">mezonlariga mos emas;</w:t>
                              </w:r>
                            </w:p>
                            <w:p>
                              <w:pPr>
                                <w:spacing w:before="0" w:after="0" w:line="228" w:lineRule="auto"/>
                                <w:jc w:val="center"/>
                                <w:ind w:firstLine="0"/>
                              </w:pPr>
                              <w:r>
                                <w:rPr>
                                  <w:rFonts w:ascii="Times New Roman" w:hAnsi="Times New Roman" w:cs="Times New Roman"/>
                                  <w:color w:val="000000"/>
                                  <w:sz w:val="18"/>
                                  <w:szCs w:val="18"/>
                                </w:rPr>
                                <w:t xml:space="preserve">RWA metodikasida</w:t>
                              </w:r>
                            </w:p>
                            <w:p>
                              <w:pPr>
                                <w:spacing w:before="0" w:after="0" w:line="228" w:lineRule="auto"/>
                                <w:jc w:val="center"/>
                                <w:ind w:firstLine="0"/>
                              </w:pPr>
                              <w:r>
                                <w:rPr>
                                  <w:rFonts w:ascii="Times New Roman" w:hAnsi="Times New Roman" w:cs="Times New Roman"/>
                                  <w:color w:val="000000"/>
                                  <w:sz w:val="18"/>
                                  <w:szCs w:val="18"/>
                                </w:rPr>
                                <w:t xml:space="preserve">chetlanishlar</w:t>
                              </w:r>
                            </w:p>
                          </w:txbxContent>
                        </wps:txbx>
                        <wps:bodyPr rot="0" vert="horz" wrap="square" lIns="36000" tIns="18000" rIns="36000" bIns="18000" anchor="ctr" anchorCtr="0">
                          <a:noAutofit/>
                        </wps:bodyPr>
                      </wps:wsp>
                      <wps:wsp>
                        <wps:cNvPr id="38" name="Connector 38"/>
                        <wps:cNvCnPr/>
                        <wps:spPr>
                          <a:xfrm>
                            <a:off x="585000" y="1854000"/>
                            <a:ext cx="2367000" cy="216000"/>
                          </a:xfrm>
                          <a:prstGeom prst="straightConnector1">
                            <a:avLst/>
                          </a:prstGeom>
                          <a:ln w="12700">
                            <a:solidFill>
                              <a:srgbClr val="7F7F7F"/>
                            </a:solidFill>
                            <a:tailEnd type="triangle" w="med" len="med"/>
                          </a:ln>
                        </wps:spPr>
                        <wps:bodyPr/>
                      </wps:wsp>
                      <wps:wsp>
                        <wps:cNvPr id="39"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40"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 sifati</w:t>
                              </w:r>
                            </w:p>
                          </w:txbxContent>
                        </wps:txbx>
                        <wps:bodyPr rot="0" vert="horz" wrap="square" lIns="36000" tIns="18000" rIns="36000" bIns="18000" anchor="ctr" anchorCtr="0">
                          <a:noAutofit/>
                        </wps:bodyPr>
                      </wps:wsp>
                      <wps:wsp>
                        <wps:cNvPr id="41"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NPL va restrukturizatsiya</w:t>
                              </w:r>
                            </w:p>
                            <w:p>
                              <w:pPr>
                                <w:spacing w:before="0" w:after="0" w:line="228" w:lineRule="auto"/>
                                <w:jc w:val="center"/>
                                <w:ind w:firstLine="0"/>
                              </w:pPr>
                              <w:r>
                                <w:rPr>
                                  <w:rFonts w:ascii="Times New Roman" w:hAnsi="Times New Roman" w:cs="Times New Roman"/>
                                  <w:color w:val="000000"/>
                                  <w:sz w:val="18"/>
                                  <w:szCs w:val="18"/>
                                </w:rPr>
                                <w:t xml:space="preserve">ta’riflari tor;</w:t>
                              </w:r>
                            </w:p>
                            <w:p>
                              <w:pPr>
                                <w:spacing w:before="0" w:after="0" w:line="228" w:lineRule="auto"/>
                                <w:jc w:val="center"/>
                                <w:ind w:firstLine="0"/>
                              </w:pPr>
                              <w:r>
                                <w:rPr>
                                  <w:rFonts w:ascii="Times New Roman" w:hAnsi="Times New Roman" w:cs="Times New Roman"/>
                                  <w:color w:val="000000"/>
                                  <w:sz w:val="18"/>
                                  <w:szCs w:val="18"/>
                                </w:rPr>
                                <w:t xml:space="preserve">kamsitib ko‘rsatish;</w:t>
                              </w:r>
                            </w:p>
                            <w:p>
                              <w:pPr>
                                <w:spacing w:before="0" w:after="0" w:line="228" w:lineRule="auto"/>
                                <w:jc w:val="center"/>
                                <w:ind w:firstLine="0"/>
                              </w:pPr>
                              <w:r>
                                <w:rPr>
                                  <w:rFonts w:ascii="Times New Roman" w:hAnsi="Times New Roman" w:cs="Times New Roman"/>
                                  <w:color w:val="000000"/>
                                  <w:sz w:val="18"/>
                                  <w:szCs w:val="18"/>
                                </w:rPr>
                                <w:t xml:space="preserve">MHXS 9 to‘liq emas</w:t>
                              </w:r>
                            </w:p>
                          </w:txbxContent>
                        </wps:txbx>
                        <wps:bodyPr rot="0" vert="horz" wrap="square" lIns="36000" tIns="18000" rIns="36000" bIns="18000" anchor="ctr" anchorCtr="0">
                          <a:noAutofit/>
                        </wps:bodyPr>
                      </wps:wsp>
                      <wps:wsp>
                        <wps:cNvPr id="42" name="Connector 42"/>
                        <wps:cNvCnPr/>
                        <wps:spPr>
                          <a:xfrm>
                            <a:off x="1762200" y="1854000"/>
                            <a:ext cx="1189800" cy="216000"/>
                          </a:xfrm>
                          <a:prstGeom prst="straightConnector1">
                            <a:avLst/>
                          </a:prstGeom>
                          <a:ln w="12700">
                            <a:solidFill>
                              <a:srgbClr val="7F7F7F"/>
                            </a:solidFill>
                            <a:tailEnd type="triangle" w="med" len="med"/>
                          </a:ln>
                        </wps:spPr>
                        <wps:bodyPr/>
                      </wps:wsp>
                      <wps:wsp>
                        <wps:cNvPr id="43"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44"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Axborot va</w:t>
                              </w:r>
                            </w:p>
                            <w:p>
                              <w:pPr>
                                <w:spacing w:before="0" w:after="0" w:line="228" w:lineRule="auto"/>
                                <w:jc w:val="center"/>
                                <w:ind w:firstLine="0"/>
                              </w:pPr>
                              <w:r>
                                <w:rPr>
                                  <w:rFonts w:ascii="Times New Roman" w:hAnsi="Times New Roman" w:cs="Times New Roman"/>
                                  <w:b/>
                                  <w:color w:val="FFFFFF"/>
                                  <w:sz w:val="20"/>
                                  <w:szCs w:val="20"/>
                                </w:rPr>
                                <w:t xml:space="preserve">shaffoflik</w:t>
                              </w:r>
                            </w:p>
                          </w:txbxContent>
                        </wps:txbx>
                        <wps:bodyPr rot="0" vert="horz" wrap="square" lIns="36000" tIns="18000" rIns="36000" bIns="18000" anchor="ctr" anchorCtr="0">
                          <a:noAutofit/>
                        </wps:bodyPr>
                      </wps:wsp>
                      <wps:wsp>
                        <wps:cNvPr id="45"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oshkoralik bo‘yicha</w:t>
                              </w:r>
                            </w:p>
                            <w:p>
                              <w:pPr>
                                <w:spacing w:before="0" w:after="0" w:line="228" w:lineRule="auto"/>
                                <w:jc w:val="center"/>
                                <w:ind w:firstLine="0"/>
                              </w:pPr>
                              <w:r>
                                <w:rPr>
                                  <w:rFonts w:ascii="Times New Roman" w:hAnsi="Times New Roman" w:cs="Times New Roman"/>
                                  <w:color w:val="000000"/>
                                  <w:sz w:val="18"/>
                                  <w:szCs w:val="18"/>
                                </w:rPr>
                                <w:t xml:space="preserve">minimal talablar yo‘q;</w:t>
                              </w:r>
                            </w:p>
                            <w:p>
                              <w:pPr>
                                <w:spacing w:before="0" w:after="0" w:line="228" w:lineRule="auto"/>
                                <w:jc w:val="center"/>
                                <w:ind w:firstLine="0"/>
                              </w:pPr>
                              <w:r>
                                <w:rPr>
                                  <w:rFonts w:ascii="Times New Roman" w:hAnsi="Times New Roman" w:cs="Times New Roman"/>
                                  <w:color w:val="000000"/>
                                  <w:sz w:val="18"/>
                                  <w:szCs w:val="18"/>
                                </w:rPr>
                                <w:t xml:space="preserve">milliy hisobot va MHXS</w:t>
                              </w:r>
                            </w:p>
                            <w:p>
                              <w:pPr>
                                <w:spacing w:before="0" w:after="0" w:line="228" w:lineRule="auto"/>
                                <w:jc w:val="center"/>
                                <w:ind w:firstLine="0"/>
                              </w:pPr>
                              <w:r>
                                <w:rPr>
                                  <w:rFonts w:ascii="Times New Roman" w:hAnsi="Times New Roman" w:cs="Times New Roman"/>
                                  <w:color w:val="000000"/>
                                  <w:sz w:val="18"/>
                                  <w:szCs w:val="18"/>
                                </w:rPr>
                                <w:t xml:space="preserve">farqi</w:t>
                              </w:r>
                            </w:p>
                          </w:txbxContent>
                        </wps:txbx>
                        <wps:bodyPr rot="0" vert="horz" wrap="square" lIns="36000" tIns="18000" rIns="36000" bIns="18000" anchor="ctr" anchorCtr="0">
                          <a:noAutofit/>
                        </wps:bodyPr>
                      </wps:wsp>
                      <wps:wsp>
                        <wps:cNvPr id="46" name="Connector 46"/>
                        <wps:cNvCnPr/>
                        <wps:spPr>
                          <a:xfrm>
                            <a:off x="2939400" y="1854000"/>
                            <a:ext cx="12600" cy="216000"/>
                          </a:xfrm>
                          <a:prstGeom prst="straightConnector1">
                            <a:avLst/>
                          </a:prstGeom>
                          <a:ln w="12700">
                            <a:solidFill>
                              <a:srgbClr val="7F7F7F"/>
                            </a:solidFill>
                            <a:tailEnd type="triangle" w="med" len="med"/>
                          </a:ln>
                        </wps:spPr>
                        <wps:bodyPr/>
                      </wps:wsp>
                      <wps:wsp>
                        <wps:cNvPr id="47" name="Connector 47"/>
                        <wps:cNvCnPr/>
                        <wps:spPr>
                          <a:xfrm>
                            <a:off x="2952000" y="396000"/>
                            <a:ext cx="1164600" cy="216000"/>
                          </a:xfrm>
                          <a:prstGeom prst="straightConnector1">
                            <a:avLst/>
                          </a:prstGeom>
                          <a:ln w="15875">
                            <a:solidFill>
                              <a:srgbClr val="404040"/>
                            </a:solidFill>
                            <a:tailEnd type="triangle" w="med" len="med"/>
                          </a:ln>
                        </wps:spPr>
                        <wps:bodyPr/>
                      </wps:wsp>
                      <wps:wsp>
                        <wps:cNvPr id="48"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Institutsional</w:t>
                              </w:r>
                            </w:p>
                          </w:txbxContent>
                        </wps:txbx>
                        <wps:bodyPr rot="0" vert="horz" wrap="square" lIns="36000" tIns="18000" rIns="36000" bIns="18000" anchor="ctr" anchorCtr="0">
                          <a:noAutofit/>
                        </wps:bodyPr>
                      </wps:wsp>
                      <wps:wsp>
                        <wps:cNvPr id="49"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davlat ulushi yuqori;</w:t>
                              </w:r>
                            </w:p>
                            <w:p>
                              <w:pPr>
                                <w:spacing w:before="0" w:after="0" w:line="228" w:lineRule="auto"/>
                                <w:jc w:val="center"/>
                                <w:ind w:firstLine="0"/>
                              </w:pPr>
                              <w:r>
                                <w:rPr>
                                  <w:rFonts w:ascii="Times New Roman" w:hAnsi="Times New Roman" w:cs="Times New Roman"/>
                                  <w:color w:val="000000"/>
                                  <w:sz w:val="18"/>
                                  <w:szCs w:val="18"/>
                                </w:rPr>
                                <w:t xml:space="preserve">konsolidatsiyalangan</w:t>
                              </w:r>
                            </w:p>
                            <w:p>
                              <w:pPr>
                                <w:spacing w:before="0" w:after="0" w:line="228" w:lineRule="auto"/>
                                <w:jc w:val="center"/>
                                <w:ind w:firstLine="0"/>
                              </w:pPr>
                              <w:r>
                                <w:rPr>
                                  <w:rFonts w:ascii="Times New Roman" w:hAnsi="Times New Roman" w:cs="Times New Roman"/>
                                  <w:color w:val="000000"/>
                                  <w:sz w:val="18"/>
                                  <w:szCs w:val="18"/>
                                </w:rPr>
                                <w:t xml:space="preserve">nazorat va sanatsiya</w:t>
                              </w:r>
                            </w:p>
                            <w:p>
                              <w:pPr>
                                <w:spacing w:before="0" w:after="0" w:line="228" w:lineRule="auto"/>
                                <w:jc w:val="center"/>
                                <w:ind w:firstLine="0"/>
                              </w:pPr>
                              <w:r>
                                <w:rPr>
                                  <w:rFonts w:ascii="Times New Roman" w:hAnsi="Times New Roman" w:cs="Times New Roman"/>
                                  <w:color w:val="000000"/>
                                  <w:sz w:val="18"/>
                                  <w:szCs w:val="18"/>
                                </w:rPr>
                                <w:t xml:space="preserve">rejimi shakllanmoqda</w:t>
                              </w:r>
                            </w:p>
                          </w:txbxContent>
                        </wps:txbx>
                        <wps:bodyPr rot="0" vert="horz" wrap="square" lIns="36000" tIns="18000" rIns="36000" bIns="18000" anchor="ctr" anchorCtr="0">
                          <a:noAutofit/>
                        </wps:bodyPr>
                      </wps:wsp>
                      <wps:wsp>
                        <wps:cNvPr id="5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51" name="Connector 51"/>
                        <wps:cNvCnPr/>
                        <wps:spPr>
                          <a:xfrm>
                            <a:off x="2952000" y="396000"/>
                            <a:ext cx="2341800" cy="216000"/>
                          </a:xfrm>
                          <a:prstGeom prst="straightConnector1">
                            <a:avLst/>
                          </a:prstGeom>
                          <a:ln w="15875">
                            <a:solidFill>
                              <a:srgbClr val="404040"/>
                            </a:solidFill>
                            <a:tailEnd type="triangle" w="med" len="med"/>
                          </a:ln>
                        </wps:spPr>
                        <wps:bodyPr/>
                      </wps:wsp>
                      <wps:wsp>
                        <wps:cNvPr id="52"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Baholash vositalari</w:t>
                              </w:r>
                            </w:p>
                          </w:txbxContent>
                        </wps:txbx>
                        <wps:bodyPr rot="0" vert="horz" wrap="square" lIns="36000" tIns="18000" rIns="36000" bIns="18000" anchor="ctr" anchorCtr="0">
                          <a:noAutofit/>
                        </wps:bodyPr>
                      </wps:wsp>
                      <wps:wsp>
                        <wps:cNvPr id="53"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erta ogohlantirish va</w:t>
                              </w:r>
                            </w:p>
                            <w:p>
                              <w:pPr>
                                <w:spacing w:before="0" w:after="0" w:line="228" w:lineRule="auto"/>
                                <w:jc w:val="center"/>
                                <w:ind w:firstLine="0"/>
                              </w:pPr>
                              <w:r>
                                <w:rPr>
                                  <w:rFonts w:ascii="Times New Roman" w:hAnsi="Times New Roman" w:cs="Times New Roman"/>
                                  <w:color w:val="000000"/>
                                  <w:sz w:val="18"/>
                                  <w:szCs w:val="18"/>
                                </w:rPr>
                                <w:t xml:space="preserve">PCA yo‘q; 2-ustun yo‘q;</w:t>
                              </w:r>
                            </w:p>
                            <w:p>
                              <w:pPr>
                                <w:spacing w:before="0" w:after="0" w:line="228" w:lineRule="auto"/>
                                <w:jc w:val="center"/>
                                <w:ind w:firstLine="0"/>
                              </w:pPr>
                              <w:r>
                                <w:rPr>
                                  <w:rFonts w:ascii="Times New Roman" w:hAnsi="Times New Roman" w:cs="Times New Roman"/>
                                  <w:color w:val="000000"/>
                                  <w:sz w:val="18"/>
                                  <w:szCs w:val="18"/>
                                </w:rPr>
                                <w:t xml:space="preserve">reytinglar yopiq; integral</w:t>
                              </w:r>
                            </w:p>
                            <w:p>
                              <w:pPr>
                                <w:spacing w:before="0" w:after="0" w:line="228" w:lineRule="auto"/>
                                <w:jc w:val="center"/>
                                <w:ind w:firstLine="0"/>
                              </w:pPr>
                              <w:r>
                                <w:rPr>
                                  <w:rFonts w:ascii="Times New Roman" w:hAnsi="Times New Roman" w:cs="Times New Roman"/>
                                  <w:color w:val="000000"/>
                                  <w:sz w:val="18"/>
                                  <w:szCs w:val="18"/>
                                </w:rPr>
                                <w:t xml:space="preserve">ko‘rsatkich yo‘q</w:t>
                              </w:r>
                            </w:p>
                          </w:txbxContent>
                        </wps:txbx>
                        <wps:bodyPr rot="0" vert="horz" wrap="square" lIns="36000" tIns="18000" rIns="36000" bIns="18000" anchor="ctr" anchorCtr="0">
                          <a:noAutofit/>
                        </wps:bodyPr>
                      </wps:wsp>
                      <wps:wsp>
                        <wps:cNvPr id="54"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55"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2.1.5-rasm. Banklar moliyaviy barqarorligini baholashni xalqaro standartlarga moslashtirish muammolari</w:t>
      </w:r>
      <w:r>
        <w:rPr>
          <w:rStyle w:val="FootnoteReference"/>
        </w:rPr>
        <w:footnoteReference w:id="256"/>
      </w:r>
    </w:p>
    <w:p>
      <w:pPr>
        <w:pStyle w:val="BodyText"/>
        <w:spacing w:line="360" w:lineRule="auto" w:before="0" w:after="0"/>
        <w:ind w:firstLine="709"/>
        <w:jc w:val="both"/>
      </w:pPr>
      <w:r>
        <w:rPr>
          <w:bCs/>
          <w:rFonts w:ascii="Times New Roman" w:hAnsi="Times New Roman" w:cs="Times New Roman" w:eastAsia="Times New Roman"/>
          <w:b/>
          <w:sz w:val="28"/>
        </w:rPr>
        <w:t xml:space="preserve">Birinchi guruh – kapitalni o‘lchash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O‘zbekistonda miqdoriy kapital talablari xalqaro minimumlardan yuqori, ammo kapitalning</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sifati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ularga to‘liq mos emas. Subordinar qarzlarning sezilarli qismi Bazel talab qiladigan yo‘qotishni qoplash xususiyatiga ega emas, risk bo‘yicha tortilgan aktivlarni hisoblashda ham Bazel metodikasidan chetlanishlar bor</w:t>
      </w:r>
      <w:r>
        <w:rPr>
          <w:rStyle w:val="FootnoteReference"/>
        </w:rPr>
        <w:footnoteReference w:id="257"/>
      </w:r>
      <w:r>
        <w:rPr>
          <w:rFonts w:ascii="Times New Roman" w:hAnsi="Times New Roman" w:cs="Times New Roman" w:eastAsia="Times New Roman"/>
          <w:sz w:val="28"/>
        </w:rPr>
        <w:t xml:space="preserve">. Natijada e’lon qilinadigan yuqori kapital monandligi ko‘rsatkichi bankning yo‘qotishlarni qoplash qobiliyatini qisman oshirib ko‘rsatishi mumkin. Bu holat moliyaviy barqarorlikni baholashda kapital ko‘rsatkichini yagona yoki asosiy mezon sifatida qo‘llash xavfli ekanini ko‘rsatadi.</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guruh – aktivlar sifatini baholash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FootnoteReference"/>
        </w:rPr>
        <w:footnoteReference w:id="258"/>
      </w:r>
      <w:r>
        <w:rPr>
          <w:rFonts w:ascii="Times New Roman" w:hAnsi="Times New Roman" w:cs="Times New Roman" w:eastAsia="Times New Roman"/>
          <w:sz w:val="28"/>
        </w:rPr>
        <w:t xml:space="preserve">.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FootnoteReference"/>
        </w:rPr>
        <w:footnoteReference w:id="259"/>
      </w:r>
      <w:r>
        <w:rPr>
          <w:rFonts w:ascii="Times New Roman" w:hAnsi="Times New Roman" w:cs="Times New Roman" w:eastAsia="Times New Roman"/>
          <w:sz w:val="28"/>
        </w:rPr>
        <w:t xml:space="preserve">. Bu kamchiliklar e’lon qilinadigan muammoli kreditlar ulushining haqiqiy riskni to‘liq aks ettirmasligiga olib kelishi mumkin.</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guruh – axborot va shaffoflik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FootnoteReference"/>
        </w:rPr>
        <w:footnoteReference w:id="260"/>
      </w:r>
      <w:r>
        <w:rPr>
          <w:rFonts w:ascii="Times New Roman" w:hAnsi="Times New Roman" w:cs="Times New Roman" w:eastAsia="Times New Roman"/>
          <w:sz w:val="28"/>
        </w:rPr>
        <w:t xml:space="preserve">. Hukumat va Markaziy bank barcha tijorat banklarini MHXS ga to‘liq o‘tkazishni maqsad qilib qo‘ygan</w:t>
      </w:r>
      <w:r>
        <w:rPr>
          <w:rStyle w:val="FootnoteReference"/>
        </w:rPr>
        <w:footnoteReference w:id="261"/>
      </w:r>
      <w:r>
        <w:rPr>
          <w:rFonts w:ascii="Times New Roman" w:hAnsi="Times New Roman" w:cs="Times New Roman" w:eastAsia="Times New Roman"/>
          <w:sz w:val="28"/>
        </w:rPr>
        <w:t xml:space="preserve">. Bu jarayon yakunlanmaguncha milliy hisobot va MHXS bo‘yicha ko‘rsatkichlar farq qilishi davom etadi, bu esa baholash natijalarining taqqoslanuvchanligini pasaytiradi.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guruh – institutsional muammolar.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 bank tizimida davlat ulushi yuqori, bu esa xalqaro standartlarni qo‘llashda o‘ziga xos 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FootnoteReference"/>
        </w:rPr>
        <w:footnoteReference w:id="262"/>
      </w:r>
      <w:r>
        <w:rPr>
          <w:rFonts w:ascii="Times New Roman" w:hAnsi="Times New Roman" w:cs="Times New Roman" w:eastAsia="Times New Roman"/>
          <w:sz w:val="28"/>
        </w:rPr>
        <w:t xml:space="preserve">.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FootnoteReference"/>
        </w:rPr>
        <w:footnoteReference w:id="263"/>
      </w:r>
      <w:r>
        <w:rPr>
          <w:rFonts w:ascii="Times New Roman" w:hAnsi="Times New Roman" w:cs="Times New Roman" w:eastAsia="Times New Roman"/>
          <w:sz w:val="28"/>
        </w:rPr>
        <w:t xml:space="preserve">. Bundan tashqari, konsolidatsiyalangan nazorat, banklarni sanatsiya qilish rejimi va Moliyaviy barqarorlik kengashi hali shakllanish bosqichida.</w:t>
      </w:r>
    </w:p>
    <w:p>
      <w:pPr>
        <w:pStyle w:val="BodyText"/>
        <w:spacing w:line="360" w:lineRule="auto" w:before="0" w:after="0"/>
        <w:ind w:firstLine="709"/>
        <w:jc w:val="both"/>
      </w:pPr>
      <w:r>
        <w:rPr>
          <w:bCs/>
          <w:rFonts w:ascii="Times New Roman" w:hAnsi="Times New Roman" w:cs="Times New Roman" w:eastAsia="Times New Roman"/>
          <w:b/>
          <w:sz w:val="28"/>
        </w:rPr>
        <w:t xml:space="preserve">Beshinchi guruh – baholash vositalari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FootnoteReference"/>
        </w:rPr>
        <w:footnoteReference w:id="264"/>
      </w:r>
      <w:r>
        <w:rPr>
          <w:rFonts w:ascii="Times New Roman" w:hAnsi="Times New Roman" w:cs="Times New Roman" w:eastAsia="Times New Roman"/>
          <w:sz w:val="28"/>
        </w:rPr>
        <w:t xml:space="preserve">. To‘lov qobiliyati bo‘yicha makro stress-test MHXS 9 asosidagi muammoli kreditlar ma’lumotlari to‘liq shakllangandan keyingina shu ma’lumotlarga tayanadigan bo‘ladi</w:t>
      </w:r>
      <w:r>
        <w:rPr>
          <w:rStyle w:val="FootnoteReference"/>
        </w:rPr>
        <w:footnoteReference w:id="265"/>
      </w:r>
      <w:r>
        <w:rPr>
          <w:rFonts w:ascii="Times New Roman" w:hAnsi="Times New Roman" w:cs="Times New Roman" w:eastAsia="Times New Roman"/>
          <w:sz w:val="28"/>
        </w:rPr>
        <w:t xml:space="preserve">. Risklarga asoslangan nazorat doirasidagi reyting baholari esa yopiq. Natijada bank barqarorligini ochiq ma’lumotlar asosida, yagona integral ko‘rsatkich bilan va bashorat elementi bilan baholaydigan vosita mavjud emas.</w:t>
      </w:r>
    </w:p>
    <w:p>
      <w:pPr>
        <w:pStyle w:val="BodyText"/>
        <w:spacing w:line="360" w:lineRule="auto" w:before="0" w:after="0"/>
        <w:ind w:firstLine="709"/>
        <w:jc w:val="both"/>
      </w:pPr>
      <w:r>
        <w:rPr>
          <w:rFonts w:ascii="Times New Roman" w:hAnsi="Times New Roman" w:cs="Times New Roman" w:eastAsia="Times New Roman"/>
          <w:sz w:val="28"/>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choragida yakunlanishi rejalashtirilgan</w:t>
      </w:r>
      <w:r>
        <w:rPr>
          <w:rStyle w:val="FootnoteReference"/>
        </w:rPr>
        <w:footnoteReference w:id="266"/>
      </w:r>
      <w:r>
        <w:rPr>
          <w:rFonts w:ascii="Times New Roman" w:hAnsi="Times New Roman" w:cs="Times New Roman" w:eastAsia="Times New Roman"/>
          <w:sz w:val="28"/>
        </w:rPr>
        <w:t xml:space="preserve">. Demak, baholash tizimining mazmuniy elementlarini xalqaro standartlarga moslashtirish o‘tish davri kamida 2027–2028-yillargacha davom etadi.</w:t>
      </w:r>
    </w:p>
    <w:bookmarkEnd w:id="8"/>
    <w:bookmarkStart w:id="10" w:name="paragraf-boyicha-xulosa"/>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Paragraf bo‘yicha xulosa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uch darajada – prudensial normativlar, risklarga asoslangan nazorat va makroprudensial monitoring orqali amalga oshiriladi. 2025-yilda yangi kapital nizomi va Bazel III kapital buferlarining joriy etilishi bilan me’yoriy baza sezilarli darajada yangilandi.</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Bank tizimining kapital ko‘rsatkichlari regulyativ minimumlardan ancha yuqori, ammo salbiy stress-ssenariy kapitalning katta qismi jiddiy shok sharoitida yo‘qolishi mumkinligini ko‘rsatadi. Demak, bir sanadagi kapital ko‘rsatkichiga tayanuvchi baholash yetarli emas.</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bookmarkEnd w:id="9"/>
    <w:bookmarkEnd w:id="10"/>
    <w:bookmarkStart w:id="11" w:name="X637944ed30af1a5c7e12bfca1a7866b67ed51e5"/>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67"/>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68"/>
      </w:r>
      <w:r>
        <w:rPr>
          <w:rStyle w:val="FootnoteReference"/>
        </w:rPr>
        <w:footnoteReference w:id="269"/>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70"/>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71"/>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72"/>
      </w:r>
      <w:r>
        <w:rPr>
          <w:rFonts w:ascii="Times New Roman" w:hAnsi="Times New Roman" w:cs="Times New Roman" w:eastAsia="Times New Roman"/>
          <w:sz w:val="28"/>
        </w:rPr>
        <w:t xml:space="preserve">.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FootnoteReference"/>
        </w:rPr>
        <w:footnoteReference w:id="27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5" name="2.2.1-rasm"/>
            <wp:cNvGraphicFramePr/>
            <a:graphic>
              <a:graphicData uri="http://schemas.openxmlformats.org/drawingml/2006/chart">
                <c:chart r:id="rId2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ulushi mavjud banklarning bank tizimidagi ulushi, %</w:t>
      </w:r>
      <w:r>
        <w:rPr>
          <w:rStyle w:val="FootnoteReference"/>
        </w:rPr>
        <w:footnoteReference w:id="27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barcha uch ko‘rsatkich bo‘yicha izchil kamayib bormoqda, eng katta pasayish esa 2023-yilga to‘g‘ri keladi, biroq ular hali ham tizimda ustun mavqega ega. E’tiborli jihati shundaki, 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75"/>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7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2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6" name="2.2.2-rasm"/>
            <wp:cNvGraphicFramePr/>
            <a:graphic>
              <a:graphicData uri="http://schemas.openxmlformats.org/drawingml/2006/chart">
                <c:chart r:id="rId2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278"/>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279"/>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280"/>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281"/>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282"/>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28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284"/>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285"/>
      </w:r>
      <w:r>
        <w:rPr>
          <w:rFonts w:ascii="Times New Roman" w:hAnsi="Times New Roman" w:cs="Times New Roman" w:eastAsia="Times New Roman"/>
          <w:sz w:val="28"/>
        </w:rPr>
        <w:t xml:space="preserve">, 2023-yil oxirida 19,5 foizni (shundan substandart kreditlar 16 foiz, muammoli kreditlar 3,5 foiz)</w:t>
      </w:r>
      <w:r>
        <w:rPr>
          <w:rStyle w:val="FootnoteReference"/>
        </w:rPr>
        <w:footnoteReference w:id="286"/>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28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 Jahon banki ma’lumotlariga ko‘ra, 2023-yil oxirida MHXS 9 bo‘yicha 3-bosqichdagi kreditlar ulushi 7,8 foiz bo‘lib, rasmiy ko‘rsatkichdan qariyb ikki barobar yuqori bo‘lgan</w:t>
      </w:r>
      <w:r>
        <w:rPr>
          <w:rStyle w:val="FootnoteReference"/>
        </w:rPr>
        <w:footnoteReference w:id="288"/>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7" name="2.2.3-rasm"/>
            <wp:cNvGraphicFramePr/>
            <a:graphic>
              <a:graphicData uri="http://schemas.openxmlformats.org/drawingml/2006/chart">
                <c:chart r:id="rId2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289"/>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290"/>
      </w:r>
      <w:r>
        <w:rPr>
          <w:rFonts w:ascii="Times New Roman" w:hAnsi="Times New Roman" w:cs="Times New Roman" w:eastAsia="Times New Roman"/>
          <w:sz w:val="28"/>
        </w:rPr>
        <w:t xml:space="preserve">, 2022–2025-yillarda esa 36,7–52,6 foiz oralig‘ida bo‘lgan</w:t>
      </w:r>
      <w:r>
        <w:rPr>
          <w:rStyle w:val="FootnoteReference"/>
        </w:rPr>
        <w:footnoteReference w:id="291"/>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292"/>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293"/>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29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8" name="2.2.4-rasm"/>
            <wp:cNvGraphicFramePr/>
            <a:graphic>
              <a:graphicData uri="http://schemas.openxmlformats.org/drawingml/2006/chart">
                <c:chart r:id="rId2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295"/>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296"/>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297"/>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298"/>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29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9" name="2.2.5-rasm"/>
            <wp:cNvGraphicFramePr/>
            <a:graphic>
              <a:graphicData uri="http://schemas.openxmlformats.org/drawingml/2006/chart">
                <c:chart r:id="rId2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300"/>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30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0" name="2.2.6-rasm"/>
            <wp:cNvGraphicFramePr/>
            <a:graphic>
              <a:graphicData uri="http://schemas.openxmlformats.org/drawingml/2006/chart">
                <c:chart r:id="rId2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30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303"/>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1" name="2.2.7-rasm"/>
            <wp:cNvGraphicFramePr/>
            <a:graphic>
              <a:graphicData uri="http://schemas.openxmlformats.org/drawingml/2006/chart">
                <c:chart r:id="rId2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MHXS 9 bo‘yicha 3-bosqich kreditlari va rasmiy muammoli kreditlar ulushi, %</w:t>
      </w:r>
      <w:r>
        <w:rPr>
          <w:rStyle w:val="FootnoteReference"/>
        </w:rPr>
        <w:footnoteReference w:id="3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bo‘lgan</w:t>
      </w:r>
      <w:r>
        <w:rPr>
          <w:rStyle w:val="FootnoteReference"/>
        </w:rPr>
        <w:footnoteReference w:id="305"/>
      </w:r>
      <w:r>
        <w:rPr>
          <w:rStyle w:val="FootnoteReference"/>
        </w:rPr>
        <w:footnoteReference w:id="306"/>
      </w:r>
      <w:r>
        <w:rPr>
          <w:rFonts w:ascii="Times New Roman" w:hAnsi="Times New Roman" w:cs="Times New Roman" w:eastAsia="Times New Roman"/>
          <w:sz w:val="28"/>
        </w:rPr>
        <w:t xml:space="preserve">. Bundan ham muhimi, bankda 2-bosqich, ya’ni kredit riski sezilarli oshgan kreditlar ulushi 2023-yildagi 15,8 foizdan 2024-yilda 27,1 foizga, 2025-yilda esa 35,7 foizga ko‘tarilgan</w:t>
      </w:r>
      <w:r>
        <w:rPr>
          <w:rStyle w:val="FootnoteReference"/>
        </w:rPr>
        <w:footnoteReference w:id="307"/>
      </w:r>
      <w:r>
        <w:rPr>
          <w:rFonts w:ascii="Times New Roman" w:hAnsi="Times New Roman" w:cs="Times New Roman" w:eastAsia="Times New Roman"/>
          <w:sz w:val="28"/>
        </w:rPr>
        <w:t xml:space="preserve">,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FootnoteReference"/>
        </w:rPr>
        <w:footnoteReference w:id="308"/>
      </w:r>
      <w:r>
        <w:rPr>
          <w:rFonts w:ascii="Times New Roman" w:hAnsi="Times New Roman" w:cs="Times New Roman" w:eastAsia="Times New Roman"/>
          <w:sz w:val="28"/>
        </w:rPr>
        <w:t xml:space="preserve">. Taqqoslash uchun, 2020-yil oxirida bu bankda 3-bosqich kreditlari ulushi atigi 2,4 foizni, 2-bosqich kreditlari ulushi esa 5,1 foizni tashkil etgan, «O‘zsanoatqurilishbank» ATB da esa mos ravishda 6,6 va 29,3 foiz bo‘lgan</w:t>
      </w:r>
      <w:r>
        <w:rPr>
          <w:rStyle w:val="FootnoteReference"/>
        </w:rPr>
        <w:footnoteReference w:id="309"/>
      </w:r>
      <w:r>
        <w:rPr>
          <w:rFonts w:ascii="Times New Roman" w:hAnsi="Times New Roman" w:cs="Times New Roman" w:eastAsia="Times New Roman"/>
          <w:sz w:val="28"/>
        </w:rPr>
        <w:t xml:space="preserve">. Demak,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(2.2.8-rasm).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2" name="2.2.8-rasm"/>
            <wp:cNvGraphicFramePr/>
            <a:graphic>
              <a:graphicData uri="http://schemas.openxmlformats.org/drawingml/2006/chart">
                <c:chart r:id="rId2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2.2.8-rasm. «O‘zsanoatqurilishbank» ATB va «Mikrokreditbank» ATB da kapital rentabelligi (ROE), %</w:t>
      </w:r>
      <w:r>
        <w:rPr>
          <w:rStyle w:val="FootnoteReference"/>
        </w:rPr>
        <w:footnoteReference w:id="310"/>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311"/>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312"/>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31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11"/>
    <w:bookmarkStart w:id="12" w:name="Xbcd6da71180214302fa2c75f57626c82e5c9a7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2.3-§. Tijorat banklari moliyaviy ko‘rsatkichlarining milliy va MHXS hisobotlari bo‘yicha qiyosiy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FootnoteReference"/>
        </w:rPr>
        <w:footnoteReference w:id="314"/>
      </w:r>
      <w:r>
        <w:rPr>
          <w:rFonts w:ascii="Times New Roman" w:hAnsi="Times New Roman" w:cs="Times New Roman" w:eastAsia="Times New Roman"/>
          <w:sz w:val="28"/>
        </w:rPr>
        <w:t xml:space="preserve">, prudensial nazorat, ya’ni kapital yetarliligi, aktivlar sifati va likvidlik me’yorlariga rioya etilishi hamon milliy buxgalteriya hisobi va Markaziy bankning aktivlarni tasniflash qoidalari asosida tuzilgan hisobotlar bo‘yicha amalga oshiriladi</w:t>
      </w:r>
      <w:r>
        <w:rPr>
          <w:rStyle w:val="FootnoteReference"/>
        </w:rPr>
        <w:footnoteReference w:id="315"/>
      </w:r>
      <w:r>
        <w:rPr>
          <w:rFonts w:ascii="Times New Roman" w:hAnsi="Times New Roman" w:cs="Times New Roman" w:eastAsia="Times New Roman"/>
          <w:sz w:val="28"/>
        </w:rPr>
        <w:t xml:space="preserve">.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pPr>
        <w:pStyle w:val="BodyText"/>
        <w:spacing w:line="360" w:lineRule="auto" w:before="0" w:after="0"/>
        <w:ind w:firstLine="709"/>
        <w:jc w:val="both"/>
      </w:pPr>
      <w:r>
        <w:rPr>
          <w:rFonts w:ascii="Times New Roman" w:hAnsi="Times New Roman" w:cs="Times New Roman" w:eastAsia="Times New Roman"/>
          <w:sz w:val="28"/>
        </w:rPr>
        <w:t xml:space="preserve">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FootnoteReference"/>
        </w:rPr>
        <w:footnoteReference w:id="316"/>
      </w:r>
      <w:r>
        <w:rPr>
          <w:rFonts w:ascii="Times New Roman" w:hAnsi="Times New Roman" w:cs="Times New Roman" w:eastAsia="Times New Roman"/>
          <w:sz w:val="28"/>
        </w:rPr>
        <w:t xml:space="preserve">. Bundan oldin qo‘mita banklarga kutilgan kredit zararlarini baholashda buxgalteriya talablari va kredit riskini boshqarish amaliyotini o‘zaro uyg‘unlashtirish bo‘yicha alohida yo‘riqnoma bergan edi</w:t>
      </w:r>
      <w:r>
        <w:rPr>
          <w:rStyle w:val="FootnoteReference"/>
        </w:rPr>
        <w:footnoteReference w:id="317"/>
      </w:r>
      <w:r>
        <w:rPr>
          <w:rFonts w:ascii="Times New Roman" w:hAnsi="Times New Roman" w:cs="Times New Roman" w:eastAsia="Times New Roman"/>
          <w:sz w:val="28"/>
        </w:rPr>
        <w:t xml:space="preserve">.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FootnoteReference"/>
        </w:rPr>
        <w:footnoteReference w:id="318"/>
      </w:r>
      <w:r>
        <w:rPr>
          <w:rFonts w:ascii="Times New Roman" w:hAnsi="Times New Roman" w:cs="Times New Roman" w:eastAsia="Times New Roman"/>
          <w:sz w:val="28"/>
        </w:rPr>
        <w:t xml:space="preserve">.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FootnoteReference"/>
        </w:rPr>
        <w:footnoteReference w:id="319"/>
      </w:r>
      <w:r>
        <w:rPr>
          <w:rFonts w:ascii="Times New Roman" w:hAnsi="Times New Roman" w:cs="Times New Roman" w:eastAsia="Times New Roman"/>
          <w:sz w:val="28"/>
        </w:rPr>
        <w:t xml:space="preserve">. J. Abad va J. Suarez kutilgan kredit zararlari modeli zaxiralarni iqtisodiy pasayish boshlanishida keskin oshirib, kapitalga bosimni avvalgi modelga nisbatan ertaroq yuzaga keltirishini isbotlagan</w:t>
      </w:r>
      <w:r>
        <w:rPr>
          <w:rStyle w:val="FootnoteReference"/>
        </w:rPr>
        <w:footnoteReference w:id="320"/>
      </w:r>
      <w:r>
        <w:rPr>
          <w:rFonts w:ascii="Times New Roman" w:hAnsi="Times New Roman" w:cs="Times New Roman" w:eastAsia="Times New Roman"/>
          <w:sz w:val="28"/>
        </w:rPr>
        <w:t xml:space="preserve">. Rossiya iqtisodchisi N.E. Sokolinskaya bank moliyaviy holatini MHXS asosida tahlil qilish milliy hisobotga nisbatan aktivlar sifati va kapitalning haqiqiy darajasini aniqroq ko‘rsatishini ta’kidlagan</w:t>
      </w:r>
      <w:r>
        <w:rPr>
          <w:rStyle w:val="FootnoteReference"/>
        </w:rPr>
        <w:footnoteReference w:id="321"/>
      </w:r>
      <w:r>
        <w:rPr>
          <w:rFonts w:ascii="Times New Roman" w:hAnsi="Times New Roman" w:cs="Times New Roman" w:eastAsia="Times New Roman"/>
          <w:sz w:val="28"/>
        </w:rPr>
        <w:t xml:space="preserve">. Bu tadqiqotlar bitta umumiy xulosaga olib keladi: hisobot standarti moliyaviy barqarorlik ko‘rsatkichlarining shunchaki texnik sharti emas, balki baholash natijasini o‘zgartira oladigan mustaqil omildir.</w:t>
      </w:r>
    </w:p>
    <w:p>
      <w:pPr>
        <w:pStyle w:val="BodyText"/>
        <w:spacing w:line="360" w:lineRule="auto" w:before="0" w:after="0"/>
        <w:ind w:firstLine="709"/>
        <w:jc w:val="both"/>
      </w:pPr>
      <w:r>
        <w:rPr>
          <w:rFonts w:ascii="Times New Roman" w:hAnsi="Times New Roman" w:cs="Times New Roman" w:eastAsia="Times New Roman"/>
          <w:sz w:val="28"/>
        </w:rPr>
        <w:t xml:space="preserve">O‘zbekiston amaliyotida ikki hisobot o‘rtasidagi farqlar bir nechta manbadan kelib chiqadi. Ularni tadqiq etilgan banklarning auditdan o‘tgan hisobotlari va Markaziy bankning me’yoriy hujjatlarini solishtirish asosida tizimlashtirish mumkin (2.3.1-jadval).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Milliy prudensial hisobot va MHXS bo‘yicha hisobot o‘rtasidagi asosiy farqlar</w:t>
      </w:r>
      <w:r>
        <w:rPr>
          <w:rStyle w:val="FootnoteReference"/>
        </w:rPr>
        <w:footnoteReference w:id="32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2494"/>
        <w:gridCol w:w="2608"/>
        <w:gridCol w:w="2494"/>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prudensial hisobot</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bo‘yicha hisobot</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Ko‘rsatkichlarga ta’siri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doirasi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Alohida bank</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Bank guruhi (sho‘ba korxonalar bilan birga)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kapital va foyda tarkibi o‘zgaradi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Kreditlarni tasniflash asosi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Besh toifa: standart, substandart, qoniqarsiz, shubhali, umidsiz; asosiy mezon – muddati o‘tgan kunlar</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Uch bosqich: 1-bosqich, kredit riski sezilarli oshgan 2-bosqich, kredit qadrsizlangan 3-bosqich; restrukturizatsiya, defolt tarixi va kelajakka yo‘naltirilgan ma’lumotlar ham hisobga olinadi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MHXS bo‘yicha yuqori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Zaxira shakllantirish</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Toifa bo‘yicha qat’iy stavkalar: 1, 10, 25, 50 va 100 foiz</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Kutilgan kredit zararlari: defolt ehtimoli, defolt holatidagi yo‘qotish va riskdagi summa asosida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Zaxiralar va zararlar MHXS bo‘yicha ko‘proq va ertaroq tan olinadi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Bozor stavkasidan past stavkadagi kreditlar va resurslar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Nominal qiymatda aks ettiriladi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Haqqoniy qiymatda tan olinadi, farq dastlabki tan olishdagi foyda yoki zarar sifatida ko‘rsatiladi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dasturlari bo‘yicha imtiyozli operatsiyalar foydaga ta’sir qiladi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Regulyativ kapital</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Milliy buxgalteriya hisobi asosida hisoblanadi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Hisoblanmaydi, faqat oshkor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bo‘yicha kapital farqi kapital monandligida aks etmaydi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muddati va oshkoralik</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oylik, choraklik; asosiy shakllar e’lon qilinadi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Yillik, auditorlik xulosasi bilan; bosqichlar, garov va risklar bo‘yicha batafsil izohlar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chuqurroq, ammo kechroq ma’lumot beradi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ikki hisobot o‘rtasidagi farqlarning eng muhimlari kreditlarni tasniflash va zaxira shakllantirish qoidalari bilan bog‘liq. Milliy tizimda zaxira miqdori kreditning toifasiga qarab qat’iy stavkalarda belgilanadi</w:t>
      </w:r>
      <w:r>
        <w:rPr>
          <w:rStyle w:val="FootnoteReference"/>
        </w:rPr>
        <w:footnoteReference w:id="323"/>
      </w:r>
      <w:r>
        <w:rPr>
          <w:rFonts w:ascii="Times New Roman" w:hAnsi="Times New Roman" w:cs="Times New Roman" w:eastAsia="Times New Roman"/>
          <w:sz w:val="28"/>
        </w:rPr>
        <w:t xml:space="preserve">.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FootnoteReference"/>
        </w:rPr>
        <w:footnoteReference w:id="324"/>
      </w:r>
      <w:r>
        <w:rPr>
          <w:rFonts w:ascii="Times New Roman" w:hAnsi="Times New Roman" w:cs="Times New Roman" w:eastAsia="Times New Roman"/>
          <w:sz w:val="28"/>
        </w:rPr>
        <w:t xml:space="preserve">. MHXS 9 da esa zaxira har bir kredit yoki kreditlar guruhi bo‘yicha defolt ehtimoli, garov qiymati va kutilayotgan undirish summasini hisobga olgan holda aniqlanadi</w:t>
      </w:r>
      <w:r>
        <w:rPr>
          <w:rStyle w:val="FootnoteReference"/>
        </w:rPr>
        <w:footnoteReference w:id="325"/>
      </w:r>
      <w:r>
        <w:rPr>
          <w:rFonts w:ascii="Times New Roman" w:hAnsi="Times New Roman" w:cs="Times New Roman" w:eastAsia="Times New Roman"/>
          <w:sz w:val="28"/>
        </w:rPr>
        <w:t xml:space="preserve">. Shu bilan birga, ikki tizimdagi farq zaxiradan boshlanib, ketma-ket bir necha ko‘rsatkichga o‘tadi: tasniflash farqi zaxiraga, zaxira foydaga, foyda kapitalga, kapital esa kapital monandligi va sof barqaror moliyalashtirish me’yoriga ta’sir qiladi (2.3.1-rasm).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6012000" cy="2160000"/>
                <wp:effectExtent l="0" t="0" r="0" b="0"/>
                <wp:docPr id="33" name="2.3.1-rasm"/>
                <wp:cNvGraphicFramePr/>
                <a:graphic>
                  <a:graphicData uri="http://schemas.microsoft.com/office/word/2010/wordprocessingGroup">
                    <wpg:wgp>
                      <wpg:cNvGrpSpPr/>
                      <wpg:grpSpPr>
                        <a:xfrm>
                          <a:off x="0" y="0"/>
                          <a:ext cx="6012000" cy="2160000"/>
                          <a:chOff x="0" y="0"/>
                          <a:chExt cx="6012000" cy="2160000"/>
                        </a:xfrm>
                      </wpg:grpSpPr>
                      <wps:wsp>
                        <wps:cNvPr id="2"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Kreditlarni</w:t>
                              </w:r>
                            </w:p>
                            <w:p>
                              <w:pPr>
                                <w:spacing w:before="0" w:after="0" w:line="228" w:lineRule="auto"/>
                                <w:jc w:val="center"/>
                                <w:ind w:firstLine="0"/>
                              </w:pPr>
                              <w:r>
                                <w:rPr>
                                  <w:rFonts w:ascii="Times New Roman" w:hAnsi="Times New Roman" w:cs="Times New Roman"/>
                                  <w:b/>
                                  <w:color w:val="FFFFFF"/>
                                  <w:sz w:val="22"/>
                                  <w:szCs w:val="22"/>
                                </w:rPr>
                                <w:t xml:space="preserve">tasniflash</w:t>
                              </w:r>
                            </w:p>
                          </w:txbxContent>
                        </wps:txbx>
                        <wps:bodyPr rot="0" vert="horz" wrap="square" lIns="36000" tIns="18000" rIns="36000" bIns="18000" anchor="ctr" anchorCtr="0">
                          <a:noAutofit/>
                        </wps:bodyPr>
                      </wps:wsp>
                      <wps:wsp>
                        <wps:cNvPr id="3"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Toifa (milliy) /</w:t>
                              </w:r>
                            </w:p>
                            <w:p>
                              <w:pPr>
                                <w:spacing w:before="0" w:after="0" w:line="228" w:lineRule="auto"/>
                                <w:jc w:val="center"/>
                                <w:ind w:firstLine="0"/>
                              </w:pPr>
                              <w:r>
                                <w:rPr>
                                  <w:rFonts w:ascii="Times New Roman" w:hAnsi="Times New Roman" w:cs="Times New Roman"/>
                                  <w:color w:val="000000"/>
                                  <w:sz w:val="20"/>
                                  <w:szCs w:val="20"/>
                                </w:rPr>
                                <w:t xml:space="preserve">bosqich (MHXS 9)</w:t>
                              </w:r>
                            </w:p>
                          </w:txbxContent>
                        </wps:txbx>
                        <wps:bodyPr rot="0" vert="horz" wrap="square" lIns="36000" tIns="18000" rIns="36000" bIns="18000" anchor="ctr" anchorCtr="0">
                          <a:noAutofit/>
                        </wps:bodyPr>
                      </wps:wsp>
                      <wps:wsp>
                        <wps:cNvPr id="4" name="Connector 4"/>
                        <wps:cNvCnPr/>
                        <wps:spPr>
                          <a:xfrm>
                            <a:off x="1051200" y="378000"/>
                            <a:ext cx="201600" cy="0"/>
                          </a:xfrm>
                          <a:prstGeom prst="straightConnector1">
                            <a:avLst/>
                          </a:prstGeom>
                          <a:ln w="19050">
                            <a:solidFill>
                              <a:srgbClr val="404040"/>
                            </a:solidFill>
                            <a:tailEnd type="triangle" w="med" len="med"/>
                          </a:ln>
                        </wps:spPr>
                        <wps:bodyPr/>
                      </wps:wsp>
                      <wps:wsp>
                        <wps:cNvPr id="5"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Zaxiralar</w:t>
                              </w:r>
                            </w:p>
                          </w:txbxContent>
                        </wps:txbx>
                        <wps:bodyPr rot="0" vert="horz" wrap="square" lIns="36000" tIns="18000" rIns="36000" bIns="18000" anchor="ctr" anchorCtr="0">
                          <a:noAutofit/>
                        </wps:bodyPr>
                      </wps:wsp>
                      <wps:wsp>
                        <wps:cNvPr id="6"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Qat’iy stavkalar /</w:t>
                              </w:r>
                            </w:p>
                            <w:p>
                              <w:pPr>
                                <w:spacing w:before="0" w:after="0" w:line="228" w:lineRule="auto"/>
                                <w:jc w:val="center"/>
                                <w:ind w:firstLine="0"/>
                              </w:pPr>
                              <w:r>
                                <w:rPr>
                                  <w:rFonts w:ascii="Times New Roman" w:hAnsi="Times New Roman" w:cs="Times New Roman"/>
                                  <w:color w:val="000000"/>
                                  <w:sz w:val="20"/>
                                  <w:szCs w:val="20"/>
                                </w:rPr>
                                <w:t xml:space="preserve">kutilgan zararlar</w:t>
                              </w:r>
                            </w:p>
                          </w:txbxContent>
                        </wps:txbx>
                        <wps:bodyPr rot="0" vert="horz" wrap="square" lIns="36000" tIns="18000" rIns="36000" bIns="18000" anchor="ctr" anchorCtr="0">
                          <a:noAutofit/>
                        </wps:bodyPr>
                      </wps:wsp>
                      <wps:wsp>
                        <wps:cNvPr id="7" name="Connector 7"/>
                        <wps:cNvCnPr/>
                        <wps:spPr>
                          <a:xfrm>
                            <a:off x="2275200" y="378000"/>
                            <a:ext cx="201600" cy="0"/>
                          </a:xfrm>
                          <a:prstGeom prst="straightConnector1">
                            <a:avLst/>
                          </a:prstGeom>
                          <a:ln w="19050">
                            <a:solidFill>
                              <a:srgbClr val="404040"/>
                            </a:solidFill>
                            <a:tailEnd type="triangle" w="med" len="med"/>
                          </a:ln>
                        </wps:spPr>
                        <wps:bodyPr/>
                      </wps:wsp>
                      <wps:wsp>
                        <wps:cNvPr id="8"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Sof foyda</w:t>
                              </w:r>
                            </w:p>
                          </w:txbxContent>
                        </wps:txbx>
                        <wps:bodyPr rot="0" vert="horz" wrap="square" lIns="36000" tIns="18000" rIns="36000" bIns="18000" anchor="ctr" anchorCtr="0">
                          <a:noAutofit/>
                        </wps:bodyPr>
                      </wps:wsp>
                      <wps:wsp>
                        <wps:cNvPr id="9"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Zaxira xarajati,</w:t>
                              </w:r>
                            </w:p>
                            <w:p>
                              <w:pPr>
                                <w:spacing w:before="0" w:after="0" w:line="228" w:lineRule="auto"/>
                                <w:jc w:val="center"/>
                                <w:ind w:firstLine="0"/>
                              </w:pPr>
                              <w:r>
                                <w:rPr>
                                  <w:rFonts w:ascii="Times New Roman" w:hAnsi="Times New Roman" w:cs="Times New Roman"/>
                                  <w:color w:val="000000"/>
                                  <w:sz w:val="20"/>
                                  <w:szCs w:val="20"/>
                                </w:rPr>
                                <w:t xml:space="preserve">dastlabki tan olish</w:t>
                              </w:r>
                            </w:p>
                          </w:txbxContent>
                        </wps:txbx>
                        <wps:bodyPr rot="0" vert="horz" wrap="square" lIns="36000" tIns="18000" rIns="36000" bIns="18000" anchor="ctr" anchorCtr="0">
                          <a:noAutofit/>
                        </wps:bodyPr>
                      </wps:wsp>
                      <wps:wsp>
                        <wps:cNvPr id="10" name="Connector 10"/>
                        <wps:cNvCnPr/>
                        <wps:spPr>
                          <a:xfrm>
                            <a:off x="3499200" y="378000"/>
                            <a:ext cx="201600" cy="0"/>
                          </a:xfrm>
                          <a:prstGeom prst="straightConnector1">
                            <a:avLst/>
                          </a:prstGeom>
                          <a:ln w="19050">
                            <a:solidFill>
                              <a:srgbClr val="404040"/>
                            </a:solidFill>
                            <a:tailEnd type="triangle" w="med" len="med"/>
                          </a:ln>
                        </wps:spPr>
                        <wps:bodyPr/>
                      </wps:wsp>
                      <wps:wsp>
                        <wps:cNvPr id="11"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Xususiy</w:t>
                              </w:r>
                            </w:p>
                            <w:p>
                              <w:pPr>
                                <w:spacing w:before="0" w:after="0" w:line="228" w:lineRule="auto"/>
                                <w:jc w:val="center"/>
                                <w:ind w:firstLine="0"/>
                              </w:pPr>
                              <w:r>
                                <w:rPr>
                                  <w:rFonts w:ascii="Times New Roman" w:hAnsi="Times New Roman" w:cs="Times New Roman"/>
                                  <w:b/>
                                  <w:color w:val="FFFFFF"/>
                                  <w:sz w:val="22"/>
                                  <w:szCs w:val="22"/>
                                </w:rPr>
                                <w:t xml:space="preserve">kapital</w:t>
                              </w:r>
                            </w:p>
                          </w:txbxContent>
                        </wps:txbx>
                        <wps:bodyPr rot="0" vert="horz" wrap="square" lIns="36000" tIns="18000" rIns="36000" bIns="18000" anchor="ctr" anchorCtr="0">
                          <a:noAutofit/>
                        </wps:bodyPr>
                      </wps:wsp>
                      <wps:wsp>
                        <wps:cNvPr id="12"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Taqsimlanmagan</w:t>
                              </w:r>
                            </w:p>
                            <w:p>
                              <w:pPr>
                                <w:spacing w:before="0" w:after="0" w:line="228" w:lineRule="auto"/>
                                <w:jc w:val="center"/>
                                <w:ind w:firstLine="0"/>
                              </w:pPr>
                              <w:r>
                                <w:rPr>
                                  <w:rFonts w:ascii="Times New Roman" w:hAnsi="Times New Roman" w:cs="Times New Roman"/>
                                  <w:color w:val="000000"/>
                                  <w:sz w:val="20"/>
                                  <w:szCs w:val="20"/>
                                </w:rPr>
                                <w:t xml:space="preserve">foyda</w:t>
                              </w:r>
                            </w:p>
                          </w:txbxContent>
                        </wps:txbx>
                        <wps:bodyPr rot="0" vert="horz" wrap="square" lIns="36000" tIns="18000" rIns="36000" bIns="18000" anchor="ctr" anchorCtr="0">
                          <a:noAutofit/>
                        </wps:bodyPr>
                      </wps:wsp>
                      <wps:wsp>
                        <wps:cNvPr id="13" name="Connector 13"/>
                        <wps:cNvCnPr/>
                        <wps:spPr>
                          <a:xfrm>
                            <a:off x="4723200" y="378000"/>
                            <a:ext cx="201600" cy="0"/>
                          </a:xfrm>
                          <a:prstGeom prst="straightConnector1">
                            <a:avLst/>
                          </a:prstGeom>
                          <a:ln w="19050">
                            <a:solidFill>
                              <a:srgbClr val="404040"/>
                            </a:solidFill>
                            <a:tailEnd type="triangle" w="med" len="med"/>
                          </a:ln>
                        </wps:spPr>
                        <wps:bodyPr/>
                      </wps:wsp>
                      <wps:wsp>
                        <wps:cNvPr id="14"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Kapital</w:t>
                              </w:r>
                            </w:p>
                            <w:p>
                              <w:pPr>
                                <w:spacing w:before="0" w:after="0" w:line="228" w:lineRule="auto"/>
                                <w:jc w:val="center"/>
                                <w:ind w:firstLine="0"/>
                              </w:pPr>
                              <w:r>
                                <w:rPr>
                                  <w:rFonts w:ascii="Times New Roman" w:hAnsi="Times New Roman" w:cs="Times New Roman"/>
                                  <w:b/>
                                  <w:color w:val="FFFFFF"/>
                                  <w:sz w:val="22"/>
                                  <w:szCs w:val="22"/>
                                </w:rPr>
                                <w:t xml:space="preserve">monandligi va</w:t>
                              </w:r>
                            </w:p>
                            <w:p>
                              <w:pPr>
                                <w:spacing w:before="0" w:after="0" w:line="228" w:lineRule="auto"/>
                                <w:jc w:val="center"/>
                                <w:ind w:firstLine="0"/>
                              </w:pPr>
                              <w:r>
                                <w:rPr>
                                  <w:rFonts w:ascii="Times New Roman" w:hAnsi="Times New Roman" w:cs="Times New Roman"/>
                                  <w:b/>
                                  <w:color w:val="FFFFFF"/>
                                  <w:sz w:val="22"/>
                                  <w:szCs w:val="22"/>
                                </w:rPr>
                                <w:t xml:space="preserve">NSFR</w:t>
                              </w:r>
                            </w:p>
                          </w:txbxContent>
                        </wps:txbx>
                        <wps:bodyPr rot="0" vert="horz" wrap="square" lIns="36000" tIns="18000" rIns="36000" bIns="18000" anchor="ctr" anchorCtr="0">
                          <a:noAutofit/>
                        </wps:bodyPr>
                      </wps:wsp>
                      <wps:wsp>
                        <wps:cNvPr id="15"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Regulyativ</w:t>
                              </w:r>
                            </w:p>
                            <w:p>
                              <w:pPr>
                                <w:spacing w:before="0" w:after="0" w:line="228" w:lineRule="auto"/>
                                <w:jc w:val="center"/>
                                <w:ind w:firstLine="0"/>
                              </w:pPr>
                              <w:r>
                                <w:rPr>
                                  <w:rFonts w:ascii="Times New Roman" w:hAnsi="Times New Roman" w:cs="Times New Roman"/>
                                  <w:color w:val="000000"/>
                                  <w:sz w:val="20"/>
                                  <w:szCs w:val="20"/>
                                </w:rPr>
                                <w:t xml:space="preserve">ko‘rsatkichlar</w:t>
                              </w:r>
                            </w:p>
                          </w:txbxContent>
                        </wps:txbx>
                        <wps:bodyPr rot="0" vert="horz" wrap="square" lIns="36000" tIns="18000" rIns="36000" bIns="18000" anchor="ctr" anchorCtr="0">
                          <a:noAutofit/>
                        </wps:bodyPr>
                      </wps:wsp>
                      <wps:wsp>
                        <wps:cNvPr id="16" name="Connector 16"/>
                        <wps:cNvCnPr/>
                        <wps:spPr>
                          <a:xfrm>
                            <a:off x="108000" y="1440000"/>
                            <a:ext cx="5868000" cy="0"/>
                          </a:xfrm>
                          <a:prstGeom prst="straightConnector1">
                            <a:avLst/>
                          </a:prstGeom>
                          <a:ln w="28575">
                            <a:solidFill>
                              <a:srgbClr val="C00000"/>
                            </a:solidFill>
                            <a:tailEnd type="triangle" w="med" len="med"/>
                          </a:ln>
                        </wps:spPr>
                        <wps:bodyPr/>
                      </wps:wsp>
                      <wps:wsp>
                        <wps:cNvPr id="17"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barobar</w:t>
                              </w:r>
                            </w:p>
                          </w:txbxContent>
                        </wps:txbx>
                        <wps:bodyPr rot="0" vert="horz" wrap="square" lIns="36000" tIns="18000" rIns="36000" bIns="18000" anchor="ctr" anchorCtr="0">
                          <a:noAutofit/>
                        </wps:bodyPr>
                      </wps:wsp>
                      <wps:wsp>
                        <wps:cNvPr id="1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10–20 foiz</w:t>
                              </w:r>
                            </w:p>
                          </w:txbxContent>
                        </wps:txbx>
                        <wps:bodyPr rot="0" vert="horz" wrap="square" lIns="36000" tIns="18000" rIns="36000" bIns="18000" anchor="ctr" anchorCtr="0">
                          <a:noAutofit/>
                        </wps:bodyPr>
                      </wps:wsp>
                      <wps:wsp>
                        <wps:cNvPr id="19"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foiz punkt</w:t>
                              </w:r>
                            </w:p>
                          </w:txbxContent>
                        </wps:txbx>
                        <wps:bodyPr rot="0" vert="horz" wrap="square" lIns="36000" tIns="18000" rIns="36000" bIns="18000" anchor="ctr" anchorCtr="0">
                          <a:noAutofit/>
                        </wps:bodyPr>
                      </wps:wsp>
                      <wps:wsp>
                        <wps:cNvPr id="20" name="Shape 20"/>
                        <wps:cNvSpPr/>
                        <wps:spPr>
                          <a:xfrm>
                            <a:off x="36000" y="1908000"/>
                            <a:ext cx="5940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2.3.1-rasm. Milliy hisobot va MHXS ko‘rsatkichlari o‘rtasidagi tafovutning shakllanish mexanizmi</w:t>
      </w:r>
      <w:r>
        <w:rPr>
          <w:rStyle w:val="FootnoteReference"/>
        </w:rPr>
        <w:footnoteReference w:id="32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FootnoteReference"/>
        </w:rPr>
        <w:footnoteReference w:id="327"/>
      </w:r>
      <w:r>
        <w:rPr>
          <w:rStyle w:val="FootnoteReference"/>
        </w:rPr>
        <w:footnoteReference w:id="3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xalqaro auditorlik tashkilotlari tomonidan tasdiqlangan MHXS bo‘yicha moliyaviy hisobotlari bilan solishtirildi. Solishtirish uchun ikki ko‘rsatkich qo‘llandi. Birinchisi – nisbiy tafovut koeffitsiyenti, ya’ni MHXS bo‘yicha ko‘rsatkichning milliy hisobotdagi ko‘rsatkichdan farqining milliy ko‘rsatkichga nisbati: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taf</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100%,</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ykr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MHXS 9 bo‘yicha 3-bosqich kreditlari,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milliy tasnif bo‘yicha muammoli kreditlar,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1–5 foizdan oshmaydi va tahlil xulosalariga sezilarli ta’sir qilmaydi.</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bo‘yicha solishtirish natijalari 2.3.2-jadvalda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asosiy ko‘rsatkichlari: milliy hisobot va MHXS, 2021–2025-yillar</w:t>
      </w:r>
      <w:r>
        <w:rPr>
          <w:rStyle w:val="FootnoteReference"/>
        </w:rPr>
        <w:footnoteReference w:id="3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56 511,3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64 263,8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74 634,4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87 597,0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102 438,7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55 731,9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63 189,3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73 293,3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84 800,2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97 184,4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7 700,9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7 828,1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8 728,4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10 025,4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11 875,2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6 944,8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7 581,2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8 439,9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9 352,8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10 273,8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998,2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588,9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1 303,2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1 880,1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1 543,8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12,08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 zaxiralari / kreditlar,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 / 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 / 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 / 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(milliy) / 2-bosqich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 / 20,4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 / 14,7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 / 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 / 27,1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 / 35,7</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so‘mga yoki 13,5 foizga oshirib ko‘rsatgan (2.3.2-rasm).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4" name="2.3.2-rasm"/>
            <wp:cNvGraphicFramePr/>
            <a:graphic>
              <a:graphicData uri="http://schemas.openxmlformats.org/drawingml/2006/chart">
                <c:chart r:id="rId2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2.3.2-rasm. «O‘zsanoatqurilishbank» ATB ning sof foydasi: milliy hisobot va MHXS, mlrd so‘m</w:t>
      </w:r>
      <w:r>
        <w:rPr>
          <w:rStyle w:val="FootnoteReference"/>
        </w:rPr>
        <w:footnoteReference w:id="33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FootnoteReference"/>
        </w:rPr>
        <w:footnoteReference w:id="331"/>
      </w:r>
      <w:r>
        <w:rPr>
          <w:rStyle w:val="FootnoteReference"/>
        </w:rPr>
        <w:footnoteReference w:id="332"/>
      </w:r>
      <w:r>
        <w:rPr>
          <w:rFonts w:ascii="Times New Roman" w:hAnsi="Times New Roman" w:cs="Times New Roman" w:eastAsia="Times New Roman"/>
          <w:sz w:val="28"/>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FootnoteReference"/>
        </w:rPr>
        <w:footnoteReference w:id="333"/>
      </w:r>
      <w:r>
        <w:rPr>
          <w:rFonts w:ascii="Times New Roman" w:hAnsi="Times New Roman" w:cs="Times New Roman" w:eastAsia="Times New Roman"/>
          <w:sz w:val="28"/>
        </w:rPr>
        <w:t xml:space="preserve">. Bu raqamlar davlat dasturlari doirasidagi imtiyozli operatsiyalarning haqiqiy iqtisodiy qiymati faqat MHXS hisobotida aks etishini ko‘rsatadi.</w:t>
      </w:r>
    </w:p>
    <w:p>
      <w:pPr>
        <w:pStyle w:val="BodyText"/>
        <w:spacing w:line="360" w:lineRule="auto" w:before="0" w:after="0"/>
        <w:ind w:firstLine="709"/>
        <w:jc w:val="both"/>
      </w:pPr>
      <w:r>
        <w:rPr>
          <w:rFonts w:ascii="Times New Roman" w:hAnsi="Times New Roman" w:cs="Times New Roman" w:eastAsia="Times New Roman"/>
          <w:sz w:val="28"/>
        </w:rPr>
        <w:t xml:space="preserve">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5" name="2.3.3-rasm"/>
            <wp:cNvGraphicFramePr/>
            <a:graphic>
              <a:graphicData uri="http://schemas.openxmlformats.org/drawingml/2006/chart">
                <c:chart r:id="rId2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2.3.3-rasm. «O‘zsanoatqurilishbank» ATB da kredit zaxiralarining jami kreditlarga nisbati: milliy hisobot va MHXS, %</w:t>
      </w:r>
      <w:r>
        <w:rPr>
          <w:rStyle w:val="FootnoteReference"/>
        </w:rPr>
        <w:footnoteReference w:id="334"/>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pPr>
        <w:pStyle w:val="BodyText"/>
        <w:spacing w:line="360" w:lineRule="auto" w:before="0" w:after="0"/>
        <w:ind w:firstLine="709"/>
        <w:jc w:val="both"/>
      </w:pPr>
      <w:r>
        <w:rPr>
          <w:rFonts w:ascii="Times New Roman" w:hAnsi="Times New Roman" w:cs="Times New Roman" w:eastAsia="Times New Roman"/>
          <w:sz w:val="28"/>
        </w:rPr>
        <w:t xml:space="preserve">Ikki tasniflash tizimi o‘rtasidagi farqning mazmunini bankning 2025-yil uchun MHXS hisobotida oshkor qilingan kesishma jadval aniq ko‘rsatadi. Unda har bir MHXS 9 bosqichidagi kreditlar Markaziy bank tasnifi bo‘yicha qaysi toifaga kiritilgani ko‘rsatilgan</w:t>
      </w:r>
      <w:r>
        <w:rPr>
          <w:rStyle w:val="FootnoteReference"/>
        </w:rPr>
        <w:footnoteReference w:id="335"/>
      </w:r>
      <w:r>
        <w:rPr>
          <w:rFonts w:ascii="Times New Roman" w:hAnsi="Times New Roman" w:cs="Times New Roman" w:eastAsia="Times New Roman"/>
          <w:sz w:val="28"/>
        </w:rPr>
        <w:t xml:space="preserve">. Ushbu jadval ma’lumotlari asosida 3-bosqich kreditlarining milliy tasnif bo‘yicha tarkibi aniqlandi (2.3.4-rasm).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6" name="2.3.4-rasm"/>
            <wp:cNvGraphicFramePr/>
            <a:graphic>
              <a:graphicData uri="http://schemas.openxmlformats.org/drawingml/2006/chart">
                <c:chart r:id="rId3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2.3.4-rasm. «O‘zsanoatqurilishbank» ATB da MHXS 9 bo‘yicha 3-bosqich kreditlarining milliy tasnif toifalari bo‘yicha tarkibi, mlrd so‘m</w:t>
      </w:r>
      <w:r>
        <w:rPr>
          <w:rStyle w:val="FootnoteReference"/>
        </w:rPr>
        <w:footnoteReference w:id="336"/>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FootnoteReference"/>
        </w:rPr>
        <w:footnoteReference w:id="337"/>
      </w:r>
      <w:r>
        <w:rPr>
          <w:rFonts w:ascii="Times New Roman" w:hAnsi="Times New Roman" w:cs="Times New Roman" w:eastAsia="Times New Roman"/>
          <w:sz w:val="28"/>
        </w:rPr>
        <w:t xml:space="preserve">. 2-bosqich kreditlari bo‘yicha ham manzara o‘xshash: 2025-yilda kredit riski sezilarli oshgan 25 320,4 mlrd so‘mlik kreditlarning 51,2 foizi milliy tasnifda «standart» kreditlar hisoblangan.</w:t>
      </w:r>
    </w:p>
    <w:p>
      <w:pPr>
        <w:pStyle w:val="BodyText"/>
        <w:spacing w:line="360" w:lineRule="auto" w:before="0" w:after="0"/>
        <w:ind w:firstLine="709"/>
        <w:jc w:val="both"/>
      </w:pPr>
      <w:r>
        <w:rPr>
          <w:rFonts w:ascii="Times New Roman" w:hAnsi="Times New Roman" w:cs="Times New Roman" w:eastAsia="Times New Roman"/>
          <w:sz w:val="28"/>
        </w:rP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7" name="2.3.5-rasm"/>
            <wp:cNvGraphicFramePr/>
            <a:graphic>
              <a:graphicData uri="http://schemas.openxmlformats.org/drawingml/2006/chart">
                <c:chart r:id="rId3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2.3.5-rasm. «O‘zsanoatqurilishbank» ATB va «Mikrokreditbank» ATB da yashirin kredit riski koeffitsiyenti</w:t>
      </w:r>
      <w:r>
        <w:rPr>
          <w:rStyle w:val="FootnoteReference"/>
        </w:rPr>
        <w:footnoteReference w:id="33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FootnoteReference"/>
        </w:rPr>
        <w:footnoteReference w:id="339"/>
      </w:r>
      <w:r>
        <w:rPr>
          <w:rFonts w:ascii="Times New Roman" w:hAnsi="Times New Roman" w:cs="Times New Roman" w:eastAsia="Times New Roman"/>
          <w:sz w:val="28"/>
        </w:rP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pPr>
        <w:pStyle w:val="BodyText"/>
        <w:spacing w:line="360" w:lineRule="auto" w:before="0" w:after="0"/>
        <w:ind w:firstLine="709"/>
        <w:jc w:val="both"/>
      </w:pPr>
      <w:r>
        <w:rPr>
          <w:rFonts w:ascii="Times New Roman" w:hAnsi="Times New Roman" w:cs="Times New Roman" w:eastAsia="Times New Roman"/>
          <w:sz w:val="28"/>
        </w:rPr>
        <w:t xml:space="preserve">«Mikrokreditbank» ATB bo‘yicha solishtirish natijalari esa tafovutning yana bir jihatini – zararlarni tan olish vaqtidagi farqni ochib beradi (2.3.3-jadval).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«Mikrokreditbank» ATB ning asosiy ko‘rsatkichlari: milliy hisobot va MHXS, 2021–2025-yillar</w:t>
      </w:r>
      <w:r>
        <w:rPr>
          <w:rStyle w:val="FootnoteReference"/>
        </w:rPr>
        <w:footnoteReference w:id="34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13 483,4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16 782,5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19 061,5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23 542,5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30 728,8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12 802,3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16 521,3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18 244,1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23 851,4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30 969,3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2 321,1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3 643,9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3 933,6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3 550,6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5 739,2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2 291,6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3 650,9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3 578,1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4 101,3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6 270,8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(zarar),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−1 703,8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−961,3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 / 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 / 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 / 16,6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 / 15,2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 / 12,3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16,39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Yashirin kredit riski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FootnoteReference"/>
        </w:rPr>
        <w:footnoteReference w:id="341"/>
      </w:r>
      <w:r>
        <w:rPr>
          <w:rFonts w:ascii="Times New Roman" w:hAnsi="Times New Roman" w:cs="Times New Roman" w:eastAsia="Times New Roman"/>
          <w:sz w:val="28"/>
        </w:rPr>
        <w:t xml:space="preserve">, milliy hisobotda esa shu yili 41,1 mlrd so‘m foyda ko‘rsatilgan. 2024-yilda esa milliy hisobotda 1 703,8 mlrd so‘m zarar bir yo‘la tan olingan, MHXS bo‘yicha zarar 961,3 mlrd so‘mni tashkil etgan (2.3.6-rasm).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8" name="2.3.6-rasm"/>
            <wp:cNvGraphicFramePr/>
            <a:graphic>
              <a:graphicData uri="http://schemas.openxmlformats.org/drawingml/2006/chart">
                <c:chart r:id="rId3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2.3.6-rasm. «Mikrokreditbank» ATB ning sof foydasi (zarari): milliy hisobot va MHXS, mlrd so‘m</w:t>
      </w:r>
      <w:r>
        <w:rPr>
          <w:rStyle w:val="FootnoteReference"/>
        </w:rPr>
        <w:footnoteReference w:id="3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1.2-paragrafda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pPr>
        <w:pStyle w:val="BodyText"/>
        <w:spacing w:line="360" w:lineRule="auto" w:before="0" w:after="0"/>
        <w:ind w:firstLine="709"/>
        <w:jc w:val="both"/>
      </w:pPr>
      <w:r>
        <w:rPr>
          <w:rFonts w:ascii="Times New Roman" w:hAnsi="Times New Roman" w:cs="Times New Roman" w:eastAsia="Times New Roman"/>
          <w:sz w:val="28"/>
        </w:rPr>
        <w:t xml:space="preserve">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FootnoteReference"/>
        </w:rPr>
        <w:footnoteReference w:id="343"/>
      </w:r>
      <w:r>
        <w:rPr>
          <w:rFonts w:ascii="Times New Roman" w:hAnsi="Times New Roman" w:cs="Times New Roman" w:eastAsia="Times New Roman"/>
          <w:sz w:val="28"/>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FootnoteReference"/>
        </w:rPr>
        <w:footnoteReference w:id="344"/>
      </w:r>
      <w:r>
        <w:rPr>
          <w:rFonts w:ascii="Times New Roman" w:hAnsi="Times New Roman" w:cs="Times New Roman" w:eastAsia="Times New Roman"/>
          <w:sz w:val="28"/>
        </w:rP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FootnoteReference"/>
        </w:rPr>
        <w:footnoteReference w:id="345"/>
      </w:r>
      <w:r>
        <w:rPr>
          <w:rStyle w:val="FootnoteReference"/>
        </w:rPr>
        <w:footnoteReference w:id="346"/>
      </w:r>
      <w:r>
        <w:rPr>
          <w:rFonts w:ascii="Times New Roman" w:hAnsi="Times New Roman" w:cs="Times New Roman" w:eastAsia="Times New Roman"/>
          <w:sz w:val="28"/>
        </w:rPr>
        <w:t xml:space="preserve">. Likvidlikni qoplash koeffitsiyenti uchun esa milliy amaliyotda yuqori likvid aktivlarga kiritiladigan, ammo Bazel III da bunday aktiv hisoblanmaydigan boshqa banklardagi mablag‘lar alohida ajratildi</w:t>
      </w:r>
      <w:r>
        <w:rPr>
          <w:rStyle w:val="FootnoteReference"/>
        </w:rPr>
        <w:footnoteReference w:id="347"/>
      </w:r>
      <w:r>
        <w:rPr>
          <w:rFonts w:ascii="Times New Roman" w:hAnsi="Times New Roman" w:cs="Times New Roman" w:eastAsia="Times New Roman"/>
          <w:sz w:val="28"/>
        </w:rPr>
        <w:t xml:space="preserve">. Hisob-kitob natijalari 2.3.4-jadvalda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moliyaviy barqarorlik ko‘rsatkichlarining milliy va xalqaro yondashuv bo‘yicha tafovuti, 2025-yil yakuni</w:t>
      </w:r>
      <w:r>
        <w:rPr>
          <w:rStyle w:val="FootnoteReference"/>
        </w:rPr>
        <w:footnoteReference w:id="34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2835"/>
        <w:gridCol w:w="1587"/>
        <w:gridCol w:w="1587"/>
        <w:gridCol w:w="181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hisobot va metodika</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va Bazel III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Tafovut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(3-bosqich)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2,53</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7,48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+4,95 p.p. (2,96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Substandart kreditlar (2-bosqich)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18,44</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35,66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+17,22 p.p. (1,93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Kredit zaxiralari,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2 947,5</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4 250,9</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+44,2%</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foyda,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1 880,1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1 543,8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Xususiy kapital,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11 875,2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10 273,8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10,21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8,87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−1,34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14,01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17,02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15,32</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−1,70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barqaror moliyalashtirish me’yori,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+2,6 p.p. (metodika +5,4; hisobot −2,8)</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Banklardagi mablag‘larning yuqori likvid aktivlardagi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30,9</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Bazel III bo‘yicha yuqori likvid aktiv emas</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MHXS tuzatishlari esa 2,8 foiz punktga pasaytiradi. Ammo likvidlikni qoplash koeffitsiyenti tarkibida xalqaro standart bo‘yicha yuqori likvid aktiv hisoblanmaydigan mablag‘lar ulushi 30,9 foizni tashkil etadi, demak, bu blokda ham yashirin risk mavjud. Tafovutning nisbiy ko‘lamini taqqoslash uchun asosiy ko‘rsatkichlar bo‘yicha nisbiy tafovut koeffitsiyenti hisoblandi (2.3.7-rasm).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9" name="2.3.7-rasm"/>
            <wp:cNvGraphicFramePr/>
            <a:graphic>
              <a:graphicData uri="http://schemas.openxmlformats.org/drawingml/2006/chart">
                <c:chart r:id="rId3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2.3.7-rasm. «O‘zsanoatqurilishbank» ATB ko‘rsatkichlarining milliy va xalqaro yondashuv bo‘yicha nisbiy tafovuti, 2025-yil, %</w:t>
      </w:r>
      <w:r>
        <w:rPr>
          <w:rStyle w:val="FootnoteReference"/>
        </w:rPr>
        <w:footnoteReference w:id="34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FootnoteReference"/>
        </w:rPr>
        <w:footnoteReference w:id="350"/>
      </w:r>
      <w:r>
        <w:rPr>
          <w:rFonts w:ascii="Times New Roman" w:hAnsi="Times New Roman" w:cs="Times New Roman" w:eastAsia="Times New Roman"/>
          <w:sz w:val="28"/>
        </w:rPr>
        <w:t xml:space="preserve">, Markaziy bank tomonidan qabul qilingan «yo‘l xaritasi»da esa aktivlar tasnifi va zaxiralarni MHXS 9 ga moslashtirish ishlari belgilangan</w:t>
      </w:r>
      <w:r>
        <w:rPr>
          <w:rStyle w:val="FootnoteReference"/>
        </w:rPr>
        <w:footnoteReference w:id="351"/>
      </w:r>
      <w:r>
        <w:rPr>
          <w:rFonts w:ascii="Times New Roman" w:hAnsi="Times New Roman" w:cs="Times New Roman" w:eastAsia="Times New Roman"/>
          <w:sz w:val="28"/>
        </w:rP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ko‘rsatkichlarining milliy va MHXS hisobotlari bo‘yicha qiyosiy tahlili asosida xulosa qilish mumkinki, O‘zbekiston banklarida ikki hisobot o‘rtasidagi tafovut muntazam xususiyatga ega bo‘lib,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bookmarkEnd w:id="12"/>
    <w:bookmarkStart w:id="13" w:name="i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ikkinchi bobida O‘zbekiston bank tizimida moliyaviy barqarorlikni baholash amaliyotining xalqaro standartlarga muvofiqligi tahlil qilindi va quyidagi xulosalar shakllantirildi.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Amaldagi baholash tizimida bankning barqarorligini ochiq ma’lumotlar asosida, yagona integral ko‘rsatkich orqali va istiqbolli element bilan baholaydigan vosita mavjud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 oralig‘ida bo‘lib, uning nisbiy barqarorligi milliy ko‘rsatkichlarni tuzatish koeffitsiyenti yordamida xalqaro standartlarga moslashtirishning metodologik asosliligini tasdiqlaydi.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pPr>
        <w:pStyle w:val="Heading1"/>
        <w:pageBreakBefore/>
        <w:jc w:val="center"/>
      </w:pPr>
      <w:r>
        <w:t>III BOB. XALQARO STANDARTLARGA ASOSLANGAN INTEGRAL BAHOLASH METODIKASI VA UNING EKONOMETRIK ASOSLANISHI</w:t>
      </w:r>
    </w:p>
    <w:bookmarkStart w:id="14" w:name="X1b5accc681c3101e34ae1424a5e2c752f5d3c99"/>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3.1-§. Moliyaviy barqarorlikni integral indeks asosida baholashning takomillashtirilgan metodikasi</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FootnoteReference"/>
        </w:rPr>
        <w:footnoteReference w:id="352"/>
      </w:r>
      <w:r>
        <w:rPr>
          <w:rFonts w:ascii="Times New Roman" w:hAnsi="Times New Roman" w:cs="Times New Roman" w:eastAsia="Times New Roman"/>
          <w:sz w:val="28"/>
        </w:rPr>
        <w:t xml:space="preserve">. Biroq O‘zbekistonda bank faoliyatini tahlil qilishga bag‘ishlangan asosiy darsliklar va monografiyalarda moliyaviy barqarorlik ko‘rsatkichlari alohida-alohida tahlil qilinib, ularni yagona bahoga keltiruvchi metodika taklif etilmagan</w:t>
      </w:r>
      <w:r>
        <w:rPr>
          <w:rStyle w:val="FootnoteReference"/>
        </w:rPr>
        <w:footnoteReference w:id="353"/>
      </w:r>
      <w:r>
        <w:rPr>
          <w:rStyle w:val="FootnoteReference"/>
        </w:rPr>
        <w:footnoteReference w:id="354"/>
      </w:r>
      <w:r>
        <w:rPr>
          <w:rFonts w:ascii="Times New Roman" w:hAnsi="Times New Roman" w:cs="Times New Roman" w:eastAsia="Times New Roman"/>
          <w:sz w:val="28"/>
        </w:rPr>
        <w:t xml:space="preserve">. T.M. Karaliyev va I.F. Sayfiddinov esa respublikamizda qo‘llangan CAMEL tizimining kamchiliklari sifatida tengdosh banklar bilan qiyosiy baholashning yo‘qligini va omillar uchun solishtirma vaznlar belgilanmaganini ko‘rsatgan</w:t>
      </w:r>
      <w:r>
        <w:rPr>
          <w:rStyle w:val="FootnoteReference"/>
        </w:rPr>
        <w:footnoteReference w:id="35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Metodikaga qo‘yiladigan talablarni aniqlash uchun ikkinchi bobda aniqlangan har bir muammo uning yechimi bo‘lishi lozim bo‘lgan metodika elementi bilan solishtirildi (3.1.1-jadval).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Amaldagi baholash tizimi muammolari va ularni hal etuvchi metodika elementlari</w:t>
      </w:r>
      <w:r>
        <w:rPr>
          <w:rStyle w:val="FootnoteReference"/>
        </w:rPr>
        <w:footnoteReference w:id="35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061"/>
        <w:gridCol w:w="2948"/>
        <w:gridCol w:w="3288"/>
      </w:tblGrid>
      <w:tr>
        <w:trPr>
          <w:tblHeader w:val="true"/>
          <w:cantSplit/>
          <w:tblHeader/>
        </w:trPr>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Aniqlangan muammo</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Dalil (II bob)</w:t>
            </w:r>
          </w:p>
        </w:tc>
        <w:tc>
          <w:tcPr>
            <w:tcW w:type="dxa" w:w="328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Metodika elementi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Ko‘rsatkichlar turli yo‘nalishda signal beradi, yagona baho yo‘q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kapital va likvidlik yuqori, aktivlar sifati zaif</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Bloklar baholarini vaznlab birlashtiruvchi integral indeks</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Milliy muammoli kreditlar ko‘rsatkichi kredit riskini kamsitadi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yashirin kredit riski koeffitsiyenti 1,65–3,30</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Aktivlar sifati MHXS 9 bosqichlari bo‘yicha baholanadi, milliy ma’lumotlar tuzatiladi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Kapital MHXS bo‘yicha kam, tafovut ortib bormoqda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CET1 10,21% o‘rniga 8,87%</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Kapital bloki MHXS asosida qayta hisoblangan koeffitsiyentlarni qamraydi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Likvidlik me’yorlari Bazel III dan soddalashtirilgan</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NSFR metodika farqi 5,4 foiz punkt, LCR da banklardagi mablag‘lar 30,9%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Likvidlik bloki Bazel III metodikasi bo‘yicha hisoblanadi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Chegaralar faqat «bajarildi – bajarilmadi» shaklida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2.1-§: normativlar faqat bajarilgan yoki bajarilmagani bo‘yicha nazorat qilinadi</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Har bir ko‘rsatkich uchun to‘rt darajali chegaralar va uzluksiz ball</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Dollarlashuv yuqori, valyuta riski baholanmaydi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xorijiy valyutadagi kreditlar ulushi 38–49%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Valyuta riskiga sezgirlik bloki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Davlat banklarida kapital davlat ko‘magiga bog‘liq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«Mikrokreditbank» ATB qayta kapitallashtirilgan</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Indeksni davlat ko‘magisiz hisoblash imkoniyati (3.2-§)</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1944000"/>
                <wp:effectExtent l="0" t="0" r="0" b="0"/>
                <wp:docPr id="40" name="3.1.1-rasm"/>
                <wp:cNvGraphicFramePr/>
                <a:graphic>
                  <a:graphicData uri="http://schemas.microsoft.com/office/word/2010/wordprocessingGroup">
                    <wpg:wgp>
                      <wpg:cNvGrpSpPr/>
                      <wpg:grpSpPr>
                        <a:xfrm>
                          <a:off x="0" y="0"/>
                          <a:ext cx="5940000" cy="1944000"/>
                          <a:chOff x="0" y="0"/>
                          <a:chExt cx="5940000" cy="1944000"/>
                        </a:xfrm>
                      </wpg:grpSpPr>
                      <wps:wsp>
                        <wps:cNvPr id="2"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1. Ma’lumotlar:</w:t>
                              </w:r>
                            </w:p>
                            <w:p>
                              <w:pPr>
                                <w:spacing w:before="0" w:after="0" w:line="228" w:lineRule="auto"/>
                                <w:jc w:val="center"/>
                                <w:ind w:firstLine="0"/>
                              </w:pPr>
                              <w:r>
                                <w:rPr>
                                  <w:rFonts w:ascii="Times New Roman" w:hAnsi="Times New Roman" w:cs="Times New Roman"/>
                                  <w:b/>
                                  <w:color w:val="FFFFFF"/>
                                  <w:sz w:val="20"/>
                                  <w:szCs w:val="20"/>
                                </w:rPr>
                                <w:t xml:space="preserve">milliy hisobot /</w:t>
                              </w:r>
                            </w:p>
                            <w:p>
                              <w:pPr>
                                <w:spacing w:before="0" w:after="0" w:line="228" w:lineRule="auto"/>
                                <w:jc w:val="center"/>
                                <w:ind w:firstLine="0"/>
                              </w:pPr>
                              <w:r>
                                <w:rPr>
                                  <w:rFonts w:ascii="Times New Roman" w:hAnsi="Times New Roman" w:cs="Times New Roman"/>
                                  <w:b/>
                                  <w:color w:val="FFFFFF"/>
                                  <w:sz w:val="20"/>
                                  <w:szCs w:val="20"/>
                                </w:rPr>
                                <w:t xml:space="preserve">MHXS hisoboti</w:t>
                              </w:r>
                            </w:p>
                          </w:txbxContent>
                        </wps:txbx>
                        <wps:bodyPr rot="0" vert="horz" wrap="square" lIns="36000" tIns="18000" rIns="36000" bIns="18000" anchor="ctr" anchorCtr="0">
                          <a:noAutofit/>
                        </wps:bodyPr>
                      </wps:wsp>
                      <wps:wsp>
                        <wps:cNvPr id="3"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2. MHXS yo‘q bo‘lsa:</w:t>
                              </w:r>
                            </w:p>
                            <w:p>
                              <w:pPr>
                                <w:spacing w:before="0" w:after="0" w:line="228" w:lineRule="auto"/>
                                <w:jc w:val="center"/>
                                <w:ind w:firstLine="0"/>
                              </w:pPr>
                              <w:r>
                                <w:rPr>
                                  <w:rFonts w:ascii="Times New Roman" w:hAnsi="Times New Roman" w:cs="Times New Roman"/>
                                  <w:b/>
                                  <w:color w:val="FFFFFF"/>
                                  <w:sz w:val="20"/>
                                  <w:szCs w:val="20"/>
                                </w:rPr>
                                <w:t xml:space="preserve">tuzatish</w:t>
                              </w:r>
                            </w:p>
                            <w:p>
                              <w:pPr>
                                <w:spacing w:before="0" w:after="0" w:line="228" w:lineRule="auto"/>
                                <w:jc w:val="center"/>
                                <w:ind w:firstLine="0"/>
                              </w:pPr>
                              <w:r>
                                <w:rPr>
                                  <w:rFonts w:ascii="Times New Roman" w:hAnsi="Times New Roman" w:cs="Times New Roman"/>
                                  <w:b/>
                                  <w:color w:val="FFFFFF"/>
                                  <w:sz w:val="20"/>
                                  <w:szCs w:val="20"/>
                                </w:rPr>
                                <w:t xml:space="preserve">koeffitsiyentlari</w:t>
                              </w:r>
                            </w:p>
                          </w:txbxContent>
                        </wps:txbx>
                        <wps:bodyPr rot="0" vert="horz" wrap="square" lIns="36000" tIns="18000" rIns="36000" bIns="18000" anchor="ctr" anchorCtr="0">
                          <a:noAutofit/>
                        </wps:bodyPr>
                      </wps:wsp>
                      <wps:wsp>
                        <wps:cNvPr id="4"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3. 14 ta ko‘rsatkichni</w:t>
                              </w:r>
                            </w:p>
                            <w:p>
                              <w:pPr>
                                <w:spacing w:before="0" w:after="0" w:line="228" w:lineRule="auto"/>
                                <w:jc w:val="center"/>
                                <w:ind w:firstLine="0"/>
                              </w:pPr>
                              <w:r>
                                <w:rPr>
                                  <w:rFonts w:ascii="Times New Roman" w:hAnsi="Times New Roman" w:cs="Times New Roman"/>
                                  <w:b/>
                                  <w:color w:val="FFFFFF"/>
                                  <w:sz w:val="20"/>
                                  <w:szCs w:val="20"/>
                                </w:rPr>
                                <w:t xml:space="preserve">hisoblash</w:t>
                              </w:r>
                            </w:p>
                          </w:txbxContent>
                        </wps:txbx>
                        <wps:bodyPr rot="0" vert="horz" wrap="square" lIns="36000" tIns="18000" rIns="36000" bIns="18000" anchor="ctr" anchorCtr="0">
                          <a:noAutofit/>
                        </wps:bodyPr>
                      </wps:wsp>
                      <wps:wsp>
                        <wps:cNvPr id="5"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4. Uzluksiz</w:t>
                              </w:r>
                            </w:p>
                            <w:p>
                              <w:pPr>
                                <w:spacing w:before="0" w:after="0" w:line="228" w:lineRule="auto"/>
                                <w:jc w:val="center"/>
                                <w:ind w:firstLine="0"/>
                              </w:pPr>
                              <w:r>
                                <w:rPr>
                                  <w:rFonts w:ascii="Times New Roman" w:hAnsi="Times New Roman" w:cs="Times New Roman"/>
                                  <w:b/>
                                  <w:color w:val="FFFFFF"/>
                                  <w:sz w:val="20"/>
                                  <w:szCs w:val="20"/>
                                </w:rPr>
                                <w:t xml:space="preserve">shkalada ballash</w:t>
                              </w:r>
                            </w:p>
                            <w:p>
                              <w:pPr>
                                <w:spacing w:before="0" w:after="0" w:line="228" w:lineRule="auto"/>
                                <w:jc w:val="center"/>
                                <w:ind w:firstLine="0"/>
                              </w:pPr>
                              <w:r>
                                <w:rPr>
                                  <w:rFonts w:ascii="Times New Roman" w:hAnsi="Times New Roman" w:cs="Times New Roman"/>
                                  <w:b/>
                                  <w:color w:val="FFFFFF"/>
                                  <w:sz w:val="20"/>
                                  <w:szCs w:val="20"/>
                                </w:rPr>
                                <w:t xml:space="preserve">(1–4)</w:t>
                              </w:r>
                            </w:p>
                          </w:txbxContent>
                        </wps:txbx>
                        <wps:bodyPr rot="0" vert="horz" wrap="square" lIns="36000" tIns="18000" rIns="36000" bIns="18000" anchor="ctr" anchorCtr="0">
                          <a:noAutofit/>
                        </wps:bodyPr>
                      </wps:wsp>
                      <wps:wsp>
                        <wps:cNvPr id="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5. Bloklar</w:t>
                              </w:r>
                            </w:p>
                            <w:p>
                              <w:pPr>
                                <w:spacing w:before="0" w:after="0" w:line="228" w:lineRule="auto"/>
                                <w:jc w:val="center"/>
                                <w:ind w:firstLine="0"/>
                              </w:pPr>
                              <w:r>
                                <w:rPr>
                                  <w:rFonts w:ascii="Times New Roman" w:hAnsi="Times New Roman" w:cs="Times New Roman"/>
                                  <w:b/>
                                  <w:color w:val="FFFFFF"/>
                                  <w:sz w:val="20"/>
                                  <w:szCs w:val="20"/>
                                </w:rPr>
                                <w:t xml:space="preserve">ballari</w:t>
                              </w:r>
                            </w:p>
                          </w:txbxContent>
                        </wps:txbx>
                        <wps:bodyPr rot="0" vert="horz" wrap="square" lIns="36000" tIns="18000" rIns="36000" bIns="18000" anchor="ctr" anchorCtr="0">
                          <a:noAutofit/>
                        </wps:bodyPr>
                      </wps:wsp>
                      <wps:wsp>
                        <wps:cNvPr id="7"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6. Vaznlash:</w:t>
                              </w:r>
                            </w:p>
                            <w:p>
                              <w:pPr>
                                <w:spacing w:before="0" w:after="0" w:line="228" w:lineRule="auto"/>
                                <w:jc w:val="center"/>
                                <w:ind w:firstLine="0"/>
                              </w:pPr>
                              <w:r>
                                <w:rPr>
                                  <w:rFonts w:ascii="Times New Roman" w:hAnsi="Times New Roman" w:cs="Times New Roman"/>
                                  <w:b/>
                                  <w:color w:val="FFFFFF"/>
                                  <w:sz w:val="20"/>
                                  <w:szCs w:val="20"/>
                                </w:rPr>
                                <w:t xml:space="preserve">0,25; 0,30; 0,20;</w:t>
                              </w:r>
                            </w:p>
                            <w:p>
                              <w:pPr>
                                <w:spacing w:before="0" w:after="0" w:line="228" w:lineRule="auto"/>
                                <w:jc w:val="center"/>
                                <w:ind w:firstLine="0"/>
                              </w:pPr>
                              <w:r>
                                <w:rPr>
                                  <w:rFonts w:ascii="Times New Roman" w:hAnsi="Times New Roman" w:cs="Times New Roman"/>
                                  <w:b/>
                                  <w:color w:val="FFFFFF"/>
                                  <w:sz w:val="20"/>
                                  <w:szCs w:val="20"/>
                                </w:rPr>
                                <w:t xml:space="preserve">0,15; 0,10</w:t>
                              </w:r>
                            </w:p>
                          </w:txbxContent>
                        </wps:txbx>
                        <wps:bodyPr rot="0" vert="horz" wrap="square" lIns="36000" tIns="18000" rIns="36000" bIns="18000" anchor="ctr" anchorCtr="0">
                          <a:noAutofit/>
                        </wps:bodyPr>
                      </wps:wsp>
                      <wps:wsp>
                        <wps:cNvPr id="8"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7. MBII va</w:t>
                              </w:r>
                            </w:p>
                            <w:p>
                              <w:pPr>
                                <w:spacing w:before="0" w:after="0" w:line="228" w:lineRule="auto"/>
                                <w:jc w:val="center"/>
                                <w:ind w:firstLine="0"/>
                              </w:pPr>
                              <w:r>
                                <w:rPr>
                                  <w:rFonts w:ascii="Times New Roman" w:hAnsi="Times New Roman" w:cs="Times New Roman"/>
                                  <w:b/>
                                  <w:color w:val="FFFFFF"/>
                                  <w:sz w:val="20"/>
                                  <w:szCs w:val="20"/>
                                </w:rPr>
                                <w:t xml:space="preserve">barqarorlik</w:t>
                              </w:r>
                            </w:p>
                            <w:p>
                              <w:pPr>
                                <w:spacing w:before="0" w:after="0" w:line="228" w:lineRule="auto"/>
                                <w:jc w:val="center"/>
                                <w:ind w:firstLine="0"/>
                              </w:pPr>
                              <w:r>
                                <w:rPr>
                                  <w:rFonts w:ascii="Times New Roman" w:hAnsi="Times New Roman" w:cs="Times New Roman"/>
                                  <w:b/>
                                  <w:color w:val="FFFFFF"/>
                                  <w:sz w:val="20"/>
                                  <w:szCs w:val="20"/>
                                </w:rPr>
                                <w:t xml:space="preserve">sinfi</w:t>
                              </w:r>
                            </w:p>
                          </w:txbxContent>
                        </wps:txbx>
                        <wps:bodyPr rot="0" vert="horz" wrap="square" lIns="36000" tIns="18000" rIns="36000" bIns="18000" anchor="ctr" anchorCtr="0">
                          <a:noAutofit/>
                        </wps:bodyPr>
                      </wps:wsp>
                      <wps:wsp>
                        <wps:cNvPr id="9"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8. Nazorat choralari,</w:t>
                              </w:r>
                            </w:p>
                            <w:p>
                              <w:pPr>
                                <w:spacing w:before="0" w:after="0" w:line="228" w:lineRule="auto"/>
                                <w:jc w:val="center"/>
                                <w:ind w:firstLine="0"/>
                              </w:pPr>
                              <w:r>
                                <w:rPr>
                                  <w:rFonts w:ascii="Times New Roman" w:hAnsi="Times New Roman" w:cs="Times New Roman"/>
                                  <w:b/>
                                  <w:color w:val="FFFFFF"/>
                                  <w:sz w:val="20"/>
                                  <w:szCs w:val="20"/>
                                </w:rPr>
                                <w:t xml:space="preserve">ΔMBII, erta</w:t>
                              </w:r>
                            </w:p>
                            <w:p>
                              <w:pPr>
                                <w:spacing w:before="0" w:after="0" w:line="228" w:lineRule="auto"/>
                                <w:jc w:val="center"/>
                                <w:ind w:firstLine="0"/>
                              </w:pPr>
                              <w:r>
                                <w:rPr>
                                  <w:rFonts w:ascii="Times New Roman" w:hAnsi="Times New Roman" w:cs="Times New Roman"/>
                                  <w:b/>
                                  <w:color w:val="FFFFFF"/>
                                  <w:sz w:val="20"/>
                                  <w:szCs w:val="20"/>
                                </w:rPr>
                                <w:t xml:space="preserve">ogohlantirish</w:t>
                              </w:r>
                            </w:p>
                          </w:txbxContent>
                        </wps:txbx>
                        <wps:bodyPr rot="0" vert="horz" wrap="square" lIns="36000" tIns="18000" rIns="36000" bIns="18000" anchor="ctr" anchorCtr="0">
                          <a:noAutofit/>
                        </wps:bodyPr>
                      </wps:wsp>
                      <wps:wsp>
                        <wps:cNvPr id="10" name="Connector 10"/>
                        <wps:cNvCnPr/>
                        <wps:spPr>
                          <a:xfrm>
                            <a:off x="1339200" y="432000"/>
                            <a:ext cx="201600" cy="0"/>
                          </a:xfrm>
                          <a:prstGeom prst="straightConnector1">
                            <a:avLst/>
                          </a:prstGeom>
                          <a:ln w="19050">
                            <a:solidFill>
                              <a:srgbClr val="404040"/>
                            </a:solidFill>
                            <a:tailEnd type="triangle" w="med" len="med"/>
                          </a:ln>
                        </wps:spPr>
                        <wps:bodyPr/>
                      </wps:wsp>
                      <wps:wsp>
                        <wps:cNvPr id="11" name="Connector 11"/>
                        <wps:cNvCnPr/>
                        <wps:spPr>
                          <a:xfrm>
                            <a:off x="2851200" y="432000"/>
                            <a:ext cx="201600" cy="0"/>
                          </a:xfrm>
                          <a:prstGeom prst="straightConnector1">
                            <a:avLst/>
                          </a:prstGeom>
                          <a:ln w="19050">
                            <a:solidFill>
                              <a:srgbClr val="404040"/>
                            </a:solidFill>
                            <a:tailEnd type="triangle" w="med" len="med"/>
                          </a:ln>
                        </wps:spPr>
                        <wps:bodyPr/>
                      </wps:wsp>
                      <wps:wsp>
                        <wps:cNvPr id="12" name="Connector 12"/>
                        <wps:cNvCnPr/>
                        <wps:spPr>
                          <a:xfrm>
                            <a:off x="4363200" y="432000"/>
                            <a:ext cx="201600" cy="0"/>
                          </a:xfrm>
                          <a:prstGeom prst="straightConnector1">
                            <a:avLst/>
                          </a:prstGeom>
                          <a:ln w="19050">
                            <a:solidFill>
                              <a:srgbClr val="404040"/>
                            </a:solidFill>
                            <a:tailEnd type="triangle" w="med" len="med"/>
                          </a:ln>
                        </wps:spPr>
                        <wps:bodyPr/>
                      </wps:wsp>
                      <wps:wsp>
                        <wps:cNvPr id="13" name="Connector 13"/>
                        <wps:cNvCnPr/>
                        <wps:spPr>
                          <a:xfrm>
                            <a:off x="5220000" y="799200"/>
                            <a:ext cx="0" cy="345600"/>
                          </a:xfrm>
                          <a:prstGeom prst="straightConnector1">
                            <a:avLst/>
                          </a:prstGeom>
                          <a:ln w="19050">
                            <a:solidFill>
                              <a:srgbClr val="404040"/>
                            </a:solidFill>
                            <a:tailEnd type="triangle" w="med" len="med"/>
                          </a:ln>
                        </wps:spPr>
                        <wps:bodyPr/>
                      </wps:wsp>
                      <wps:wsp>
                        <wps:cNvPr id="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5"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6"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3.1.1-rasm. Moliyaviy barqarorlikning integral indeksini hisoblash algoritmi</w:t>
      </w:r>
      <w:r>
        <w:rPr>
          <w:rStyle w:val="FootnoteReference"/>
        </w:rPr>
        <w:footnoteReference w:id="3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pPr>
        <w:pStyle w:val="BodyText"/>
        <w:spacing w:line="360" w:lineRule="auto" w:before="0" w:after="0"/>
        <w:ind w:firstLine="709"/>
        <w:jc w:val="both"/>
      </w:pPr>
      <w:r>
        <w:rPr>
          <w:rFonts w:ascii="Times New Roman" w:hAnsi="Times New Roman" w:cs="Times New Roman" w:eastAsia="Times New Roman"/>
          <w:sz w:val="28"/>
        </w:rPr>
        <w:t xml:space="preserve">Ko‘rsatkichlarni tanlashda to‘rt mezonga amal qilindi. Birinchisi – xalqaro standartga bog‘liqlik: har bir ko‘rsatkich Bazel III, MHXS 9 yoki Xalqaro valyuta jamg‘armasining moliyaviy barqarorlik ko‘rsatkichlari ro‘yxatida mavjud bo‘lishi kerak</w:t>
      </w:r>
      <w:r>
        <w:rPr>
          <w:rStyle w:val="FootnoteReference"/>
        </w:rPr>
        <w:footnoteReference w:id="358"/>
      </w:r>
      <w:r>
        <w:rPr>
          <w:rFonts w:ascii="Times New Roman" w:hAnsi="Times New Roman" w:cs="Times New Roman" w:eastAsia="Times New Roman"/>
          <w:sz w:val="28"/>
        </w:rPr>
        <w:t xml:space="preserve">.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FootnoteReference"/>
        </w:rPr>
        <w:footnoteReference w:id="359"/>
      </w:r>
      <w:r>
        <w:rPr>
          <w:rFonts w:ascii="Times New Roman" w:hAnsi="Times New Roman" w:cs="Times New Roman" w:eastAsia="Times New Roman"/>
          <w:sz w:val="28"/>
        </w:rPr>
        <w:t xml:space="preserve">. To‘rtinchisi – iqtisodiy talqin qilinishi: ko‘rsatkich qiymatining o‘sishi barqarorlikni oshirishi yoki pasaytirishi aniq bo‘lishi kerak. Ushbu mezonlar asosida 1.2-paragrafda asoslangan besh blok bo‘yicha 14 ta ko‘rsatkich tanlandi (3.1.2-jadval).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ko‘rsatkichlari va ularning chegaraviy qiymatlari</w:t>
      </w:r>
      <w:r>
        <w:rPr>
          <w:rStyle w:val="FootnoteReference"/>
        </w:rPr>
        <w:footnoteReference w:id="3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515"/>
        <w:gridCol w:w="1360"/>
        <w:gridCol w:w="1105"/>
        <w:gridCol w:w="1105"/>
        <w:gridCol w:w="1105"/>
        <w:gridCol w:w="1105"/>
      </w:tblGrid>
      <w:tr>
        <w:trPr>
          <w:tblHeader w:val="true"/>
          <w:cantSplit/>
          <w:tblHeader/>
        </w:trPr>
        <w:tc>
          <w:tcPr>
            <w:tcW w:type="dxa" w:w="351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 va 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 ball</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K1. Birinchi darajali asosiy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K3. Leverage,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A1. 3-bosqich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A2. 2-bosqich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A3. Zaxira bilan 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Likvidlik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L1. Likvidlikni qoplash koeffitsiyenti,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90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L2. Sof barqaror moliyalashtirish me’yori,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90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L3. Kreditlar / mijozlar depozitlari,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D1. Aktivlar rentabelligi (ROA),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0,7</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1,4</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D2. Kapital rentabelligi (ROE),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Valyuta riskiga sezgirlik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V1. Xorijiy valyutadagi kreditlar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65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V2. Xorijiy valyutadagi majburiyatlar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oraliq qiymatlar uchun ball chiziqli interpolyatsiya orqali aniqlanadi; 4 ball – eng yuqori barqarorlik.</w:t>
      </w:r>
    </w:p>
    <w:p>
      <w:pPr>
        <w:pStyle w:val="BodyText"/>
        <w:spacing w:line="360" w:lineRule="auto" w:before="0" w:after="0"/>
        <w:ind w:firstLine="709"/>
        <w:jc w:val="both"/>
      </w:pPr>
      <w:r>
        <w:rPr>
          <w:rFonts w:ascii="Times New Roman" w:hAnsi="Times New Roman" w:cs="Times New Roman" w:eastAsia="Times New Roman"/>
          <w:sz w:val="28"/>
        </w:rPr>
        <w:t xml:space="preserve">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FootnoteReference"/>
        </w:rPr>
        <w:footnoteReference w:id="361"/>
      </w:r>
      <w:r>
        <w:rPr>
          <w:rFonts w:ascii="Times New Roman" w:hAnsi="Times New Roman" w:cs="Times New Roman" w:eastAsia="Times New Roman"/>
          <w:sz w:val="28"/>
        </w:rPr>
        <w:t xml:space="preserve">.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FootnoteReference"/>
        </w:rPr>
        <w:footnoteReference w:id="36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olindi, 4 ball chegarasi esa tizimli ahamiyatga ega bank uchun qo‘shimcha talab va kontrsiklik bufer bilan birga Bazel III bo‘yicha talab qilinishi mumkin bo‘lgan 10,5 foiz darajasida belgilandi</w:t>
      </w:r>
      <w:r>
        <w:rPr>
          <w:rStyle w:val="FootnoteReference"/>
        </w:rPr>
        <w:footnoteReference w:id="363"/>
      </w:r>
      <w:r>
        <w:rPr>
          <w:rStyle w:val="FootnoteReference"/>
        </w:rPr>
        <w:footnoteReference w:id="364"/>
      </w:r>
      <w:r>
        <w:rPr>
          <w:rFonts w:ascii="Times New Roman" w:hAnsi="Times New Roman" w:cs="Times New Roman" w:eastAsia="Times New Roman"/>
          <w:sz w:val="28"/>
        </w:rPr>
        <w:t xml:space="preserve">. Regulyativ kapital uchun ham xuddi shu mantiq qo‘llandi: 8 foiz – Bazel III minimumi, 10,5 foiz – bufer bilan, 13 foiz – milliy talab, 15,5 foiz – milliy talab va bufer. Leverage uchun chegaralar Bazel III dagi 3 foiz, AQSh nazorat amaliyotidagi 4 foiz</w:t>
      </w:r>
      <w:r>
        <w:rPr>
          <w:rStyle w:val="FootnoteReference"/>
        </w:rPr>
        <w:footnoteReference w:id="365"/>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milliy talabdagi 6 foiz asosida belgilandi.</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blokida 3-bosqich kreditlari ulushi uchun 5 foiz chegarasi erta ogohlantirish signali sifatida keng qo‘llanadigan muammoli kreditlar darajasiga</w:t>
      </w:r>
      <w:r>
        <w:rPr>
          <w:rStyle w:val="FootnoteReference"/>
        </w:rPr>
        <w:footnoteReference w:id="366"/>
      </w:r>
      <w:r>
        <w:rPr>
          <w:rFonts w:ascii="Times New Roman" w:hAnsi="Times New Roman" w:cs="Times New Roman" w:eastAsia="Times New Roman"/>
          <w:sz w:val="28"/>
        </w:rPr>
        <w:t xml:space="preserve">, 10 foiz esa O.I. Lavrushin tahriri ostidagi monografiyada salbiy vaziyat darakchisi sifatida ko‘rsatilgan qiymatga mos keladi</w:t>
      </w:r>
      <w:r>
        <w:rPr>
          <w:rStyle w:val="FootnoteReference"/>
        </w:rPr>
        <w:footnoteReference w:id="367"/>
      </w:r>
      <w:r>
        <w:rPr>
          <w:rFonts w:ascii="Times New Roman" w:hAnsi="Times New Roman" w:cs="Times New Roman" w:eastAsia="Times New Roman"/>
          <w:sz w:val="28"/>
        </w:rPr>
        <w:t xml:space="preserve">. 2-bosqich kreditlari ulushi uchun milliy amaliyotda tayyor mezon yo‘qligi sababli chegaralar ikkinchi bobda aniqlangan qiymatlar oralig‘i asosida belgilandi. Zaxira bilan qoplanmagan muammoli kreditlarning kapitalga nisbati Xalqaro valyuta jamg‘armasining asosiy ko‘rsatkichlaridan biri bo‘lib, u kapitalning qancha qismi kutilmagan kredit zararlari bilan yemirilishi mumkinligini ko‘rsatadi</w:t>
      </w:r>
      <w:r>
        <w:rPr>
          <w:rStyle w:val="FootnoteReference"/>
        </w:rPr>
        <w:footnoteReference w:id="368"/>
      </w:r>
      <w:r>
        <w:rPr>
          <w:rFonts w:ascii="Times New Roman" w:hAnsi="Times New Roman" w:cs="Times New Roman" w:eastAsia="Times New Roman"/>
          <w:sz w:val="28"/>
        </w:rPr>
        <w:t xml:space="preserve">. Likvidlik blokida likvidlikni qoplash koeffitsiyenti va sof barqaror moliyalashtirish me’yori uchun 2 ball chegarasi sifatida Bazel III dagi 100 foizlik talab olindi</w:t>
      </w:r>
      <w:r>
        <w:rPr>
          <w:rStyle w:val="FootnoteReference"/>
        </w:rPr>
        <w:footnoteReference w:id="369"/>
      </w:r>
      <w:r>
        <w:rPr>
          <w:rStyle w:val="FootnoteReference"/>
        </w:rPr>
        <w:footnoteReference w:id="370"/>
      </w:r>
      <w:r>
        <w:rPr>
          <w:rFonts w:ascii="Times New Roman" w:hAnsi="Times New Roman" w:cs="Times New Roman" w:eastAsia="Times New Roman"/>
          <w:sz w:val="28"/>
        </w:rPr>
        <w:t xml:space="preserve">, kreditlarning depozitlarga nisbati uchun esa likvidlik nizomida muammo belgisi deb ko‘rsatilgan 80 foiz</w:t>
      </w:r>
      <w:r>
        <w:rPr>
          <w:rStyle w:val="FootnoteReference"/>
        </w:rPr>
        <w:footnoteReference w:id="37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xalqaro amaliyotdagi kritik daraja – 100 foiz</w:t>
      </w:r>
      <w:r>
        <w:rPr>
          <w:rStyle w:val="FootnoteReference"/>
        </w:rPr>
        <w:footnoteReference w:id="37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asos qilib olindi. Daromadlilik blokida aktivlar rentabelligi chegaralari Rossiya Banki shkalasidan (0; 0,7; 1,4 foiz) olindi</w:t>
      </w:r>
      <w:r>
        <w:rPr>
          <w:rStyle w:val="FootnoteReference"/>
        </w:rPr>
        <w:footnoteReference w:id="373"/>
      </w:r>
      <w:r>
        <w:rPr>
          <w:rFonts w:ascii="Times New Roman" w:hAnsi="Times New Roman" w:cs="Times New Roman" w:eastAsia="Times New Roman"/>
          <w:sz w:val="28"/>
        </w:rPr>
        <w:t xml:space="preserve">,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FootnoteReference"/>
        </w:rPr>
        <w:footnoteReference w:id="374"/>
      </w:r>
      <w:r>
        <w:rPr>
          <w:rFonts w:ascii="Times New Roman" w:hAnsi="Times New Roman" w:cs="Times New Roman" w:eastAsia="Times New Roman"/>
          <w:sz w:val="28"/>
        </w:rPr>
        <w:t xml:space="preserve">.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FootnoteReference"/>
        </w:rPr>
        <w:footnoteReference w:id="37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&lt;</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4,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4</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i</w:t>
      </w:r>
      <w:r>
        <w:rPr>
          <w:rFonts w:ascii="Times New Roman" w:hAnsi="Times New Roman" w:cs="Times New Roman" w:eastAsia="Times New Roman"/>
          <w:sz w:val="28"/>
        </w:rPr>
        <w:t xml:space="preserve">-ko‘rsatkichning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qiymati,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ballga mos chegaraviy qiymat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2, 3). Qiymati qanchalik kam bo‘lsa, shunchalik yaxshi bo‘lgan ko‘rsatkichlar uchun formula teskari yo‘nalishda qo‘llanadi. Bunday yondashuvning afzalligini birinchi darajali asosiy kapital monandligi misolida ko‘rish mumkin (3.1.2-rasm).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1" name="3.1.2-rasm"/>
            <wp:cNvGraphicFramePr/>
            <a:graphic>
              <a:graphicData uri="http://schemas.openxmlformats.org/drawingml/2006/chart">
                <c:chart r:id="rId3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3.1.2-rasm. Birinchi darajali asosiy kapital monandligini ballga aylantirish funksiyasi</w:t>
      </w:r>
      <w:r>
        <w:rPr>
          <w:rStyle w:val="FootnoteReference"/>
        </w:rPr>
        <w:footnoteReference w:id="3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FootnoteReference"/>
        </w:rPr>
        <w:footnoteReference w:id="37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Bloklar ichida ko‘rsatkichlarga teng vazn beriladi, blok bali esa uning ko‘rsatkichlari ballarining o‘rtacha arifmetigi sifatida aniqlanadi. Integral indeks esa bloklar ballarining vaznli yig‘indisi sifatida hisoblanadi:</w:t>
      </w:r>
    </w:p>
    <w:p>
      <w:pPr>
        <w:pStyle w:val="BodyText"/>
        <w:spacing w:line="360" w:lineRule="auto" w:before="0" w:after="0"/>
        <w:ind w:firstLine="709"/>
        <w:jc w:val="both"/>
      </w:pPr>
      <w:r>
        <w:rPr>
          <w:rFonts w:ascii="Times New Roman" w:hAnsi="Times New Roman" w:cs="Times New Roman" w:eastAsia="Times New Roman"/>
          <w:sz w:val="28"/>
        </w:rPr>
        <w:t xml:space="preserve">MBII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ij</w:t>
      </w:r>
      <w:r>
        <w:rPr>
          <w:rFonts w:ascii="Times New Roman" w:hAnsi="Times New Roman" w:cs="Times New Roman" w:eastAsia="Times New Roman"/>
          <w:sz w:val="28"/>
        </w:rPr>
        <w:t xml:space="preserve">,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j</w:t>
      </w:r>
      <w:r>
        <w:rPr>
          <w:rFonts w:ascii="Times New Roman" w:hAnsi="Times New Roman" w:cs="Times New Roman" w:eastAsia="Times New Roman"/>
          <w:sz w:val="28"/>
        </w:rPr>
        <w:t xml:space="preserve">-blok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vazni,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FootnoteReference"/>
        </w:rPr>
        <w:footnoteReference w:id="378"/>
      </w:r>
      <w:r>
        <w:rPr>
          <w:rFonts w:ascii="Times New Roman" w:hAnsi="Times New Roman" w:cs="Times New Roman" w:eastAsia="Times New Roman"/>
          <w:sz w:val="28"/>
        </w:rPr>
        <w:t xml:space="preserve">. Rossiyadagi reyting metodikalarini tahlil qilgan mualliflar ham vaznlar ko‘pincha asoslanmagan ekspert yo‘li bilan belgilanishini qayd etgan</w:t>
      </w:r>
      <w:r>
        <w:rPr>
          <w:rStyle w:val="FootnoteReference"/>
        </w:rPr>
        <w:footnoteReference w:id="379"/>
      </w:r>
      <w:r>
        <w:rPr>
          <w:rFonts w:ascii="Times New Roman" w:hAnsi="Times New Roman" w:cs="Times New Roman" w:eastAsia="Times New Roman"/>
          <w:sz w:val="28"/>
        </w:rPr>
        <w:t xml:space="preserve">. Shu sababli taklif etilayotgan vaznlar uch manba asosida asoslandi va muqobil variantlar bilan solishtirildi (3.1.3-jadval).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bloklari vaznlari va ularning asoslanishi</w:t>
      </w:r>
      <w:r>
        <w:rPr>
          <w:rStyle w:val="FootnoteReference"/>
        </w:rPr>
        <w:footnoteReference w:id="38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1247"/>
        <w:gridCol w:w="1134"/>
        <w:gridCol w:w="1360"/>
        <w:gridCol w:w="3742"/>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vazn</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Teng vaznlar</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 nisbati (O‘zbekiston)</w:t>
            </w:r>
          </w:p>
        </w:tc>
        <w:tc>
          <w:tcPr>
            <w:tcW w:type="dxa" w:w="374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Kapital yetarliligi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asosiy talabi, zararlarni qoplovchi oxirgi bufer</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0,37</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II bobda eng zaif bo‘g‘in, milliy va MHXS tafovuti eng katta</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ikki me’yori, tashqi moliyalashtirishga tayanish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Kapitalni ichki manbadan to‘ldirish imkoniyati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Valyuta riskiga sezgirlik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Dollarlashuv yuqori, ammo pasayish tendensiyasida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taklif etilayotgan vaznlar O‘zbekistonda CAMEL tizimi uchun T.M. Karaliyev va I.F. Sayfiddinov keltirgan nisbatga</w:t>
      </w:r>
      <w:r>
        <w:rPr>
          <w:rStyle w:val="FootnoteReference"/>
        </w:rPr>
        <w:footnoteReference w:id="38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yaqin, biroq ikki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FootnoteReference"/>
        </w:rPr>
        <w:footnoteReference w:id="38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 defoltlari bo‘yicha yetarli tarixiy ma’lumot talab qiladi, shu sababli u dissertatsiyaning to‘rtinchi bobida erta ogohlantirish tizimini ishlab chiqishda qo‘llanadi.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 1 dan 4 gacha bo‘lgan oraliqda bo‘ladi. Uni talqin qilish uchun oraliq to‘rt teng qismga bo‘linib, har biriga moliyaviy barqarorlik sinfi va unga mos nazorat choralari belgilandi (3.1.4-jadval).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sinflari va ularga mos choralar</w:t>
      </w:r>
      <w:r>
        <w:rPr>
          <w:rStyle w:val="FootnoteReference"/>
        </w:rPr>
        <w:footnoteReference w:id="3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247"/>
        <w:gridCol w:w="2948"/>
        <w:gridCol w:w="3628"/>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Sinf</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Tavsifi</w:t>
            </w:r>
          </w:p>
        </w:tc>
        <w:tc>
          <w:tcPr>
            <w:tcW w:type="dxa" w:w="36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Tavsiya etiladigan choralar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 – 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3,25–4,00</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Barcha bloklar xalqaro mezonlardan yuqori, zaxira yetarli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Odatdagi nazorat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 – qoniqarli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2,50–3,24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Ayrim bloklarda zaiflik, ammo me’yorlar bajariladi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Zaif bloklar bo‘yicha monitoringni kuchaytirish, bank tomonidan tiklanish rejasini yangilash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III – zaif</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1,75–2,49</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Bir nechta blokda me’yorga yaqin yoki undan past qiymatlar</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Choraklik maqsadli tekshiruv, dividendlarni cheklash, kapitalni oshirish rejasi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IV – nobarqaror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1,00–1,74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Ko‘pchilik bloklarda me’yorlar buzilgan</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Majburiy sog‘lomlashtirish choralari, faoliyatni cheklash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sinflar shkalasi AQShdagi «tezkor tuzatish choralari» tizimi mantig‘iga asoslangan bo‘lib, unda har bir kapital darajasiga nazorat organining qat’iy belgilangan choralari mos keladi</w:t>
      </w:r>
      <w:r>
        <w:rPr>
          <w:rStyle w:val="FootnoteReference"/>
        </w:rPr>
        <w:footnoteReference w:id="384"/>
      </w:r>
      <w:r>
        <w:rPr>
          <w:rFonts w:ascii="Times New Roman" w:hAnsi="Times New Roman" w:cs="Times New Roman" w:eastAsia="Times New Roman"/>
          <w:sz w:val="28"/>
        </w:rPr>
        <w:t xml:space="preserve">.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ko‘rsatkichlari va ballari, 2025-yil yakuni</w:t>
      </w:r>
      <w:r>
        <w:rPr>
          <w:rStyle w:val="FootnoteReference"/>
        </w:rPr>
        <w:footnoteReference w:id="38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175"/>
        <w:gridCol w:w="1530"/>
        <w:gridCol w:w="1530"/>
        <w:gridCol w:w="1530"/>
        <w:gridCol w:w="1530"/>
      </w:tblGrid>
      <w:tr>
        <w:trPr>
          <w:tblHeader w:val="true"/>
          <w:cantSplit/>
          <w:tblHeader/>
        </w:trPr>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MHXS</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MHXS</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K1. CET1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10,21 (3,88)</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8,87 (3,35)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16,39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18,24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15,32 (3,93)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19,96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K3. Leverage,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12,25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11,07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16,82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18,72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A1. Muammoli / 3-bosqich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7,48 (2,50)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4,41 (3,29)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12,34 (1,53)</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A2. Substandart / 2-bosqich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18,44 (2,66)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35,66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9,00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25,30 (1,97)</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A3. Qoplanmagan muammoli kreditlar / kapital,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−8,1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7,3 (3,27)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10,3 (2,97)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26,4 (1,36)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L1. LCR,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222,9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154,0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231,9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231,9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L2. NSFR,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122,2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124,8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113,0 (3,30)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113,0 (3,30)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L3. Kreditlar / depozitlar,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206,5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208,5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324,4 (1,00)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D1. ROA,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1,98 (3,97)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 (3,50)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0,59 (1,84)</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0,15 (1,21)</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D2. ROE,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 (1,70)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0,8 (1,16)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36,5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41,9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65,5 (2,73)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88,0 (1,60)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V1. Xorijiy valyutadagi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V2. Xorijiy valyutadagi majburiyatlar,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3,40</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2,94</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3,27</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2,62</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MHXS variantida LCR banklardagi mablag‘lar yuqori likvid aktivlardan chiqarilgan holda (SQB), NSFR Bazel III metodikasi va MHXS tuzatishlari bilan hisoblandi; «Mikrokreditbank» ATB uchun likvidlik me’yorlarini qayta hisoblashga ma’lumot yetarli bo‘lmagani sababli rasmiy qiymatlar olindi; valyuta tarkibi ikki variantda bir xil qabul qilindi.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metodikaning asosiy afzalligini yaqqol ko‘rsatadi. Milliy hisobot ma’lumotlari bo‘yicha ikkala bank ham I sinfga, ya’ni barqaror banklar qatoriga kiradi: «O‘zsanoatqurilishbank» ATB ning indeksi 3,40 ni, «Mikrokreditbank» ATB niki esa 3,27 ni tashkil etadi. MHXS va Bazel III asosida esa ikkala bank ham II sinfga tushadi: indeks mos ravishda 2,94 va 2,62 ga teng. Boshqacha aytganda, ΔMBII «O‘zsanoatqurilishbank» ATB uchun −0,46 ni, «Mikrokreditbank» ATB uchun esa −0,65 ni tashkil etadi va bu farq barqarorlik sinfini o‘zgartirish uchun yetarli. Indeksning pasayishiga qaysi bloklar sabab bo‘lganini aniqlash uchun bloklar ballari solishtirildi (3.1.3-rasm).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2" name="3.1.3-rasm"/>
            <wp:cNvGraphicFramePr/>
            <a:graphic>
              <a:graphicData uri="http://schemas.openxmlformats.org/drawingml/2006/chart">
                <c:chart r:id="rId3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3.1.3-rasm. «O‘zsanoatqurilishbank» ATB va «Mikrokreditbank» ATB da integral indeks bloklari ballari: milliy hisobot va MHXS, 2025-yil</w:t>
      </w:r>
      <w:r>
        <w:rPr>
          <w:rStyle w:val="FootnoteReference"/>
        </w:rPr>
        <w:footnoteReference w:id="38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indeks pasayishining asosiy sababi aktivlar sifati blokidir: «O‘zsanoatqurilishbank» ATB da bu blok bali 3,55 dan 2,26 ga, «Mikrokreditbank» ATB da esa 3,42 dan 1,62 ga tushgan. Aktivlar sifati blokining vazni 0,30 bo‘lgani sababli bu o‘zgarish indeksni mos ravishda 0,39 va 0,54 ballga pasaytiradi, ya’ni ΔMBII ning 83–84 foizi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pPr>
        <w:pStyle w:val="BodyText"/>
        <w:spacing w:line="360" w:lineRule="auto" w:before="0" w:after="0"/>
        <w:ind w:firstLine="709"/>
        <w:jc w:val="both"/>
      </w:pPr>
      <w:r>
        <w:rPr>
          <w:rFonts w:ascii="Times New Roman" w:hAnsi="Times New Roman" w:cs="Times New Roman" w:eastAsia="Times New Roman"/>
          <w:sz w:val="28"/>
        </w:rPr>
        <w:t xml:space="preserve">Shu bilan birga, bloklar ballari ikki bankning risk profili tubdan farq qilishini ham ko‘rsatadi. «O‘zsanoatqurilishbank» ATB kapital, likvidlik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pPr>
        <w:pStyle w:val="BodyText"/>
        <w:spacing w:line="360" w:lineRule="auto" w:before="0" w:after="0"/>
        <w:ind w:firstLine="709"/>
        <w:jc w:val="both"/>
      </w:pPr>
      <w:r>
        <w:rPr>
          <w:rFonts w:ascii="Times New Roman" w:hAnsi="Times New Roman" w:cs="Times New Roman" w:eastAsia="Times New Roman"/>
          <w:sz w:val="28"/>
        </w:rPr>
        <w:t xml:space="preserve">Metodika natijalarining ishonchliligini tekshirish uchun indeks uch xil vaznlar tizimi bo‘yicha qayta hisoblandi: taklif etilayotgan vaznlar, teng vaznlar va O‘zbekistonda CAMEL tizimi uchun keltirilgan nisbat (3.1.4-rasm).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3" name="3.1.4-rasm"/>
            <wp:cNvGraphicFramePr/>
            <a:graphic>
              <a:graphicData uri="http://schemas.openxmlformats.org/drawingml/2006/chart">
                <c:chart r:id="rId3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3.1.4-rasm. Moliyaviy barqarorlikning integral indeksi qiymatlarining vaznlar tizimiga sezgirligi, 2025-yil</w:t>
      </w:r>
      <w:r>
        <w:rPr>
          <w:rStyle w:val="FootnoteReference"/>
        </w:rPr>
        <w:footnoteReference w:id="387"/>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xulosaga olib keladi. MHXS asosidagi indeks bo‘yicha banklarning tartibi uchala vaznlar tizimida ham o‘zgarmaydi: «O‘zsanoatqurilishbank» ATB har doim «Mikrokreditbank» ATB dan yuqori, taklif etilgan va teng vaznlarda ikkala bank ham II sinfda qoladi, CAMEL nisbati qo‘llanganda esa «Mikrokreditbank» ATB daromadlilik blokining vazni kattaligi sababli III sinfga tushadi. Milliy hisobot asosidagi indeksda esa teng vaznlar qo‘llanganda banklar tartibi o‘zgaradi: «Mikrokreditbank» ATB ning indeksi 3,21 ni, «O‘zsanoatqurilishbank» ATB niki 3,19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mavjud yondashuvlardan farqini aniqlash uchun u xalqaro va xorijiy amaliyotda keng qo‘llanadigan metodikalar bilan solishtirildi (3.1.6-jadval).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va mavjud baholash metodikalarining qiyosiy tavsifi</w:t>
      </w:r>
      <w:r>
        <w:rPr>
          <w:rStyle w:val="FootnoteReference"/>
        </w:rPr>
        <w:footnoteReference w:id="38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814"/>
        <w:gridCol w:w="1927"/>
        <w:gridCol w:w="1814"/>
        <w:gridCol w:w="2041"/>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 (AQSh)</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Rossiya Banki metodikasi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barqarorlik ko‘rsatkichlari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MBII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Natija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ballik kompozit reyting</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Bloklar bo‘yicha ball, guruhlarga ajratish</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Ko‘rsatkichlar to‘plami, yagona baho 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1–4 oraliqdagi uzluksiz indeks va 4 sinf</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Ochiqlik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siri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Metodika ochiq, natija yopiq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Metodika va ma’lumotlar ochiq</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Xalqaro standartlarga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Qisman</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normativlarga bog‘langan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XVJ standarti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Bazel III, MHXS 9, XVJ</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Nazoratchi bahosi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tasnif</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Milliy ta’rif</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bosqichlari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standarti farqi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ΔMBII va tuzatish koeffitsiyentlari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Ball shkalasi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Uzluksiz (chiziqli interpolyatsiya)</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Valyuta riski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Bozor riski doirasida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Alohida blok yo‘q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Sof ochiq pozitsiya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Alohida blok</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Nazorat choralari bilan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Sinflar bo‘yicha choralar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me’yorlarini Bazel III metodikasi bo‘yicha to‘liq qayta hisoblash esa banklarning batafsil hisobot shakllarini talab qiladi. Bu cheklovlar indeksning bashorat kuchini tekshirish orqali dissertatsiyaning to‘rtinchi bobida qisman bartaraf etiladi.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14 ta ko‘rsatkichni yagona bahoga keltiradi. Ko‘rsatkichlarning chegaraviy qiymatlari «me’yoriy talab – ball chegarasi» tamoyili asosida belgilanib, ular uzluksiz shkalada ballanadi, bloklar esa 0,25; 0,30; 0,20; 0,15 va 0,10 vaznlar bilan birlashtiriladi. Metodikani ikki bankka qo‘llash milliy hisobot asosida I sinfga kiradigan ikkala bank ham MHXS va Bazel III asosida II sinfga tushishini, ΔMBII ning 80 foizdan ortig‘i esa aktivlar sifati blokiga to‘g‘ri kelishini ko‘rsatdi. Sezgirlik tahlili esa MHXS asosidagi indeks vaznlar tanloviga kamroq bog‘liq ekanini tasdiqladi. Bu o‘z navbatida, metodikani bank tizimidagi barcha banklarga qo‘llash va ularni moliyaviy barqarorlik darajasi bo‘yicha reyting baholash imkonini beradi, bu esa keyingi paragrafda amalga oshiriladi.</w:t>
      </w:r>
    </w:p>
    <w:bookmarkEnd w:id="14"/>
    <w:bookmarkStart w:id="15" w:name="Xedf75e61584998612e27357f6db1c0de4e5c383"/>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3.2-§. Tijorat banklari moliyaviy barqarorligini integral indeks asosida reyting baholash</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taklif etilgan moliyaviy barqarorlikning integral indeksi (MBII) metodikasining amaliy ahamiyati uni bir nechta bankka bir xil qoidalar bo‘yicha qo‘llab, natijalarni solishtirish orqali namoyon bo‘ladi. Reyting baholash bank faoliyatini tahlil qilishning keng tarqalgan shakli bo‘lib, A.M. Karminskiy ta’kidlaganidek, uning asosiy vazifasi turli banklarning moliyaviy holatini yagona shkalada taqqoslash va ularni risk darajasi bo‘yicha guruhlarga ajratishdan iborat</w:t>
      </w:r>
      <w:r>
        <w:rPr>
          <w:rStyle w:val="FootnoteReference"/>
        </w:rPr>
        <w:footnoteReference w:id="389"/>
      </w:r>
      <w:r>
        <w:rPr>
          <w:rFonts w:ascii="Times New Roman" w:hAnsi="Times New Roman" w:cs="Times New Roman" w:eastAsia="Times New Roman"/>
          <w:sz w:val="28"/>
        </w:rPr>
        <w:t xml:space="preserve">. Biroq O‘zbekistonda banklar reytingini e’lon qiluvchi tashkilotlar asosan banklarning hajm ko‘rsatkichlari va milliy hisobot ma’lumotlariga tayanadi, xalqaro reyting agentliklari esa davlat banklarini davlatning qo‘llab-quvvatlash ehtimolini hisobga olgan holda baholaydi, natijada bankning o‘z moliyaviy barqarorligi alohida ko‘rinmaydi</w:t>
      </w:r>
      <w:r>
        <w:rPr>
          <w:rStyle w:val="FootnoteReference"/>
        </w:rPr>
        <w:footnoteReference w:id="390"/>
      </w:r>
      <w:r>
        <w:rPr>
          <w:rStyle w:val="FootnoteReference"/>
        </w:rPr>
        <w:footnoteReference w:id="391"/>
      </w:r>
      <w:r>
        <w:rPr>
          <w:rFonts w:ascii="Times New Roman" w:hAnsi="Times New Roman" w:cs="Times New Roman" w:eastAsia="Times New Roman"/>
          <w:sz w:val="28"/>
        </w:rPr>
        <w:t xml:space="preserve">. Shu sababli ushbu paragrafda integral indeks ochiq ma’lumotlar, ya’ni banklarning auditdan o‘tgan MHXS bo‘yicha moliyaviy hisobotlari asosida hisoblanib, banklar reytingi tuziladi, milliy va MHXS hisobotlari bo‘yicha indekslar o‘rtasidagi farq hamda davlat ko‘magining baholashga ta’siri aniqlanadi.</w:t>
      </w:r>
    </w:p>
    <w:p>
      <w:pPr>
        <w:pStyle w:val="BodyText"/>
        <w:spacing w:line="360" w:lineRule="auto" w:before="0" w:after="0"/>
        <w:ind w:firstLine="709"/>
        <w:jc w:val="both"/>
      </w:pPr>
      <w:r>
        <w:rPr>
          <w:rFonts w:ascii="Times New Roman" w:hAnsi="Times New Roman" w:cs="Times New Roman" w:eastAsia="Times New Roman"/>
          <w:sz w:val="28"/>
        </w:rPr>
        <w:t xml:space="preserve">Tahlil uchun bank tizimining katta qismini tashkil etuvchi va ochiq e’lon qilingan MHXS hisobotlarida barcha zarur ma’lumotlar mavjud bo‘lgan beshta bank tanlandi: «O‘zsanoatqurilishbank» ATB, «Mikrokreditbank» ATB, «Biznesni rivojlantirish banki» ATB, «Xalq banki» ATB va «Ipoteka-bank» ATB. Ularning 2025-yil yakunidagi jami aktivlari 272,1 trln so‘mni, ya’ni bank tizimi aktivlarining 29,4 foizini tashkil etadi</w:t>
      </w:r>
      <w:r>
        <w:rPr>
          <w:rStyle w:val="FootnoteReference"/>
        </w:rPr>
        <w:footnoteReference w:id="392"/>
      </w:r>
      <w:r>
        <w:rPr>
          <w:rFonts w:ascii="Times New Roman" w:hAnsi="Times New Roman" w:cs="Times New Roman" w:eastAsia="Times New Roman"/>
          <w:sz w:val="28"/>
        </w:rPr>
        <w:t xml:space="preserve">. Har bir yil ko‘rsatkichlari keyingi yil hisobotidagi qayta hisoblangan qiyosiy ma’lumotlardan olindi: 2024 va 2025-yillar uchun 2025-yil hisobotidan, 2023-yil uchun 2024-yil hisobotidan va hokazo</w:t>
      </w:r>
      <w:r>
        <w:rPr>
          <w:rStyle w:val="FootnoteReference"/>
        </w:rPr>
        <w:footnoteReference w:id="393"/>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rPr>
          <w:rFonts w:ascii="Times New Roman" w:hAnsi="Times New Roman" w:cs="Times New Roman" w:eastAsia="Times New Roman"/>
          <w:sz w:val="28"/>
        </w:rPr>
        <w:t xml:space="preserve">. Bu yondashuv hisob siyosati o‘zgarishi va xatolarni tuzatish natijasidagi qayta hisoblashlarni hisobga olish imkonini beradi: masalan, «Xalq banki» ATB ning 2021-yil uchun xususiy kapitali keyingi yil hisobotida 4 565,1 mlrd so‘mdan 3 231,4 mlrd so‘mga, «Ipoteka-bank» ATB ning 2022-yil uchun sof foydasi esa 1 334,3 mlrd so‘mdan 947,1 mlrd so‘mga qayta hisoblangan</w:t>
      </w:r>
      <w:r>
        <w:rPr>
          <w:rStyle w:val="FootnoteReference"/>
        </w:rPr>
        <w:footnoteReference w:id="398"/>
      </w:r>
      <w:r>
        <w:rPr>
          <w:rStyle w:val="FootnoteReference"/>
        </w:rPr>
        <w:footnoteReference w:id="39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Banklarning MHXS hisobotlarida 3.1-paragrafdagi 14 ta ko‘rsatkichning ayrimlari oshkor qilinmaydi. Xususan, likvidlikni qoplash koeffitsiyenti va sof barqaror moliyalashtirish me’yori tahlil qilingan hisobotlarning birortasida e’lon qilinmagan. Shu sababli ochiq ma’lumotlar asosidagi reyting uchun metodika quyidagicha moslashtirildi (3.2.1-jadval).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 ochiq ma’lumotlar asosida hisoblashda ko‘rsatkichlarning moslashtirilishi</w:t>
      </w:r>
      <w:r>
        <w:rPr>
          <w:rStyle w:val="FootnoteReference"/>
        </w:rPr>
        <w:footnoteReference w:id="40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3061"/>
        <w:gridCol w:w="2041"/>
        <w:gridCol w:w="2268"/>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 (3.1-§)</w:t>
            </w:r>
          </w:p>
        </w:tc>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Ochiq ma’lumotlar varianti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Manba</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K1. CET1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(MHXS bo‘yicha kapital − ozchilik ulushi − joriy yil foydasi) / risk bo‘yicha tortilgan aktivlar</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hisoboti: balans, 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Joriy foyda milliy qoidada asosiy kapitalga kirmaydi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K2. Regulyativ kapital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Hisobotda oshkor qilingan qiymat (Markaziy bank metodikasi)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MHXS asosidagi qiymat e’lon qilinmaydi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K3. Leverage</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Xususiy kapital / jami aktivlar (MHXS)</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Balans</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Yaqinlashtirilgan ko‘rsatkich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L1. LCR, L2. NSFR</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aktivlardagi ulushi (chegaralar: 5; 10; 15; 20%)</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Banklar ko‘rsatkichlari bazasi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talabi – kamida 10%, XVJ asosiy ko‘rsatkichi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Qolgan 10 ta ko‘rsatkich</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O‘zgarishsiz, MHXS ma’lumotlari bo‘yicha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Bosqichlar, zaxiralar, valyuta riski izohlari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moslashtirish asosan kapital va likvidlik bloklariga tegishli bo‘lib, ular ochiq ma’lumotlarda mavjud bo‘lgan eng yaqin ko‘rsatkichlar bilan almashtirildi. Yuqori likvid aktivlarning jami aktivlardagi ulushi Xalqaro valyuta jamg‘armasining asosiy ko‘rsatkichlaridan biri bo‘lib</w:t>
      </w:r>
      <w:r>
        <w:rPr>
          <w:rStyle w:val="FootnoteReference"/>
        </w:rPr>
        <w:footnoteReference w:id="401"/>
      </w:r>
      <w:r>
        <w:rPr>
          <w:rFonts w:ascii="Times New Roman" w:hAnsi="Times New Roman" w:cs="Times New Roman" w:eastAsia="Times New Roman"/>
          <w:sz w:val="28"/>
        </w:rPr>
        <w:t xml:space="preserve">, Markaziy bank ham uning minimal darajasini 10 foiz qilib belgilagan</w:t>
      </w:r>
      <w:r>
        <w:rPr>
          <w:rStyle w:val="FootnoteReference"/>
        </w:rPr>
        <w:footnoteReference w:id="402"/>
      </w:r>
      <w:r>
        <w:rPr>
          <w:rFonts w:ascii="Times New Roman" w:hAnsi="Times New Roman" w:cs="Times New Roman" w:eastAsia="Times New Roman"/>
          <w:sz w:val="28"/>
        </w:rPr>
        <w:t xml:space="preserve">. Shuni ta’kidlash lozimki, bu moslashtirish natijasida «O‘zsanoatqurilishbank» ATB uchun 2025-yildagi indeks 3.1-paragrafdagi 2,94 o‘rniga 2,83 ni tashkil etadi, ya’ni farq 0,11 ballni tashkil etib, barqarorlik sinfini o‘zgartirmaydi. Yuqori likvid aktivlar ulushi esa «SNS» reyting agentligi tomonidan shakllantirilgan banklar ko‘rsatkichlari bazasidan olindi</w:t>
      </w:r>
      <w:r>
        <w:rPr>
          <w:rStyle w:val="FootnoteReference"/>
        </w:rPr>
        <w:footnoteReference w:id="403"/>
      </w:r>
      <w:r>
        <w:rPr>
          <w:rFonts w:ascii="Times New Roman" w:hAnsi="Times New Roman" w:cs="Times New Roman" w:eastAsia="Times New Roman"/>
          <w:sz w:val="28"/>
        </w:rPr>
        <w:t xml:space="preserve">. Ushbu baza Markaziy bank byulleteni bilan solishtirilganda 2023–2025-yillar uchun bank tizimi jami ko‘rsatkichlari bo‘yicha farq 1 foizdan oshmasligi aniqlandi, ayrim banklarning ayrim davrlardagi xato qiymatlari esa tahlildan chiqarildi.</w:t>
      </w:r>
    </w:p>
    <w:p>
      <w:pPr>
        <w:pStyle w:val="BodyText"/>
        <w:spacing w:line="360" w:lineRule="auto" w:before="0" w:after="0"/>
        <w:ind w:firstLine="709"/>
        <w:jc w:val="both"/>
      </w:pPr>
      <w:r>
        <w:rPr>
          <w:rFonts w:ascii="Times New Roman" w:hAnsi="Times New Roman" w:cs="Times New Roman" w:eastAsia="Times New Roman"/>
          <w:sz w:val="28"/>
        </w:rPr>
        <w:t xml:space="preserve">Hisob-kitob natijasida beshta bank bo‘yicha 2021–2025-yillar uchun integral indeks qiymatlari olindi (3.2.1-rasm).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4" name="3.2.1-rasm"/>
            <wp:cNvGraphicFramePr/>
            <a:graphic>
              <a:graphicData uri="http://schemas.openxmlformats.org/drawingml/2006/chart">
                <c:chart r:id="rId3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3.2.1-rasm. Tanlangan banklarda moliyaviy barqarorlikning integral indeksi, MHXS hisobotlari asosida, 2021–2025-yillar</w:t>
      </w:r>
      <w:r>
        <w:rPr>
          <w:rStyle w:val="FootnoteReference"/>
        </w:rPr>
        <w:footnoteReference w:id="4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besh yil davomida banklarning moliyaviy barqarorligi turlicha yo‘nalishda o‘zgargan. «Xalq banki» ATB ning indeksi 2021-yildagi 2,66 dan 2025-yilda 3,38 gacha izchil oshib, I sinfga, ya’ni barqaror banklar qatoriga chiqqan. Bunga aktivlar sifatining keskin yaxshilanishi sabab bo‘lgan: bankning MHXS 9 bo‘yicha 3-bosqich kreditlari ulushi 32,2 foizdan 5,2 foizgacha kamaygan, 2021-yildagi 1 918,2 mlrd so‘m zarar o‘rniga 2025-yilda 1 257,3 mlrd so‘m sof foyda olingan</w:t>
      </w:r>
      <w:r>
        <w:rPr>
          <w:rStyle w:val="FootnoteReference"/>
        </w:rPr>
        <w:footnoteReference w:id="405"/>
      </w:r>
      <w:r>
        <w:rPr>
          <w:rFonts w:ascii="Times New Roman" w:hAnsi="Times New Roman" w:cs="Times New Roman" w:eastAsia="Times New Roman"/>
          <w:sz w:val="28"/>
        </w:rPr>
        <w:t xml:space="preserve">. «Biznesni rivojlantirish banki» ATB ning indeksi esa 2023-yilda 2,03 gacha pasayib, tahlil qilingan banklar ichida eng past qiymatga tushgan, so‘ngra 2025-yilda 3,23 gacha tiklangan. 2023-yilda bankda 3-bosqich kreditlari ulushi 19,8 foizga yetgan, MHXS bo‘yicha xususiy kapitalning aktivlarga nisbati 5,5 foizgacha pasaygan, 2024-yilda esa bank 1 367,9 mlrd so‘m zarar ko‘rgan</w:t>
      </w:r>
      <w:r>
        <w:rPr>
          <w:rStyle w:val="FootnoteReference"/>
        </w:rPr>
        <w:footnoteReference w:id="406"/>
      </w:r>
      <w:r>
        <w:rPr>
          <w:rFonts w:ascii="Times New Roman" w:hAnsi="Times New Roman" w:cs="Times New Roman" w:eastAsia="Times New Roman"/>
          <w:sz w:val="28"/>
        </w:rPr>
        <w:t xml:space="preserve">. «Ipoteka-bank» ATB da indeks 2023-yilda 3,37 dan 2,69 gacha keskin pasaygan, bunga 1 615,6 mlrd so‘mlik zarar va 3-bosqich kreditlari ulushining 7,0 foizdan 18,7 foizgacha oshishi sabab bo‘lgan</w:t>
      </w:r>
      <w:r>
        <w:rPr>
          <w:rStyle w:val="FootnoteReference"/>
        </w:rPr>
        <w:footnoteReference w:id="407"/>
      </w:r>
      <w:r>
        <w:rPr>
          <w:rFonts w:ascii="Times New Roman" w:hAnsi="Times New Roman" w:cs="Times New Roman" w:eastAsia="Times New Roman"/>
          <w:sz w:val="28"/>
        </w:rPr>
        <w:t xml:space="preserve">. «O‘zsanoatqurilishbank» ATB ning indeksi butun davr mobaynida 2,75–2,93 oralig‘ida barqaror saqlangan, «Mikrokreditbank» ATB niki esa 2,20–2,47 oralig‘ida bo‘lib, besh yilning barchasida III sinfda, ya’ni zaif banklar qatorida qolgan.</w:t>
      </w:r>
    </w:p>
    <w:p>
      <w:pPr>
        <w:pStyle w:val="BodyText"/>
        <w:spacing w:line="360" w:lineRule="auto" w:before="0" w:after="0"/>
        <w:ind w:firstLine="709"/>
        <w:jc w:val="both"/>
      </w:pPr>
      <w:r>
        <w:rPr>
          <w:rFonts w:ascii="Times New Roman" w:hAnsi="Times New Roman" w:cs="Times New Roman" w:eastAsia="Times New Roman"/>
          <w:sz w:val="28"/>
        </w:rPr>
        <w:t xml:space="preserve">Indeks dinamikasidagi o‘zgarishlarning sabablarini aniqlash uchun 2025-yil yakunidagi ko‘rsatkichlar va ularning ballari solishtirildi (3.2.2-jadval).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integral indeks ko‘rsatkichlari va ballari, 2025-yil yakuni, MHXS</w:t>
      </w:r>
      <w:r>
        <w:rPr>
          <w:rStyle w:val="FootnoteReference"/>
        </w:rPr>
        <w:footnoteReference w:id="40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360"/>
        <w:gridCol w:w="1360"/>
        <w:gridCol w:w="1360"/>
        <w:gridCol w:w="1360"/>
        <w:gridCol w:w="1360"/>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BRB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 banki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Ipoteka-bank</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CET1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9,1 (3,45)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9,5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15,0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17,0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19,8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20,2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9,9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3-bosqich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7,5 (2,50)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12,3 (1,53)</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8,2 (2,37)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5,2 (2,96)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19,7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2-bosqich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35,7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25,3 (1,97)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11,0 (3,80)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10,5 (3,89)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6,5 (3,35)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29,1 (1,09)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7,0 (3,30)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−5,8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17,2 (2,28)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(3,66)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15,5 (3,09)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18,0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10,0 (1,99)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14,6 (2,91)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324,5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242,2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417,2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228,9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 (3,49)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 (1,22)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 (3,20)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3,9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 (1,16)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14,7 (3,95)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28,1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87,6 (1,62)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81,0 (1,95)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43,7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47,5 (3,83)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kreditlar,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61,2 (1,25)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21,3 (3,91)</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majburiyatlar,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60,4 (1,64)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24,8 (4,00)</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2,83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2,47</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3,23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3,38</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3,11</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«Mikrokreditbank» ATB hisobotida xorijiy valyutadagi kreditlar ulushi oshkor qilinmagan, shu sababli valyuta bloki bitta ko‘rsatkich bo‘yicha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beshta bankning barchasi kapital bloki bo‘yicha yuqori ball olgan, ya’ni rasmiy kapital ko‘rsatkichlari bo‘yicha ular deyarli farqlanmaydi. Banklar o‘rtasidagi asosiy farq aktivlar sifati, daromadlilik va valyuta riskiga sezgirlik bloklarida namoyon bo‘ladi. «Ipoteka-bank» ATB eng yuqori daromadlilikka ega bo‘lishiga qaramay, 3-bosqich kreditlari ulushi 19,7 foiz bilan aktivlar sifati bo‘yicha eng zaif bank hisoblanadi. «O‘zsanoatqurilishbank» ATB esa kredit riski sezilarli oshgan 2-bosqich kreditlari ulushi bo‘yicha (35,7 foiz) va valyuta riski bo‘yicha eng past ballni olgan. «Mikrokreditbank» ATB esa aktivlar sifati va daromadlilik bloklarida eng past ballga ega. Barcha banklar uchun umumiy zaiflik – kreditlarning depozitlarga nisbatining yuqoriligi: beshta bankning barchasida bu ko‘rsatkich 200 foizdan oshadi, «Xalq banki» ATB da esa 417,2 foizni tashkil etadi, chunki bank pensiya jamg‘armasi mablag‘lari va boshqa davlat resurslarini jalb qiladi. Bloklar ballari bo‘yicha banklarning risk profili 3.2.2-rasmda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5" name="3.2.2-rasm"/>
            <wp:cNvGraphicFramePr/>
            <a:graphic>
              <a:graphicData uri="http://schemas.openxmlformats.org/drawingml/2006/chart">
                <c:chart r:id="rId3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3.2.2-rasm. Tanlangan banklarda integral indeks bloklari ballari, 2025-yil</w:t>
      </w:r>
      <w:r>
        <w:rPr>
          <w:rStyle w:val="FootnoteReference"/>
        </w:rPr>
        <w:footnoteReference w:id="40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indeksning bir xil qiymati turli risk profillari ortida yashirinishi mumkin. Masalan, «Biznesni rivojlantirish banki» ATB va «Ipoteka-bank» ATB ning indekslari bir-biriga yaqin (3,23 va 3,11), biroq birinchisida asosiy zaiflik likvidlik va xarajatlar samaradorligida, ikkinchisida esa aktivlar sifatida. Shu sababli muallif fikricha, integral indeks bilan bir qatorda bloklar ballarini ham e’lon qilish va eng past blok balli 1,75 dan past bo‘lgan bank uchun indeks qanchalik yuqori bo‘lmasin, alohida monitoring belgilash maqsadga muvofiq. 2025-yilda bu qoida «Mikrokreditbank» ATB ga (aktivlar sifati va daromadlilik bloklari), «O‘zsanoatqurilishbank» ATB ga (valyuta riskiga sezgirlik) va «Xalq banki» ATB ga (likvidlik) taalluqli bo‘ladi, ya’ni hatto I sinfdagi bank ham alohida yo‘nalish bo‘yicha monitoringni talab qiladi.</w:t>
      </w:r>
    </w:p>
    <w:p>
      <w:pPr>
        <w:pStyle w:val="BodyText"/>
        <w:spacing w:line="360" w:lineRule="auto" w:before="0" w:after="0"/>
        <w:ind w:firstLine="709"/>
        <w:jc w:val="both"/>
      </w:pPr>
      <w:r>
        <w:rPr>
          <w:rFonts w:ascii="Times New Roman" w:hAnsi="Times New Roman" w:cs="Times New Roman" w:eastAsia="Times New Roman"/>
          <w:sz w:val="28"/>
        </w:rPr>
        <w:t xml:space="preserve">Besh yil bo‘yicha indeks qiymatlari asosida banklar reytingi tuzildi (3.2.3-jadval).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moliyaviy barqarorlik reytingi, MHXS asosida, 2021–2025-yillar</w:t>
      </w:r>
      <w:r>
        <w:rPr>
          <w:rStyle w:val="FootnoteReference"/>
        </w:rPr>
        <w:footnoteReference w:id="41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11"/>
        <w:gridCol w:w="1417"/>
        <w:gridCol w:w="1417"/>
        <w:gridCol w:w="1417"/>
        <w:gridCol w:w="1417"/>
        <w:gridCol w:w="1417"/>
      </w:tblGrid>
      <w:tr>
        <w:trPr>
          <w:tblHeader w:val="true"/>
          <w:cantSplit/>
          <w:tblHeader/>
        </w:trPr>
        <w:tc>
          <w:tcPr>
            <w:tcW w:type="dxa" w:w="221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Xalq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2,66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2,71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2,96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3,20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3,38 (I) – 1</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Biznesni rivojlantirish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2,51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2,25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2,03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2,58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3,23 (II) – 2</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Ipoteka-bank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3,32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3,37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2,69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3,11 (II) – 3</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O‘zsanoatqurilishbank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2,82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2,91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2,75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2,83 (II) – 4</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Mikrokreditbank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2,20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2,31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2,22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2,24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2,47 (III) – 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barqarorlik sinfi, tire belgisidan keyin – reytingdagi o‘rni.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reytingning yillar bo‘yicha sezilarli o‘zgarishini ko‘rsatadi: 2021–2022-yillarda birinchi o‘rinda bo‘lgan «Ipoteka-bank» ATB 2025-yilda uchinchi o‘ringa, «Xalq banki» ATB esa uchinchi o‘rindan birinchi o‘ringa ko‘tarilgan. Faqat «Mikrokreditbank» ATB butun davr mobaynida reytingning quyi qismida qolgan. Bu natija integral indeksning bank moliyaviy holatidagi o‘zgarishlarga sezgirligini tasdiqlaydi.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reyting natijalarini talqin qilishda muhim jihatni hisobga olish lozim: tahlil qilingan banklarning to‘rttasida xususiy kapitalning o‘sishi sof foydadan sezilarli darajada oshgan. Xususiy kapitalning yillik o‘zgarishidan sof foydani ayirish orqali kapitalga kiritilgan qo‘shimcha mablag‘lar taxminiy baholandi: 2022–2025-yillarda ular «Mikrokreditbank» ATB da 5 359,2 mlrd so‘mni, «Xalq banki» ATB da 4 160,4 mlrd so‘mni, «Biznesni rivojlantirish banki» ATB da 3 187,6 mlrd so‘mni, «Ipoteka-bank» ATB da 928,9 mlrd so‘mni tashkil etgan, «O‘zsanoatqurilishbank» ATB da esa deyarli kuzatilmagan</w:t>
      </w:r>
      <w:r>
        <w:rPr>
          <w:rStyle w:val="FootnoteReference"/>
        </w:rPr>
        <w:footnoteReference w:id="411"/>
      </w:r>
      <w:r>
        <w:rPr>
          <w:rFonts w:ascii="Times New Roman" w:hAnsi="Times New Roman" w:cs="Times New Roman" w:eastAsia="Times New Roman"/>
          <w:sz w:val="28"/>
        </w:rPr>
        <w:t xml:space="preserve">. 1.3-paragrafda keltirilganidek, xalqaro reyting agentliklari bankning mustaqil, ya’ni tashqi qo‘llab-quvvatlashsiz moliyaviy barqarorligini alohida baholaydi</w:t>
      </w:r>
      <w:r>
        <w:rPr>
          <w:rStyle w:val="FootnoteReference"/>
        </w:rPr>
        <w:footnoteReference w:id="412"/>
      </w:r>
      <w:r>
        <w:rPr>
          <w:rStyle w:val="FootnoteReference"/>
        </w:rPr>
        <w:footnoteReference w:id="413"/>
      </w:r>
      <w:r>
        <w:rPr>
          <w:rFonts w:ascii="Times New Roman" w:hAnsi="Times New Roman" w:cs="Times New Roman" w:eastAsia="Times New Roman"/>
          <w:sz w:val="28"/>
        </w:rPr>
        <w:t xml:space="preserve">. Shu mantiqqa asoslanib, 2025-yil uchun integral indeks kapitalga kiritilgan mablag‘larsiz qayta hisoblandi (3.2.3-rasm).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6" name="3.2.3-rasm"/>
            <wp:cNvGraphicFramePr/>
            <a:graphic>
              <a:graphicData uri="http://schemas.openxmlformats.org/drawingml/2006/chart">
                <c:chart r:id="rId3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3.2.3-rasm. Moliyaviy barqarorlikning integral indeksi: amaldagi va davlat ko‘magisiz, 2025-yil</w:t>
      </w:r>
      <w:r>
        <w:rPr>
          <w:rStyle w:val="FootnoteReference"/>
        </w:rPr>
        <w:footnoteReference w:id="414"/>
      </w:r>
    </w:p>
    <w:p>
      <w:pPr>
        <w:pStyle w:val="BodyText"/>
        <w:spacing w:line="360" w:lineRule="auto" w:before="0" w:after="0"/>
        <w:ind w:firstLine="709"/>
        <w:jc w:val="both"/>
      </w:pPr>
      <w:r>
        <w:rPr>
          <w:rFonts w:ascii="Times New Roman" w:hAnsi="Times New Roman" w:cs="Times New Roman" w:eastAsia="Times New Roman"/>
          <w:sz w:val="28"/>
        </w:rPr>
        <w:t xml:space="preserve">Rasm ma’lumotlari davlat ko‘magining baholashga ta’siri juda katta ekanini ko‘rsatadi. «Mikrokreditbank» ATB ning indeksi davlat ko‘magisiz 2,47 dan 1,72 gacha pasayib, IV sinfga, ya’ni nobarqaror banklar qatoriga tushadi: kapitalga kiritilgan mablag‘larsiz uning birinchi darajali asosiy kapitali monandligi 2,5 foizni, kapitalning aktivlarga nisbati esa 2,9 foizni tashkil etgan bo‘lar edi. «Biznesni rivojlantirish banki» ATB ning indeksi 3,23 dan 2,51 gacha pasayadi, bunda bankning MHXS bo‘yicha kapitali deyarli to‘liq kapitalga kiritilgan mablag‘lardan iborat ekani ma’lum bo‘ladi. «Xalq banki» ATB da indeks 3,38 dan 3,23 gacha pasayib, I sinfdan II sinfga o‘tadi. «O‘zsanoatqurilishbank» ATB va «Ipoteka-bank» ATB ning indekslari esa deyarli o‘zgarmaydi. Shunday qilib, davlat banklari kapital yetarliligining yuqori ko‘rsatkichlari ko‘p hollarda o‘z faoliyati natijasi emas, balki davlatning qayta kapitallashtirishi natijasidir. Bu xulosa 2.2-paragrafda «Mikrokreditbank» ATB misolida olingan natijani bank tizimining boshqa davlat banklari misolida ham tasdiqlaydi.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milliy va MHXS hisobotlari bo‘yicha farqi, ya’ni ΔMBII ikki bank uchun 3.1-paragrafdagi to‘liq metodika bo‘yicha 2021–2025-yillarda hisoblandi, chunki faqat ular uchun Markaziy bankka taqdim etilgan prudensial hisobot shakllari mavjud</w:t>
      </w:r>
      <w:r>
        <w:rPr>
          <w:rStyle w:val="FootnoteReference"/>
        </w:rPr>
        <w:footnoteReference w:id="415"/>
      </w:r>
      <w:r>
        <w:rPr>
          <w:rStyle w:val="FootnoteReference"/>
        </w:rPr>
        <w:footnoteReference w:id="41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(3.2.4-rasm).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7" name="3.2.4-rasm"/>
            <wp:cNvGraphicFramePr/>
            <a:graphic>
              <a:graphicData uri="http://schemas.openxmlformats.org/drawingml/2006/chart">
                <c:chart r:id="rId4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3.2.4-rasm. «O‘zsanoatqurilishbank» ATB va «Mikrokreditbank» ATB da integral indeks: milliy hisobot va MHXS, 2021–2025-yillar</w:t>
      </w:r>
      <w:r>
        <w:rPr>
          <w:rStyle w:val="FootnoteReference"/>
        </w:rPr>
        <w:footnoteReference w:id="41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ΔMBII barcha yillarda manfiy bo‘lib, «O‘zsanoatqurilishbank» ATB da −0,23 dan −0,46 gacha, «Mikrokreditbank» ATB da esa −0,40 dan −0,66 gacha o‘zgargan. «O‘zsanoatqurilishbank» ATB milliy hisobot bo‘yicha besh yilning barchasida I sinfda, MHXS bo‘yicha esa II sinfda bo‘lgan. Eng muhim natija «Mikrokreditbank» ATB misolida olindi: MHXS asosidagi indeks 2023-yildayoq 2,41 gacha pasayib, III sinfga tushgan, milliy hisobot asosidagi indeks esa shu yili 2,81 ni tashkil etib, bank II sinfda qolgan. Bankning 1 703,8 mlrd so‘mlik zarari milliy hisobotda faqat 2024-yilda tan olingan. Demak, MHXS asosidagi indeks bankdagi muammoni bir yil oldin aniqlagan. Bu esa dissertatsiyaning to‘rtinchi bobida ishlab chiqiladigan erta ogohlantirish tizimida aynan MHXS asosidagi indeksdan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Tanlangan beshta bank natijalarini bank tizimi bilan solishtirish uchun «SNS» reyting agentligi bazasi asosida davlat ulushi mavjud to‘qqizta bank va boshqa banklar guruhlari bo‘yicha ochiq ma’lumotlarda mavjud ko‘rsatkichlar hisoblandi (3.2.4-jadval).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 mavjud banklar va boshqa banklarning asosiy ko‘rsatkichlari, milliy hisobot, 2023–2025-yillar</w:t>
      </w:r>
      <w:r>
        <w:rPr>
          <w:rStyle w:val="FootnoteReference"/>
        </w:rPr>
        <w:footnoteReference w:id="41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247"/>
        <w:gridCol w:w="1247"/>
        <w:gridCol w:w="1247"/>
        <w:gridCol w:w="1247"/>
        <w:gridCol w:w="1247"/>
        <w:gridCol w:w="1247"/>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2025</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2025</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Banklar soni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3,2</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7,6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20,3</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240,3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238,0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108,1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190,2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97,7</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16,3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18,9</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davlat ulushi mavjud banklar – O‘zmilliybank, O‘zsanoatqurilishbank, Agrobank, Asakabank, Xalq banki, Biznesni rivojlantirish banki, Mikrokreditbank, Aloqabank, Turonbank; ko‘rsatkichlar guruh bo‘yicha jami qiymatlar asosida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tanlangan banklar misolida olingan natijalarni bank tizimi darajasida tasdiqlaydi. Davlat ulushi mavjud banklarning daromadliligi boshqa banklarnikidan uch-to‘rt barobar past, kreditlarning depozitlarga nisbati esa ikki barobar yuqori, ya’ni ular kreditlarni asosan tashqi qarzlar va davlat resurslari hisobiga moliyalashtiradi. Yuqori likvid aktivlar ulushi ham davlat banklarida sezilarli darajada past. Kapitalning aktivlarga nisbati bo‘yicha esa guruhlar o‘rtasidagi farq unchalik katta emas, biroq yuqorida ko‘rsatilganidek, davlat banklarida bu ko‘rsatkich ko‘p hollarda qayta kapitallashtirish hisobiga ta’minlangan. Davlat va boshqa banklarning kapital rentabelligi dinamikasi 3.2.5-rasmda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8" name="3.2.5-rasm"/>
            <wp:cNvGraphicFramePr/>
            <a:graphic>
              <a:graphicData uri="http://schemas.openxmlformats.org/drawingml/2006/chart">
                <c:chart r:id="rId4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3.2.5-rasm. Davlat ulushi mavjud banklar va boshqa banklarda kapital rentabelligi (ROE), %</w:t>
      </w:r>
      <w:r>
        <w:rPr>
          <w:rStyle w:val="FootnoteReference"/>
        </w:rPr>
        <w:footnoteReference w:id="41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2022–2025-yillarda boshqa banklarning kapital rentabelligi 19–28 foiz oralig‘ida bo‘lgan bo‘lsa, davlat banklarida bu ko‘rsatkich 2024-yilda manfiy qiymatga tushgan. Bu davlat banklarida yashirin kredit riskining tan olinishi va ularni transformatsiya qilish jarayoni bilan bog‘liq. Shu bilan birga, kreditlarning depozitlarga nisbati davlat banklarida 2022-yildagi 252,9 foizdan 2025-yilda 190,2 foizgacha kamaygan, ya’ni ularning moliyalashtirish tuzilmasi asta-sekin yaxshilanmoqda.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integral indeks asosida reyting baholash natijasida xulosa qilish mumkinki, taklif etilgan metodika banklarning auditdan o‘tgan MHXS hisobotlari asosida, ya’ni ochiq ma’lumotlar bilan qo‘llanishi mumkin, bunda likvidlik me’yorlari oshkor qilinmagani sababli ularni yuqori likvid aktivlar ulushi bilan almashtirish natijaga sezilarli ta’sir ko‘rsatmaydi. Beshta bank bo‘yicha 2021–2025-yillar uchun tuzilgan reyting «Xalq banki» ATB ning barqarorligi izchil oshganini, «Biznesni rivojlantirish banki» ATB 2023-yilda, «Ipoteka-bank» ATB esa shu yili jiddiy qiyinchiliklarga duch kelganini, «Mikrokreditbank» ATB esa butun davr mobaynida zaif banklar qatorida qolganini ko‘rsatdi. Davlat ko‘magisiz hisoblangan indeks kapitalga kiritilgan mablag‘lar hisobga olinmaganda «Mikrokreditbank» ATB nobarqaror, «Biznesni rivojlantirish banki» ATB esa sezilarli zaiflashgan bo‘lishini aniqladi. Milliy va MHXS hisobotlari bo‘yicha indekslar farqi esa MHXS asosidagi indeks muammoni bir yil oldin aniqlash imkonini berishini tasdiqladi. Bu o‘z navbatida, moliyaviy barqarorlikka ta’sir etuvchi omillarni ekonometrik usullar bilan aniqlash va ularni erta ogohlantirish tizimiga kiritish zaruratini yuzaga keltiradi, bu esa keyingi paragrafda amalga oshiriladi.</w:t>
      </w:r>
    </w:p>
    <w:bookmarkEnd w:id="15"/>
    <w:bookmarkStart w:id="16" w:name="X6c38a6edb9c798881b919e115f0d8939eceb0ef"/>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3.3-§. Tijorat banklari moliyaviy barqarorligiga ta’sir etuvchi omillarning ekonometrik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FootnoteReference"/>
        </w:rPr>
        <w:footnoteReference w:id="420"/>
      </w:r>
      <w:r>
        <w:rPr>
          <w:rFonts w:ascii="Times New Roman" w:hAnsi="Times New Roman" w:cs="Times New Roman" w:eastAsia="Times New Roman"/>
          <w:sz w:val="28"/>
        </w:rPr>
        <w:t xml:space="preserve">, L. Laeven va R. Levine esa bankning to‘lovga qobiliyatsizlik riskini Z-score ko‘rsatkichi orqali o‘lchab, uning mulkchilik tuzilmasi va tartibga solish bilan bog‘liqligini aniqlagan</w:t>
      </w:r>
      <w:r>
        <w:rPr>
          <w:rStyle w:val="FootnoteReference"/>
        </w:rPr>
        <w:footnoteReference w:id="421"/>
      </w:r>
      <w:r>
        <w:rPr>
          <w:rFonts w:ascii="Times New Roman" w:hAnsi="Times New Roman" w:cs="Times New Roman" w:eastAsia="Times New Roman"/>
          <w:sz w:val="28"/>
        </w:rPr>
        <w:t xml:space="preserve">.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FootnoteReference"/>
        </w:rPr>
        <w:footnoteReference w:id="42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 va ularni tekshirishda foydalanilgan o‘zgaruvchilar</w:t>
      </w:r>
      <w:r>
        <w:rPr>
          <w:rStyle w:val="FootnoteReference"/>
        </w:rPr>
        <w:footnoteReference w:id="4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3969"/>
        <w:gridCol w:w="2608"/>
        <w:gridCol w:w="181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Kutilgan ta’sir</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H1</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Davlat banklarining moliyaviy barqarorligi xususiy banklarnikidan past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H2</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Jadal kreditlash bir yildan keyin barqarorlikni pasaytiradi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Kreditlar o‘sishi, 4 va 8 chorak lag bilan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H3</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Barqaror depozit bazasi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Depozitlar / aktivlar</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H4</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Asosiy faoliyatdan daromad olish qobiliyati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Sof foiz marjasi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H5</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Iqtisodiy o‘sish kredit riskini kamaytiradi, pul-kredit siyosatining qat’iylashuvi esa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YaIM o‘sishi, asosiy stavka, so‘m kursi, inflyatsiya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YaIM – manfiy, stavka – musbat (muammoli kreditlarga)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FootnoteReference"/>
        </w:rPr>
        <w:footnoteReference w:id="424"/>
      </w:r>
      <w:r>
        <w:rPr>
          <w:rStyle w:val="FootnoteReference"/>
        </w:rPr>
        <w:footnoteReference w:id="425"/>
      </w:r>
      <w:r>
        <w:rPr>
          <w:rFonts w:ascii="Times New Roman" w:hAnsi="Times New Roman" w:cs="Times New Roman" w:eastAsia="Times New Roman"/>
          <w:sz w:val="28"/>
        </w:rPr>
        <w:t xml:space="preserve">. Ikkinchi gipoteza D. Foos, L. Norden va M. Weber tadqiqotiga asoslanadi: ular kreditlarning g‘ayrioddiy tez o‘sishi keyingi uch yilda kredit zaxiralarining oshishi va kapitallashuvning yomonlashuviga olib kelishini ko‘rsatgan</w:t>
      </w:r>
      <w:r>
        <w:rPr>
          <w:rStyle w:val="FootnoteReference"/>
        </w:rPr>
        <w:footnoteReference w:id="426"/>
      </w:r>
      <w:r>
        <w:rPr>
          <w:rFonts w:ascii="Times New Roman" w:hAnsi="Times New Roman" w:cs="Times New Roman" w:eastAsia="Times New Roman"/>
          <w:sz w:val="28"/>
        </w:rPr>
        <w:t xml:space="preserve">. Uchinchi gipoteza A. Demirgüç-Kunt va H. Huizinga xulosasiga tayanadi: depozit bo‘lmagan, ya’ni ulgurji moliyalashtirishga ko‘proq tayanadigan banklar riskliroq bo‘ladi</w:t>
      </w:r>
      <w:r>
        <w:rPr>
          <w:rStyle w:val="FootnoteReference"/>
        </w:rPr>
        <w:footnoteReference w:id="427"/>
      </w:r>
      <w:r>
        <w:rPr>
          <w:rFonts w:ascii="Times New Roman" w:hAnsi="Times New Roman" w:cs="Times New Roman" w:eastAsia="Times New Roman"/>
          <w:sz w:val="28"/>
        </w:rPr>
        <w:t xml:space="preserve">.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FootnoteReference"/>
        </w:rPr>
        <w:footnoteReference w:id="428"/>
      </w:r>
      <w:r>
        <w:rPr>
          <w:rStyle w:val="FootnoteReference"/>
        </w:rPr>
        <w:footnoteReference w:id="429"/>
      </w:r>
      <w:r>
        <w:rPr>
          <w:rStyle w:val="FootnoteReference"/>
        </w:rPr>
        <w:footnoteReference w:id="4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Tahlil uchun ma’lumotlar bazasi uchta manba asosida shakllantirildi. Banklarning aktivlari, kreditlari, depozitlari, kapitali va muammoli kreditlari Markaziy bank tomonidan har oyda e’lon qilinadigan banklar kesimidagi statistikadan</w:t>
      </w:r>
      <w:r>
        <w:rPr>
          <w:rStyle w:val="FootnoteReference"/>
        </w:rPr>
        <w:footnoteReference w:id="431"/>
      </w:r>
      <w:r>
        <w:rPr>
          <w:rFonts w:ascii="Times New Roman" w:hAnsi="Times New Roman" w:cs="Times New Roman" w:eastAsia="Times New Roman"/>
          <w:sz w:val="28"/>
        </w:rPr>
        <w:t xml:space="preserve">, yuqori likvid aktivlar, kredit zaxiralari, foizli daromad va xarajatlar, operatsion xarajatlar va sof foyda «SNS» reyting agentligining banklar ko‘rsatkichlari bazasidan</w:t>
      </w:r>
      <w:r>
        <w:rPr>
          <w:rStyle w:val="FootnoteReference"/>
        </w:rPr>
        <w:footnoteReference w:id="432"/>
      </w:r>
      <w:r>
        <w:rPr>
          <w:rFonts w:ascii="Times New Roman" w:hAnsi="Times New Roman" w:cs="Times New Roman" w:eastAsia="Times New Roman"/>
          <w:sz w:val="28"/>
        </w:rPr>
        <w:t xml:space="preserve">, makroiqtisodiy ko‘rsatkichlar esa Markaziy bankning statistik byulletenidan olindi</w:t>
      </w:r>
      <w:r>
        <w:rPr>
          <w:rStyle w:val="FootnoteReference"/>
        </w:rPr>
        <w:footnoteReference w:id="433"/>
      </w:r>
      <w:r>
        <w:rPr>
          <w:rFonts w:ascii="Times New Roman" w:hAnsi="Times New Roman" w:cs="Times New Roman" w:eastAsia="Times New Roman"/>
          <w:sz w:val="28"/>
        </w:rPr>
        <w:t xml:space="preserve">. Ikki bank manbasi bank nomlari bo‘yicha birlashtirildi, ma’lum xato qiymatlar tahlildan chiqarildi</w:t>
      </w:r>
      <w:r>
        <w:rPr>
          <w:rStyle w:val="FootnoteReference"/>
        </w:rPr>
        <w:footnoteReference w:id="434"/>
      </w:r>
      <w:r>
        <w:rPr>
          <w:rFonts w:ascii="Times New Roman" w:hAnsi="Times New Roman" w:cs="Times New Roman" w:eastAsia="Times New Roman"/>
          <w:sz w:val="28"/>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10 tasi davlat banki</w:t>
      </w:r>
      <w:r>
        <w:rPr>
          <w:rStyle w:val="FootnoteReference"/>
        </w:rPr>
        <w:footnoteReference w:id="435"/>
      </w:r>
      <w:r>
        <w:rPr>
          <w:rFonts w:ascii="Times New Roman" w:hAnsi="Times New Roman" w:cs="Times New Roman" w:eastAsia="Times New Roman"/>
          <w:sz w:val="28"/>
        </w:rPr>
        <w:t xml:space="preserve">. Natijada 17 chorak bo‘yicha 421 ta kuzatuvdan iborat panel shakllandi.</w:t>
      </w:r>
    </w:p>
    <w:p>
      <w:pPr>
        <w:pStyle w:val="BodyText"/>
        <w:spacing w:line="360" w:lineRule="auto" w:before="0" w:after="0"/>
        <w:ind w:firstLine="709"/>
        <w:jc w:val="both"/>
      </w:pPr>
      <w:r>
        <w:rPr>
          <w:rFonts w:ascii="Times New Roman" w:hAnsi="Times New Roman" w:cs="Times New Roman" w:eastAsia="Times New Roman"/>
          <w:sz w:val="28"/>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 Natijalarning ishonchliligini tekshirish uchun muqobil bog‘liq o‘zgaruvchi sifatida xalqaro tadqiqotlarda keng qo‘llanadigan Z-score ko‘rsatkichi olindi</w:t>
      </w:r>
      <w:r>
        <w:rPr>
          <w:rStyle w:val="FootnoteReference"/>
        </w:rPr>
        <w:footnoteReference w:id="436"/>
      </w:r>
      <w:r>
        <w:rPr>
          <w:rStyle w:val="FootnoteReference"/>
        </w:rPr>
        <w:footnoteReference w:id="437"/>
      </w:r>
      <w:r>
        <w:rPr>
          <w:rFonts w:ascii="Times New Roman" w:hAnsi="Times New Roman" w:cs="Times New Roman" w:eastAsia="Times New Roman"/>
          <w:sz w:val="28"/>
        </w:rPr>
        <w:t xml:space="preserve">: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FootnoteReference"/>
        </w:rPr>
        <w:footnoteReference w:id="438"/>
      </w:r>
      <w:r>
        <w:rPr>
          <w:rFonts w:ascii="Times New Roman" w:hAnsi="Times New Roman" w:cs="Times New Roman" w:eastAsia="Times New Roman"/>
          <w:sz w:val="28"/>
        </w:rPr>
        <w:t xml:space="preserve">, taqsimotdagi kuchli asimmetriya sababli ko‘rsatkichning natural logarifmi qo‘llandi. Asosiy o‘zgaruvchilarning tavsifiy statistikasi 3.3.2-jadvalda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Tahlilda foydalanilgan o‘zgaruvchilarning tavsifiy statistikasi, 2021-yil IV chorak – 2025-yil IV chorak</w:t>
      </w:r>
      <w:r>
        <w:rPr>
          <w:rStyle w:val="FootnoteReference"/>
        </w:rPr>
        <w:footnoteReference w:id="43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134"/>
        <w:gridCol w:w="1134"/>
        <w:gridCol w:w="1134"/>
        <w:gridCol w:w="1134"/>
        <w:gridCol w:w="1134"/>
        <w:gridCol w:w="1134"/>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 chetlanish</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Minimum</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Mediana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Maksimum</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Panel integral indeksi (MBII),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sifati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Likvidlik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Daromadlilik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0,86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0,54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4,43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17,5</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78,1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138,9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414,0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13,2</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75,9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ln(aktivlar, mlrd so‘m)</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6,95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11,89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o‘sishi (yillik),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51,2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50,3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48,5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86,7</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pPr>
        <w:pStyle w:val="BodyText"/>
        <w:spacing w:line="360" w:lineRule="auto" w:before="0" w:after="0"/>
        <w:ind w:firstLine="709"/>
        <w:jc w:val="both"/>
      </w:pPr>
      <w:r>
        <w:rPr>
          <w:rFonts w:ascii="Times New Roman" w:hAnsi="Times New Roman" w:cs="Times New Roman" w:eastAsia="Times New Roman"/>
          <w:sz w:val="28"/>
        </w:rPr>
        <w:t xml:space="preserve">Ekonometrik modellarni baholashdan oldin davlat banklari va boshqa banklarning integral indeksi dinamikasini taqqoslash maqsadga muvofiq (3.3.1-rasm).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9" name="3.3.1-rasm"/>
            <wp:cNvGraphicFramePr/>
            <a:graphic>
              <a:graphicData uri="http://schemas.openxmlformats.org/drawingml/2006/chart">
                <c:chart r:id="rId4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3.3.1-rasm. Davlat banklari va boshqa banklarda panel integral indeksining medianasi, har yilning IV choragi</w:t>
      </w:r>
      <w:r>
        <w:rPr>
          <w:rStyle w:val="FootnoteReference"/>
        </w:rPr>
        <w:footnoteReference w:id="44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0" name="3.3.2-rasm"/>
            <wp:cNvGraphicFramePr/>
            <a:graphic>
              <a:graphicData uri="http://schemas.openxmlformats.org/drawingml/2006/chart">
                <c:chart r:id="rId4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3.3.2-rasm. Davlat banklari va boshqa banklarda integral indeks bloklari bo‘yicha ballar medianasi, 2025-yil IV chorak</w:t>
      </w:r>
      <w:r>
        <w:rPr>
          <w:rStyle w:val="FootnoteReference"/>
        </w:rPr>
        <w:footnoteReference w:id="44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bo‘yicha olingan bu manzara an’anaviy Z-score ko‘rsatkichi bilan solishtirilganda muhim metodologik xulosaga olib keladi (3.3.3-rasm).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1" name="3.3.3-rasm"/>
            <wp:cNvGraphicFramePr/>
            <a:graphic>
              <a:graphicData uri="http://schemas.openxmlformats.org/drawingml/2006/chart">
                <c:chart r:id="rId4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3.3.3-rasm. Davlat banklari va boshqa banklarda Z-score logarifmining medianasi, har yilning IV choragi</w:t>
      </w:r>
      <w:r>
        <w:rPr>
          <w:rStyle w:val="FootnoteReference"/>
        </w:rPr>
        <w:footnoteReference w:id="44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Z-score bo‘yicha davlat banklari 2023–2025-yillarda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Omillar ta’sirini baholash uchun quyidagi panel regressiya modeli qo‘llandi:</w:t>
      </w:r>
    </w:p>
    <w:p>
      <w:pPr>
        <w:pStyle w:val="BodyText"/>
        <w:spacing w:line="360" w:lineRule="auto" w:before="0" w:after="0"/>
        <w:ind w:firstLine="0"/>
        <w:jc w:val="center"/>
      </w:pPr>
      <w:r>
        <w:rPr>
          <w:rFonts w:ascii="Times New Roman" w:hAnsi="Times New Roman" w:cs="Times New Roman" w:eastAsia="Times New Roman"/>
          <w:i/>
          <w:sz w:val="26"/>
        </w:rPr>
        <w:t xml:space="preserve">MBII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α + β</w:t>
      </w:r>
      <w:r>
        <w:rPr>
          <w:rFonts w:ascii="Times New Roman" w:hAnsi="Times New Roman" w:cs="Times New Roman" w:eastAsia="Times New Roman"/>
          <w:i/>
          <w:sz w:val="26"/>
          <w:vertAlign w:val="subscript"/>
        </w:rPr>
        <w:t xml:space="preserve">1</w:t>
      </w:r>
      <w:r>
        <w:rPr>
          <w:rFonts w:ascii="Times New Roman" w:hAnsi="Times New Roman" w:cs="Times New Roman" w:eastAsia="Times New Roman"/>
          <w:i/>
          <w:sz w:val="26"/>
        </w:rPr>
        <w:t xml:space="preserve">·ln(Aktivlar)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2</w:t>
      </w:r>
      <w:r>
        <w:rPr>
          <w:rFonts w:ascii="Times New Roman" w:hAnsi="Times New Roman" w:cs="Times New Roman" w:eastAsia="Times New Roman"/>
          <w:i/>
          <w:sz w:val="26"/>
        </w:rPr>
        <w:t xml:space="preserve">·Kreditlar o‘sishi</w:t>
      </w:r>
      <w:r>
        <w:rPr>
          <w:rFonts w:ascii="Times New Roman" w:hAnsi="Times New Roman" w:cs="Times New Roman" w:eastAsia="Times New Roman"/>
          <w:i/>
          <w:sz w:val="26"/>
          <w:vertAlign w:val="subscript"/>
        </w:rPr>
        <w:t xml:space="preserve">i,t−4</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3</w:t>
      </w:r>
      <w:r>
        <w:rPr>
          <w:rFonts w:ascii="Times New Roman" w:hAnsi="Times New Roman" w:cs="Times New Roman" w:eastAsia="Times New Roman"/>
          <w:i/>
          <w:sz w:val="26"/>
        </w:rPr>
        <w:t xml:space="preserve">·Depozitlar/Aktivlar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4</w:t>
      </w:r>
      <w:r>
        <w:rPr>
          <w:rFonts w:ascii="Times New Roman" w:hAnsi="Times New Roman" w:cs="Times New Roman" w:eastAsia="Times New Roman"/>
          <w:i/>
          <w:sz w:val="26"/>
        </w:rPr>
        <w:t xml:space="preserve">·Sof foiz marjasi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5</w:t>
      </w:r>
      <w:r>
        <w:rPr>
          <w:rFonts w:ascii="Times New Roman" w:hAnsi="Times New Roman" w:cs="Times New Roman" w:eastAsia="Times New Roman"/>
          <w:i/>
          <w:sz w:val="26"/>
        </w:rPr>
        <w:t xml:space="preserve">·Davlat</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γ</w:t>
      </w:r>
      <w:r>
        <w:rPr>
          <w:rFonts w:ascii="Times New Roman" w:hAnsi="Times New Roman" w:cs="Times New Roman" w:eastAsia="Times New Roman"/>
          <w:i/>
          <w:sz w:val="26"/>
          <w:vertAlign w:val="subscript"/>
        </w:rPr>
        <w:t xml:space="preserve">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u</w:t>
      </w:r>
      <w:r>
        <w:rPr>
          <w:rFonts w:ascii="Times New Roman" w:hAnsi="Times New Roman" w:cs="Times New Roman" w:eastAsia="Times New Roman"/>
          <w:i/>
          <w:sz w:val="26"/>
          <w:vertAlign w:val="subscript"/>
        </w:rPr>
        <w:t xml:space="preserve">i</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ε</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 i – bank, t – chorak, γ</w:t>
      </w:r>
      <w:r>
        <w:rPr>
          <w:rFonts w:ascii="Times New Roman" w:hAnsi="Times New Roman" w:cs="Times New Roman" w:eastAsia="Times New Roman"/>
          <w:sz w:val="28"/>
          <w:vertAlign w:val="subscript"/>
        </w:rPr>
        <w:t xml:space="preserve">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chorak effektlari, u</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bankning kuzatilmaydigan individual xususiyatlari, ε</w:t>
      </w:r>
      <w:r>
        <w:rPr>
          <w:rFonts w:ascii="Times New Roman" w:hAnsi="Times New Roman" w:cs="Times New Roman" w:eastAsia="Times New Roman"/>
          <w:sz w:val="28"/>
          <w:vertAlign w:val="subscript"/>
        </w:rPr>
        <w:t xml:space="preserve">it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FootnoteReference"/>
        </w:rPr>
        <w:footnoteReference w:id="443"/>
      </w:r>
      <w:r>
        <w:rPr>
          <w:rStyle w:val="FootnoteReference"/>
        </w:rPr>
        <w:footnoteReference w:id="444"/>
      </w:r>
      <w:r>
        <w:rPr>
          <w:rFonts w:ascii="Times New Roman" w:hAnsi="Times New Roman" w:cs="Times New Roman" w:eastAsia="Times New Roman"/>
          <w:sz w:val="28"/>
        </w:rPr>
        <w:t xml:space="preserve">. Usullar o‘rtasida tanlov Breusch–Pagan va Hausman testlari asosida amalga oshirildi</w:t>
      </w:r>
      <w:r>
        <w:rPr>
          <w:rStyle w:val="FootnoteReference"/>
        </w:rPr>
        <w:footnoteReference w:id="445"/>
      </w:r>
      <w:r>
        <w:rPr>
          <w:rStyle w:val="FootnoteReference"/>
        </w:rPr>
        <w:footnoteReference w:id="446"/>
      </w:r>
      <w:r>
        <w:rPr>
          <w:rFonts w:ascii="Times New Roman" w:hAnsi="Times New Roman" w:cs="Times New Roman" w:eastAsia="Times New Roman"/>
          <w:sz w:val="28"/>
        </w:rPr>
        <w:t xml:space="preserve">. Standart xatolar heteroskedastiklik va avtokorrelyatsiyani hisobga olish uchun bank bo‘yicha klasterlangan. Indeksning inersiyasini hisobga oluvchi dinamik model esa qisqa panellardagi siljishni</w:t>
      </w:r>
      <w:r>
        <w:rPr>
          <w:rStyle w:val="FootnoteReference"/>
        </w:rPr>
        <w:footnoteReference w:id="44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bartaraf etish maqsadida T. Anderson va C. Hsiao usuli bo‘yicha birinchi farqlarda, indeksning ikki chorak oldingi qiymatini instrument sifatida qo‘llab baholandi</w:t>
      </w:r>
      <w:r>
        <w:rPr>
          <w:rStyle w:val="FootnoteReference"/>
        </w:rPr>
        <w:footnoteReference w:id="448"/>
      </w:r>
      <w:r>
        <w:rPr>
          <w:rStyle w:val="FootnoteReference"/>
        </w:rPr>
        <w:footnoteReference w:id="449"/>
      </w:r>
      <w:r>
        <w:rPr>
          <w:rFonts w:ascii="Times New Roman" w:hAnsi="Times New Roman" w:cs="Times New Roman" w:eastAsia="Times New Roman"/>
          <w:sz w:val="28"/>
        </w:rPr>
        <w:t xml:space="preserve">.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Panel integral indeksiga ta’sir etuvchi omillarni baholash natijalari</w:t>
      </w:r>
      <w:r>
        <w:rPr>
          <w:rStyle w:val="FootnoteReference"/>
        </w:rPr>
        <w:footnoteReference w:id="4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814"/>
        <w:gridCol w:w="1814"/>
        <w:gridCol w:w="1814"/>
        <w:gridCol w:w="1814"/>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Dinamik (Anderson–Hsiao)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 (t−1)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0,502*** (0,185)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0,057 (0,084)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−0,071 (0,091)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0,029 (0,139)</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0,275*** (0,095)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−0,0009*** (0,0003)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0,0001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0,011***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0,007*** (0,003)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0,008*** (0,001)</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0,021* (0,013)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0,012***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0,022*** (0,003)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−0,278 (0,205)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0,364* (0,215)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Chorak effektlari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267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0,13 (umumiy)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0,09 (bank ichidagi)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Testlar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Breusch–Pagan LM = 616,1 (p &lt; 0,001)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Hausman χ²(4) = 17,34 (p =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1-bosqich F = 17,2</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Dinamik modelda o‘zgaruvchilar birinchi farqlarda olingan. Qayd etilgan effektli modelda vaqt bo‘yicha o‘zgarmaydigan davlat banki o‘zgaruvchisi bank effektlari bilan to‘liq qamrab olinadi.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pPr>
        <w:pStyle w:val="BodyText"/>
        <w:spacing w:line="360" w:lineRule="auto" w:before="0" w:after="0"/>
        <w:ind w:firstLine="709"/>
        <w:jc w:val="both"/>
      </w:pPr>
      <w:r>
        <w:rPr>
          <w:rFonts w:ascii="Times New Roman" w:hAnsi="Times New Roman" w:cs="Times New Roman" w:eastAsia="Times New Roman"/>
          <w:sz w:val="28"/>
        </w:rPr>
        <w:t xml:space="preserve">Natijalar ikkita omil ta’sirining barcha spetsifikatsiyalarda barqarorligini ko‘rsatadi. Birinchidan, depozitlarning aktivlardagi ulushi integral indeksga musbat va 1 foiz darajada ahamiyatli ta’sir ko‘rsatadi.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FootnoteReference"/>
        </w:rPr>
        <w:footnoteReference w:id="451"/>
      </w:r>
      <w:r>
        <w:rPr>
          <w:rFonts w:ascii="Times New Roman" w:hAnsi="Times New Roman" w:cs="Times New Roman" w:eastAsia="Times New Roman"/>
          <w:sz w:val="28"/>
        </w:rPr>
        <w:t xml:space="preserve">.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pPr>
        <w:pStyle w:val="BodyText"/>
        <w:spacing w:line="360" w:lineRule="auto" w:before="0" w:after="0"/>
        <w:ind w:firstLine="709"/>
        <w:jc w:val="both"/>
      </w:pPr>
      <w:r>
        <w:rPr>
          <w:rFonts w:ascii="Times New Roman" w:hAnsi="Times New Roman" w:cs="Times New Roman" w:eastAsia="Times New Roman"/>
          <w:sz w:val="28"/>
        </w:rPr>
        <w:t xml:space="preserve">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FootnoteReference"/>
        </w:rPr>
        <w:footnoteReference w:id="452"/>
      </w:r>
      <w:r>
        <w:rPr>
          <w:rFonts w:ascii="Times New Roman" w:hAnsi="Times New Roman" w:cs="Times New Roman" w:eastAsia="Times New Roman"/>
          <w:sz w:val="28"/>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0,17 ballga oshiradi. Bu natija P. Athanasoglou va hammualliflar xulosasiga mos keladi</w:t>
      </w:r>
      <w:r>
        <w:rPr>
          <w:rStyle w:val="FootnoteReference"/>
        </w:rPr>
        <w:footnoteReference w:id="453"/>
      </w:r>
      <w:r>
        <w:rPr>
          <w:rFonts w:ascii="Times New Roman" w:hAnsi="Times New Roman" w:cs="Times New Roman" w:eastAsia="Times New Roman"/>
          <w:sz w:val="28"/>
        </w:rPr>
        <w:t xml:space="preserve">, biroq inersiyaning nisbatan pastligi bir martalik zararlar va qayta kapitallashtirishlar bilan izohlanadi. Bu indeksni har chorakda hisoblash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pPr>
        <w:pStyle w:val="BodyText"/>
        <w:spacing w:line="360" w:lineRule="auto" w:before="0" w:after="0"/>
        <w:ind w:firstLine="709"/>
        <w:jc w:val="both"/>
      </w:pPr>
      <w:r>
        <w:rPr>
          <w:rFonts w:ascii="Times New Roman" w:hAnsi="Times New Roman" w:cs="Times New Roman" w:eastAsia="Times New Roman"/>
          <w:sz w:val="28"/>
        </w:rP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ulushining integral indeksga ta’sirini baholash natijalari (Pooled OLS, chorak effektlari bilan)</w:t>
      </w:r>
      <w:r>
        <w:rPr>
          <w:rStyle w:val="FootnoteReference"/>
        </w:rPr>
        <w:footnoteReference w:id="45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 funding nazoratisiz</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 depozitlar va foiz marjasi nazorati bilan</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−0,690*** (0,185)</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−0,344* (0,202)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0,095 (0,093)</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0,119 (0,080)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0,0109*** (0,0025)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(0,014)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ta’sirining funding modeli orqali izohlanadigan qismi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−0,35 ball (50 %)</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Model 2021-yil IV choragidan 2025-yil IV choragigacha bo‘lgan barcha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boshqa sharoitlar teng bo‘lganda,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xuddi shu model bog‘liq o‘zgaruvchi sifatida Z-score logarifmi olingan holda baholandi (3.3.5-jadval).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Z-score logarifmiga ta’sir etuvchi omillarni baholash natijalari (robastlik tekshiruvi)</w:t>
      </w:r>
      <w:r>
        <w:rPr>
          <w:rStyle w:val="FootnoteReference"/>
        </w:rPr>
        <w:footnoteReference w:id="45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324"/>
        <w:gridCol w:w="2324"/>
        <w:gridCol w:w="2381"/>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0,184 (0,134)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−0,245 (0,150)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−0,776* (0,430)</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−0,0021*** (0,0008)</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−0,0017** (0,0008)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−0,0027** (0,0012)</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−0,012** (0,006)</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−0,011 (0,008)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−0,013 (0,009)</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0,017 (0,025)</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−0,005 (0,014)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−0,016 (0,016)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−0,371 (0,427)</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0,544 (0,413)</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294</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Hausman testi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χ²(4) = 6,83 (p = 0,145)</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Barcha modellarda chorak effektlari mavjud.</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FootnoteReference"/>
        </w:rPr>
        <w:footnoteReference w:id="456"/>
      </w:r>
      <w:r>
        <w:rPr>
          <w:rFonts w:ascii="Times New Roman" w:hAnsi="Times New Roman" w:cs="Times New Roman" w:eastAsia="Times New Roman"/>
          <w:sz w:val="28"/>
        </w:rP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Muammoli kreditlar ulushiga ta’sir etuvchi omillarni baholash natijalari (satellit model)</w:t>
      </w:r>
      <w:r>
        <w:rPr>
          <w:rStyle w:val="FootnoteReference"/>
        </w:rPr>
        <w:footnoteReference w:id="457"/>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effektlari)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(t−1),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0,623*** (0,051)</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0,805*** (0,061)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0,0011 (0,0037)</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0,0055 (0,0038)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(t−8),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−0,0012 (0,0014)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−0,0006 (0,0010)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1,119 (1,216)</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0,205 (0,151)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YaIM o‘sishi,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−1,437*** (0,498)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−1,927*** (0,588)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stavka,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0,705* (0,398)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0,999** (0,438)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AQSh dollari kursi o‘zgarishi,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(0,040)</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−0,066*** (0,023)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Inflyatsiya,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−0,165 (0,118)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−0,188 (0,130)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0,133 (0,304)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0,41 (bank ichidagi)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0,81</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Sakkiz chorak lag sababli model 2024-yil I choragidan 2025-yil IV choragigacha bo‘lgan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FootnoteReference"/>
        </w:rPr>
        <w:footnoteReference w:id="458"/>
      </w:r>
      <w:r>
        <w:rPr>
          <w:rFonts w:ascii="Times New Roman" w:hAnsi="Times New Roman" w:cs="Times New Roman" w:eastAsia="Times New Roman"/>
          <w:sz w:val="28"/>
        </w:rPr>
        <w:t xml:space="preserve">.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p>
    <w:p>
      <w:pPr>
        <w:pStyle w:val="BodyText"/>
        <w:spacing w:line="360" w:lineRule="auto" w:before="0" w:after="0"/>
        <w:ind w:firstLine="709"/>
        <w:jc w:val="both"/>
      </w:pPr>
      <w:r>
        <w:rPr>
          <w:rFonts w:ascii="Times New Roman" w:hAnsi="Times New Roman" w:cs="Times New Roman" w:eastAsia="Times New Roman"/>
          <w:sz w:val="28"/>
        </w:rPr>
        <w:t xml:space="preserve">Satellit modelning eng muhim natijasi shundaki, kreditlar o‘sishi na to‘rt, na sakkiz chorak lag bilan milliy tasnif bo‘yicha muammoli kreditlar ulushiga ahamiyatli ta’sir ko‘rsatmaydi. Bu D. Foos va hammualliflarning xalqaro natijasiga zid bo‘lib</w:t>
      </w:r>
      <w:r>
        <w:rPr>
          <w:rStyle w:val="FootnoteReference"/>
        </w:rPr>
        <w:footnoteReference w:id="459"/>
      </w:r>
      <w:r>
        <w:rPr>
          <w:rFonts w:ascii="Times New Roman" w:hAnsi="Times New Roman" w:cs="Times New Roman" w:eastAsia="Times New Roman"/>
          <w:sz w:val="28"/>
        </w:rPr>
        <w:t xml:space="preserve">,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pPr>
        <w:pStyle w:val="BodyText"/>
        <w:spacing w:line="360" w:lineRule="auto" w:before="0" w:after="0"/>
        <w:ind w:firstLine="709"/>
        <w:jc w:val="both"/>
      </w:pPr>
      <w:r>
        <w:rPr>
          <w:rFonts w:ascii="Times New Roman" w:hAnsi="Times New Roman" w:cs="Times New Roman" w:eastAsia="Times New Roman"/>
          <w:sz w:val="28"/>
        </w:rPr>
        <w:t xml:space="preserve">Gipotezalarni tekshirish natijalari 3.3.7-jadvalda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3.3.7-jadval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gipotezalarini tekshirish natijalari</w:t>
      </w:r>
      <w:r>
        <w:rPr>
          <w:rStyle w:val="FootnoteReference"/>
        </w:rPr>
        <w:footnoteReference w:id="4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927"/>
        <w:gridCol w:w="1474"/>
        <w:gridCol w:w="1474"/>
        <w:gridCol w:w="238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Integral indeks (MBII)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Z-score</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Muammoli kreditlar ulushi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Xulosa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H1. Davlat ulushi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−0,69*** (yarmi moliyalashtirish modeli orqali)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 Z-score uni aniqlamaydi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H2. Jadal kreditlash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Pooled modelda manfiy***, bank ichida 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barcha modellarda manfiy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Qisman tasdiqlandi: risk milliy muammoli kreditlarda aks etmaydi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H3. Depozit bazasi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barcha modellarda musbat***</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Pooled modelda manfiy**</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H4. Sof foiz marjasi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musbat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H5. YaIM o‘sishi kredit riskini kamaytiradi, asosiy stavka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chorak effektlari orqali nazorat qilindi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YaIM: manfiy***, stavka: musbat (*/**)</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0,17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bookmarkEnd w:id="16"/>
    <w:p>
      <w:pPr>
        <w:pStyle w:val="Heading1"/>
        <w:pageBreakBefore/>
        <w:jc w:val="center"/>
      </w:pPr>
      <w:r>
        <w:t>IV BOB. TIJORAT BANKLARI MOLIYAVIY BARQARORLIGINI BAHOLASH METODOLOGIYASINI TAKOMILLASHTIRISH YO‘NALISHLARI</w:t>
      </w:r>
    </w:p>
    <w:bookmarkStart w:id="17" w:name="X1595b54503e12f06e30c058f5d96c2dde3d42ae"/>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4.1-§. Banklar moliyaviy barqarorligini erta ogohlantirish tizimini shakllantirish</w:t>
      </w:r>
    </w:p>
    <w:p>
      <w:pPr>
        <w:pStyle w:val="FirstParagraph"/>
        <w:spacing w:line="360" w:lineRule="auto" w:before="0" w:after="0"/>
        <w:ind w:firstLine="709"/>
        <w:jc w:val="both"/>
      </w:pPr>
      <w:r>
        <w:rPr>
          <w:rFonts w:ascii="Times New Roman" w:hAnsi="Times New Roman" w:cs="Times New Roman" w:eastAsia="Times New Roman"/>
          <w:sz w:val="28"/>
        </w:rP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FootnoteReference"/>
        </w:rPr>
        <w:footnoteReference w:id="461"/>
      </w:r>
      <w:r>
        <w:rPr>
          <w:rFonts w:ascii="Times New Roman" w:hAnsi="Times New Roman" w:cs="Times New Roman" w:eastAsia="Times New Roman"/>
          <w:sz w:val="28"/>
        </w:rPr>
        <w:t xml:space="preserve">.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FootnoteReference"/>
        </w:rPr>
        <w:footnoteReference w:id="462"/>
      </w:r>
      <w:r>
        <w:rPr>
          <w:rFonts w:ascii="Times New Roman" w:hAnsi="Times New Roman" w:cs="Times New Roman" w:eastAsia="Times New Roman"/>
          <w:sz w:val="28"/>
        </w:rPr>
        <w:t xml:space="preserve">.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erta ogohlantirish tizimlarining asosiy yondashuvlari</w:t>
      </w:r>
      <w:r>
        <w:rPr>
          <w:rStyle w:val="FootnoteReference"/>
        </w:rPr>
        <w:footnoteReference w:id="46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2608"/>
        <w:gridCol w:w="2381"/>
        <w:gridCol w:w="2494"/>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Cheklovi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reytinglari (CAMELS)</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Joyida tekshiruv natijasida bankka 1–5 ball beriladi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Sifat omillarini, jumladan boshqaruv sifatini hisobga oladi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Tekshiruvlar oralig‘ida eskiradi, bashorat elementi yo‘q</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Signallar usuli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Har bir ko‘rsatkich chegaradan o‘tganda signal beriladi, chegara xatolar nisbati bo‘yicha tanlanadi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Sodda, natijasi oson talqin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Ko‘rsatkichlar alohida baholanadi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Statistik bashorat modellari (logit, probit)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Muammo ehtimoli bir nechta ko‘rsatkich orqali baholanadi (AQSh Federal rezerv tizimidagi FIMS modeli)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Ehtimol shaklidagi miqdoriy natija beradi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 hodisalari bo‘yicha yetarli tarixiy ma’lumot talab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Bozor va buxgalteriya ko‘rsatkichlari (Z-score)</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Kapital va daromadlilikning tebranuvchanlikka nisbati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Kam ma’lumot talab qiladi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ko‘magini bankning o‘z barqarorligi sifatida qabul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Integral indeks asosidagi tizim (taklif)</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Indeks qiymatiga qarab bank uch zonadan biriga kiritiladi, har bir zona uchun choralar belgilanadi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Bashorat kuchini bloklar bo‘yicha sabab tahlili bilan birlashtiradi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Chegaralar muntazam qayta tekshirilishi lozim</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FootnoteReference"/>
        </w:rPr>
        <w:footnoteReference w:id="464"/>
      </w:r>
      <w:r>
        <w:rPr>
          <w:rStyle w:val="FootnoteReference"/>
        </w:rPr>
        <w:footnoteReference w:id="465"/>
      </w:r>
      <w:r>
        <w:rPr>
          <w:rFonts w:ascii="Times New Roman" w:hAnsi="Times New Roman" w:cs="Times New Roman" w:eastAsia="Times New Roman"/>
          <w:sz w:val="28"/>
        </w:rPr>
        <w:t xml:space="preserve">. Ikkinchisi, A. Demirgüç-Kunt va E. Detragiache tomonidan bank inqirozlarini tahlil qilishda qo‘llangan logit modellar bo‘lib, ular muammo ehtimolini bir nechta omil asosida baholaydi</w:t>
      </w:r>
      <w:r>
        <w:rPr>
          <w:rStyle w:val="FootnoteReference"/>
        </w:rPr>
        <w:footnoteReference w:id="466"/>
      </w:r>
      <w:r>
        <w:rPr>
          <w:rFonts w:ascii="Times New Roman" w:hAnsi="Times New Roman" w:cs="Times New Roman" w:eastAsia="Times New Roman"/>
          <w:sz w:val="28"/>
        </w:rPr>
        <w:t xml:space="preserve">. E. Davis va D. Karim bu ikki yondashuvni solishtirib, logit modellar ko‘p mamlakatli global tizimlar uchun, signallar usuli esa alohida mamlakat uchun qurilgan tizimlarda maqbulroq ekanini ko‘rsatgan</w:t>
      </w:r>
      <w:r>
        <w:rPr>
          <w:rStyle w:val="FootnoteReference"/>
        </w:rPr>
        <w:footnoteReference w:id="467"/>
      </w:r>
      <w:r>
        <w:rPr>
          <w:rFonts w:ascii="Times New Roman" w:hAnsi="Times New Roman" w:cs="Times New Roman" w:eastAsia="Times New Roman"/>
          <w:sz w:val="28"/>
        </w:rPr>
        <w:t xml:space="preserve">.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FootnoteReference"/>
        </w:rPr>
        <w:footnoteReference w:id="468"/>
      </w:r>
      <w:r>
        <w:rPr>
          <w:rFonts w:ascii="Times New Roman" w:hAnsi="Times New Roman" w:cs="Times New Roman" w:eastAsia="Times New Roman"/>
          <w:sz w:val="28"/>
        </w:rPr>
        <w:t xml:space="preserve">. Yevropa banklari misolida F. Betz va hammualliflar bank darajasidagi ko‘rsatkichlarni makroiqtisodiy ko‘rsatkichlar bilan birlashtirish bashorat aniqligini oshirishini aniqlagan</w:t>
      </w:r>
      <w:r>
        <w:rPr>
          <w:rStyle w:val="FootnoteReference"/>
        </w:rPr>
        <w:footnoteReference w:id="469"/>
      </w:r>
      <w:r>
        <w:rPr>
          <w:rFonts w:ascii="Times New Roman" w:hAnsi="Times New Roman" w:cs="Times New Roman" w:eastAsia="Times New Roman"/>
          <w:sz w:val="28"/>
        </w:rPr>
        <w:t xml:space="preserve">, L. Chiaramonte va F. Poli esa Z-score muammoga uchragan banklarning 75 foizini to‘g‘ri aniqlashini ko‘rsatgan</w:t>
      </w:r>
      <w:r>
        <w:rPr>
          <w:rStyle w:val="FootnoteReference"/>
        </w:rPr>
        <w:footnoteReference w:id="470"/>
      </w:r>
      <w:r>
        <w:rPr>
          <w:rFonts w:ascii="Times New Roman" w:hAnsi="Times New Roman" w:cs="Times New Roman" w:eastAsia="Times New Roman"/>
          <w:sz w:val="28"/>
        </w:rPr>
        <w:t xml:space="preserve">. Biroq bu natijalar xususiy banklar ustun bo‘lgan bank tizimlarida olingan bo‘lib, davlat ulushi yuqori bo‘lgan tizimda ularning qo‘llanilishi alohida tekshirilishi lozim.</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oshirgan. Hisob-kitoblar 3.3-paragrafda shakllantirilgan 25 ta bank paneli asosida amalga oshirildi. Natijada 2021–2025-yillarda sakkiz bankda 10 ta muammo hodisasi aniqlandi (4.1.2-jadval).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banklarda 2021–2025-yillarda aniqlangan muammo hodisalari</w:t>
      </w:r>
      <w:r>
        <w:rPr>
          <w:rStyle w:val="FootnoteReference"/>
        </w:rPr>
        <w:footnoteReference w:id="471"/>
      </w:r>
    </w:p>
    <w:tbl>
      <w:tblPr>
        <w:tblStyle w:val="Table"/>
        <w:tblW w:type="auto" w:w="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9"/>
        <w:gridCol w:w="2494"/>
        <w:gridCol w:w="2835"/>
      </w:tblGrid>
      <w:tr>
        <w:trPr>
          <w:tblHeader w:val="true"/>
          <w:cantSplit/>
          <w:tblHeader/>
        </w:trPr>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 zararining kapitalga nisbati, %</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«Anor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9,2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48,2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«Garant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23,0</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«Invest Finance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8,3</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5,5</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43,4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15,4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5,7</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pPr>
        <w:pStyle w:val="BodyText"/>
        <w:spacing w:line="360" w:lineRule="auto" w:before="0" w:after="0"/>
        <w:ind w:firstLine="709"/>
        <w:jc w:val="both"/>
      </w:pPr>
      <w:r>
        <w:rPr>
          <w:rFonts w:ascii="Times New Roman" w:hAnsi="Times New Roman" w:cs="Times New Roman" w:eastAsia="Times New Roman"/>
          <w:sz w:val="28"/>
        </w:rPr>
        <w:t xml:space="preserve">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FootnoteReference"/>
        </w:rPr>
        <w:footnoteReference w:id="472"/>
      </w:r>
      <w:r>
        <w:rPr>
          <w:rFonts w:ascii="Times New Roman" w:hAnsi="Times New Roman" w:cs="Times New Roman" w:eastAsia="Times New Roman"/>
          <w:sz w:val="28"/>
        </w:rPr>
        <w:t xml:space="preserve">.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FootnoteReference"/>
        </w:rPr>
        <w:footnoteReference w:id="473"/>
      </w:r>
      <w:r>
        <w:rPr>
          <w:rFonts w:ascii="Times New Roman" w:hAnsi="Times New Roman" w:cs="Times New Roman" w:eastAsia="Times New Roman"/>
          <w:sz w:val="28"/>
        </w:rPr>
        <w:t xml:space="preserve">. Integral indeks va uning tarkibiy qismlari hamda muqobil ko‘rsatkichlar bo‘yicha natijalar 4.1.3-jadvalda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Ko‘rsatkichlarning muammo hodisalarini to‘rt chorak oldin bashorat qilish kuchi</w:t>
      </w:r>
      <w:r>
        <w:rPr>
          <w:rStyle w:val="FootnoteReference"/>
        </w:rPr>
        <w:footnoteReference w:id="47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474"/>
        <w:gridCol w:w="1587"/>
        <w:gridCol w:w="1360"/>
        <w:gridCol w:w="2041"/>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Shundan hodisadan oldingi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AUC</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95 % ishonch oralig‘i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0,895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0,81 – 0,96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ulushi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0,862</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0,94</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0,777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0,68 – 0,86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ROA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0,751</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0,63 – 0,85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0,579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0,46 – 0,69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Kapital / aktivlar</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0,34 – 0,55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0,419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0,24 – 0,60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ishonch oralig‘i 2000 ta bootstrap tanlanma asosida hisoblangan.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FootnoteReference"/>
        </w:rPr>
        <w:footnoteReference w:id="475"/>
      </w:r>
      <w:r>
        <w:rPr>
          <w:rFonts w:ascii="Times New Roman" w:hAnsi="Times New Roman" w:cs="Times New Roman" w:eastAsia="Times New Roman"/>
          <w:sz w:val="28"/>
        </w:rP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2" name="4.1.1-rasm"/>
            <wp:cNvGraphicFramePr/>
            <a:graphic>
              <a:graphicData uri="http://schemas.openxmlformats.org/drawingml/2006/chart">
                <c:chart r:id="rId4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4.1.1-rasm. Integral indeks, muammoli kreditlar ulushi va Z-score bo‘yicha ROC egri chiziqlari</w:t>
      </w:r>
      <w:r>
        <w:rPr>
          <w:rStyle w:val="FootnoteReference"/>
        </w:rPr>
        <w:footnoteReference w:id="4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FootnoteReference"/>
        </w:rPr>
        <w:footnoteReference w:id="4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davlat ulushi yuqori bo‘lgan O‘zbekiston bank tizimida tasdiqlanmaydi, bu esa milliy sharoitga moslashtirilgan integral ko‘rsatkichdan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qiymatini muammo ehtimoliga aylantirish uchun logit modellar baholandi. Logit model bog‘liq o‘zgaruvchi ikki qiymatli bo‘lgan holatda hodisa ehtimolini omillarning logistik funksiyasi sifatida ifodalaydi</w:t>
      </w:r>
      <w:r>
        <w:rPr>
          <w:rStyle w:val="FootnoteReference"/>
        </w:rPr>
        <w:footnoteReference w:id="478"/>
      </w:r>
      <w:r>
        <w:rPr>
          <w:rStyle w:val="FootnoteReference"/>
        </w:rPr>
        <w:footnoteReference w:id="479"/>
      </w:r>
      <w:r>
        <w:rPr>
          <w:rFonts w:ascii="Times New Roman" w:hAnsi="Times New Roman" w:cs="Times New Roman" w:eastAsia="Times New Roman"/>
          <w:sz w:val="28"/>
        </w:rPr>
        <w:t xml:space="preserve">. Taqqoslash maqsadida Z-score asosidagi, indeks bloklari asosidagi va davlat ulushini hisobga olgan modellar ham baholandi (4.1.4-jadval).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 hodisasi ehtimolini baholovchi logit modellar natijalari</w:t>
      </w:r>
      <w:r>
        <w:rPr>
          <w:rStyle w:val="FootnoteReference"/>
        </w:rPr>
        <w:footnoteReference w:id="48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5-model</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9,61*** (3,18)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−3,57 (2,31)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19,14*** (5,99)</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4,36** (1,92)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12,29*** (3,99)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−3,86*** (1,12)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−7,05*** (1,88)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−4,49*** (1,27)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0,44 (0,78)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−0,15 (0,53)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−2,05*** (0,50)</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0,09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−0,29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−1,35* (0,79)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Psevdo-R²</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0,01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0,41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0,35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AUC</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0,581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0,955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0,911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0,887</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2- va 3-modellar Z-score hisoblash uchun yetarli tarix mavjud bo‘lgan kuzatuvlar asosida baholangan.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3" name="4.1.2-rasm"/>
            <wp:cNvGraphicFramePr/>
            <a:graphic>
              <a:graphicData uri="http://schemas.openxmlformats.org/drawingml/2006/chart">
                <c:chart r:id="rId4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4.1.2-rasm. Integral indeks qiymatiga qarab keyingi to‘rt chorakda muammo hodisasi yuz berish ehtimoli, foizda</w:t>
      </w:r>
      <w:r>
        <w:rPr>
          <w:rStyle w:val="FootnoteReference"/>
        </w:rPr>
        <w:footnoteReference w:id="48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FootnoteReference"/>
        </w:rPr>
        <w:footnoteReference w:id="482"/>
      </w:r>
      <w:r>
        <w:rPr>
          <w:rFonts w:ascii="Times New Roman" w:hAnsi="Times New Roman" w:cs="Times New Roman" w:eastAsia="Times New Roman"/>
          <w:sz w:val="28"/>
        </w:rPr>
        <w:t xml:space="preserve">: har bir chegara uchun ikki turdagi xato hisoblandi. I tur xato muammo hodisasidan oldin signal berilmagan holatlar ulushini, II tur xato esa muammo yuz bermagan holatda berilgan noto‘g‘ri signallar ulushini bildiradi (4.1.5-jadval).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indeksning turli chegaralarida erta ogohlantirish signallarining aniqligi</w:t>
      </w:r>
      <w:r>
        <w:rPr>
          <w:rStyle w:val="FootnoteReference"/>
        </w:rPr>
        <w:footnoteReference w:id="4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60"/>
        <w:gridCol w:w="1247"/>
        <w:gridCol w:w="1474"/>
        <w:gridCol w:w="1247"/>
        <w:gridCol w:w="1304"/>
        <w:gridCol w:w="1304"/>
        <w:gridCol w:w="1360"/>
      </w:tblGrid>
      <w:tr>
        <w:trPr>
          <w:tblHeader w:val="true"/>
          <w:cantSplit/>
          <w:tblHeader/>
        </w:trPr>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chegarasi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To‘g‘ri signal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O‘tkazib yuborilgan hodisa</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Noto‘g‘ri signal</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 tur xato, %</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II tur xato,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Shovqin/signal nisbati</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2,75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0,09</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2,85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8,2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23,1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17,4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0,36</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3,50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47,2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0,56</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shovqin/signal nisbati – II tur xatoning to‘g‘ri signallar ulushiga nisbati; uning qiymati qancha past bo‘lsa, signal shuncha ishonchli.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erta ogohlantirish signalini qanday berganini tadqiqotning asosiy obyektlari bo‘lgan «Mikrokreditbank» ATB va «O‘zsanoatqurilishbank» ATB misolida ko‘rib chiqish mumkin. Dastlab «Mikrokreditbank» ATB ning integral indeksi dinamikasini ko‘rib chiqamiz (4.1.3-rasm).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4" name="4.1.3-rasm"/>
            <wp:cNvGraphicFramePr/>
            <a:graphic>
              <a:graphicData uri="http://schemas.openxmlformats.org/drawingml/2006/chart">
                <c:chart r:id="rId4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4.1.3-rasm. «Mikrokreditbank» ATB da milliy hisobot va MHXS hisoboti asosidagi integral indeks hamda erta ogohlantirish chegaralari, 2021–2025-yillar</w:t>
      </w:r>
      <w:r>
        <w:rPr>
          <w:rStyle w:val="FootnoteReference"/>
        </w:rPr>
        <w:footnoteReference w:id="48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oldin berilgan. Zarar va qayta kapitallashtirishdan keyin indeks 2025-yilda 2,90 ballgacha oshib, sariq zonaga o‘tgan. MHXS hisobotlari asosida 3.2-paragrafda hisoblangan indeks esa butun davr mobaynida 2,20–2,47 ball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3–4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5" name="4.1.4-rasm"/>
            <wp:cNvGraphicFramePr/>
            <a:graphic>
              <a:graphicData uri="http://schemas.openxmlformats.org/drawingml/2006/chart">
                <c:chart r:id="rId4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4.1.4-rasm. «O‘zsanoatqurilishbank» ATB da milliy hisobot va MHXS hisoboti asosidagi integral indeks hamda erta ogohlantirish chegaralari, 2021–2025-yillar</w:t>
      </w:r>
      <w:r>
        <w:rPr>
          <w:rStyle w:val="FootnoteReference"/>
        </w:rPr>
        <w:footnoteReference w:id="48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milliy hisobot ma’lumotlari asosidagi indeks 2021–2025-yillarda 3,17–3,61 ball oralig‘ida bo‘lib, bank asosan yashil zonada, 2022-yil IV choragidan 2024-yil II choragigacha bo‘lgan davrda esa sariq zonaning yuqori qismida (3,17–3,32 ball) joylashgan. Bankning eng zaif tomoni likvidlik bloki bo‘lib, uning bali 1,51–2,33 ni tashkil etgan, chunki kreditlarning depozitlarga nisbati 2023-yil IV choragida 414 foizga yetgan, 2025-yil oxirida esa 206 foizgacha pasaygan. MHXS hisobotlari asosidagi indeks esa butun davr mobaynida 2,75–2,93 ball bilan sariq zonada bo‘lgan, 2024-yilda esa qizil zona chegarasiga yetgan.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Olingan natijalar asosida integral indeksga asoslangan uch zonali erta ogohlantirish tizimi taklif etiladi (4.1.6-jadval).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indeksga asoslangan erta ogohlantirish tizimi</w:t>
      </w:r>
      <w:r>
        <w:rPr>
          <w:rStyle w:val="FootnoteReference"/>
        </w:rPr>
        <w:footnoteReference w:id="48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1134"/>
        <w:gridCol w:w="1247"/>
        <w:gridCol w:w="1360"/>
        <w:gridCol w:w="2494"/>
        <w:gridCol w:w="215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Zona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Bir yil ichida muammo ehtimoli (logit model)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Tahlil davrida kuzatilgan hodisalar ulushi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Nazorat organining choralari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rahbariyatining choralari</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3,25 va undan yuqori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5 % dan past</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2,0 % (200 kuzatuvdan 4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Odatiy masofaviy monitoring, yiliga bir marta indeks bloklarini tahlil qilish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Odatiy risklarni boshqarish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 3,25</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5–27 %</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6,8 % (74 kuzatuvdan 5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chorakda kuchaytirilgan monitoring; eng past ball olgan blok bo‘yicha qo‘shimcha ma’lumot so‘rash; kredit portfeli sifatini MHXS 9 bosqichlari bo‘yicha tekshirish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Zaif blok bo‘yicha tuzatish rejasini ishlab chiqish; kreditlar o‘sishini cheklash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Qizil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dan past</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27 % dan yuqori</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50,0 % (34 kuzatuvdan 17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Joyida maqsadli tekshiruv; zaxiralar yetarliligini mustaqil baholash; kapitalni tiklash rejasini talab qilish; dividend to‘lashni cheklash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Kapitalni tiklash va muammoli aktivlarni qisqartirish rejasi; aksiyadorlar bilan qo‘shimcha kapital bo‘yicha kelishuv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pPr>
        <w:pStyle w:val="BodyText"/>
        <w:spacing w:line="360" w:lineRule="auto" w:before="0" w:after="0"/>
        <w:ind w:firstLine="709"/>
        <w:jc w:val="both"/>
      </w:pPr>
      <w:r>
        <w:rPr>
          <w:rFonts w:ascii="Times New Roman" w:hAnsi="Times New Roman" w:cs="Times New Roman" w:eastAsia="Times New Roman"/>
          <w:sz w:val="28"/>
        </w:rP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bookmarkEnd w:id="17"/>
    <w:bookmarkStart w:id="18" w:name="X9a31a9a7e35eee55cb506e353006e9b5b31985f"/>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4.2-§. Tijorat banklari moliyaviy barqarorligining 2026–2028-yillarga prognozi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FootnoteReference"/>
        </w:rPr>
        <w:footnoteReference w:id="487"/>
      </w:r>
      <w:r>
        <w:rPr>
          <w:rFonts w:ascii="Times New Roman" w:hAnsi="Times New Roman" w:cs="Times New Roman" w:eastAsia="Times New Roman"/>
          <w:sz w:val="28"/>
        </w:rPr>
        <w:t xml:space="preserve">. M. Sorge va K. Virolainen esa makro stress-testlarda kredit riskining makroiqtisodiy omillarga sezgirligini baholovchi «satellit» modellardan foydalanishni asosiy yondashuv sifatida ko‘rsatadi</w:t>
      </w:r>
      <w:r>
        <w:rPr>
          <w:rStyle w:val="FootnoteReference"/>
        </w:rPr>
        <w:footnoteReference w:id="488"/>
      </w:r>
      <w:r>
        <w:rPr>
          <w:rFonts w:ascii="Times New Roman" w:hAnsi="Times New Roman" w:cs="Times New Roman" w:eastAsia="Times New Roman"/>
          <w:sz w:val="28"/>
        </w:rPr>
        <w:t xml:space="preserve">. Bazel qo‘mitasining stress-test tamoyillari ham ssenariylar haqiqiy tarixiy shoklarga asoslanishi va model natijalari muntazam tekshirilishi lozimligini talab qiladi</w:t>
      </w:r>
      <w:r>
        <w:rPr>
          <w:rStyle w:val="FootnoteReference"/>
        </w:rPr>
        <w:footnoteReference w:id="489"/>
      </w:r>
      <w:r>
        <w:rPr>
          <w:rFonts w:ascii="Times New Roman" w:hAnsi="Times New Roman" w:cs="Times New Roman" w:eastAsia="Times New Roman"/>
          <w:sz w:val="28"/>
        </w:rPr>
        <w:t xml:space="preserve">. O‘zbekistonda esa bu yo‘nalishdagi ilmiy ishlar alohida ko‘rsatkichlarni prognoz qilish bilan cheklangan: B.T. Berdiyarov likvidlik ko‘rsatkichini ARIMA modeli yordamida prognoz qilgan</w:t>
      </w:r>
      <w:r>
        <w:rPr>
          <w:rStyle w:val="FootnoteReference"/>
        </w:rPr>
        <w:footnoteReference w:id="490"/>
      </w:r>
      <w:r>
        <w:rPr>
          <w:rFonts w:ascii="Times New Roman" w:hAnsi="Times New Roman" w:cs="Times New Roman" w:eastAsia="Times New Roman"/>
          <w:sz w:val="28"/>
        </w:rPr>
        <w:t xml:space="preserve">, integral barqarorlik ko‘rsatkichining ssenariy prognozi esa amalga oshirilmagan.</w:t>
      </w:r>
    </w:p>
    <w:p>
      <w:pPr>
        <w:pStyle w:val="BodyText"/>
        <w:spacing w:line="360" w:lineRule="auto" w:before="0" w:after="0"/>
        <w:ind w:firstLine="709"/>
        <w:jc w:val="both"/>
      </w:pPr>
      <w:r>
        <w:rPr>
          <w:rFonts w:ascii="Times New Roman" w:hAnsi="Times New Roman" w:cs="Times New Roman" w:eastAsia="Times New Roman"/>
          <w:sz w:val="28"/>
        </w:rPr>
        <w:t xml:space="preserve">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Prognoz ssenariylari: YaIM real o‘sish sur’ati, foizda</w:t>
      </w:r>
      <w:r>
        <w:rPr>
          <w:rStyle w:val="FootnoteReference"/>
        </w:rPr>
        <w:footnoteReference w:id="49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020"/>
        <w:gridCol w:w="1020"/>
        <w:gridCol w:w="1020"/>
        <w:gridCol w:w="4762"/>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Ssenariy</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2026-yil</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2027-yil</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2028-yil</w:t>
            </w:r>
          </w:p>
        </w:tc>
        <w:tc>
          <w:tcPr>
            <w:tcW w:type="dxa" w:w="476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Ssenariyning asosi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2021–2025-yillardagi o‘rtacha o‘sish sur’ati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Ijobiy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Tahlil davridagi eng yuqori o‘sish sur’ati (2021-yil)</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Salbiy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4,5</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2022-yil II choragidagi pasayish (8,0 foizdan 4,5 foizgacha) va keyingi tiklanish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Keskin salbiy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1,6</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2020-yildagi pandemiya shoki (yillik o‘sish 1,6 foiz) va keyingi tiklanish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3.3-paragrafda ularning muammoli kreditlarga ta’siri to‘liq tanlanmada statistik ahamiyatsiz ekani aniqlangan.</w:t>
      </w:r>
    </w:p>
    <w:p>
      <w:pPr>
        <w:pStyle w:val="BodyText"/>
        <w:spacing w:line="360" w:lineRule="auto" w:before="0" w:after="0"/>
        <w:ind w:firstLine="709"/>
        <w:jc w:val="both"/>
      </w:pPr>
      <w:r>
        <w:rPr>
          <w:rFonts w:ascii="Times New Roman" w:hAnsi="Times New Roman" w:cs="Times New Roman" w:eastAsia="Times New Roman"/>
          <w:sz w:val="28"/>
        </w:rP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darajasida saqlangan, 2021-yilda esa 5,7 foizgacha oshgan</w:t>
      </w:r>
      <w:r>
        <w:rPr>
          <w:rStyle w:val="FootnoteReference"/>
        </w:rPr>
        <w:footnoteReference w:id="492"/>
      </w:r>
      <w:r>
        <w:rPr>
          <w:rFonts w:ascii="Times New Roman" w:hAnsi="Times New Roman" w:cs="Times New Roman" w:eastAsia="Times New Roman"/>
          <w:sz w:val="28"/>
        </w:rPr>
        <w:t xml:space="preserve">.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Prognozda qo‘llangan satellit modellar natijalari</w:t>
      </w:r>
      <w:r>
        <w:rPr>
          <w:rStyle w:val="FootnoteReference"/>
        </w:rPr>
        <w:footnoteReference w:id="49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381"/>
        <w:gridCol w:w="2381"/>
        <w:gridCol w:w="2268"/>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 tizim, muammoli kreditlar ulushi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 bank paneli, muammoli kreditlar ulushi</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 bank paneli, ROA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Muammoli kreditlar ulushi (t−1)</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0,494*** (0,134)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0,684*** (0,100)</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YaIM o‘sishi (t−4)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−0,151*** (0,059)</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YaIM o‘sishi (t)</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−0,153** (0,060)</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Muammoli kreditlar ulushi (t)</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−0,201*** (0,076)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2,983*** (0,874)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2,049*** (0,536)</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3,353*** (0,266)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Bank effektlari</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ha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Davr</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2021-y. I chorak – 2025-y. IV chorak (YaIM laglari 2020-yildan)</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2021-y. IV chorak – 2025-y. IV chorak</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2021-y. IV chorak – 2025-y. IV chorak</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420</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394</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0,59</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0,51 (bank ichidagi)</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0,03 (bank ichidagi)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YaIM o‘sishining 1 foiz punktga barqaror pasayishining uzoq muddatli ta’siri, foiz punkt</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0,48</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standart xatolar (1-modelda – Newey–West, 2- va 3-modellarda – bank bo‘yicha klasterlangan); ***, **, * – koeffitsiyent mos ravishda 1, 5 va 10 foiz darajada statistik ahamiyatli.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0,153 foiz punktga oshiradi. Bu koeffitsiyentning ishonchliligini tasdiqlaydi va 3.3-paragrafda qisqa tanlanma asosida olingan bahoni aniqlashtiradi.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FootnoteReference"/>
        </w:rPr>
        <w:footnoteReference w:id="494"/>
      </w:r>
      <w:r>
        <w:rPr>
          <w:rStyle w:val="FootnoteReference"/>
        </w:rPr>
        <w:footnoteReference w:id="495"/>
      </w:r>
      <w:r>
        <w:rPr>
          <w:rFonts w:ascii="Times New Roman" w:hAnsi="Times New Roman" w:cs="Times New Roman" w:eastAsia="Times New Roman"/>
          <w:sz w:val="28"/>
        </w:rPr>
        <w:t xml:space="preserve">. Buning sababi 2.3-paragrafda aniqlangan holat bo‘lib, milliy tasnif qayta tuzilgan va muddati uzaytirilgan kreditlarni muammoli deb tan olmaydi, natijada kredit riskining bir qismi milliy ko‘rsatkichda aks etmaydi.</w:t>
      </w:r>
    </w:p>
    <w:p>
      <w:pPr>
        <w:pStyle w:val="BodyText"/>
        <w:spacing w:line="360" w:lineRule="auto" w:before="0" w:after="0"/>
        <w:ind w:firstLine="709"/>
        <w:jc w:val="both"/>
      </w:pPr>
      <w:r>
        <w:rPr>
          <w:rFonts w:ascii="Times New Roman" w:hAnsi="Times New Roman" w:cs="Times New Roman" w:eastAsia="Times New Roman"/>
          <w:sz w:val="28"/>
        </w:rP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tizimida muammoli kreditlar ulushini prognoz qilish usulining orqaga tekshiruvi</w:t>
      </w:r>
      <w:r>
        <w:rPr>
          <w:rStyle w:val="FootnoteReference"/>
        </w:rPr>
        <w:footnoteReference w:id="49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020"/>
        <w:gridCol w:w="2041"/>
        <w:gridCol w:w="2041"/>
        <w:gridCol w:w="1360"/>
        <w:gridCol w:w="1360"/>
        <w:gridCol w:w="1474"/>
      </w:tblGrid>
      <w:tr>
        <w:trPr>
          <w:tblHeader w:val="true"/>
          <w:cantSplit/>
          <w:tblHeader/>
        </w:trPr>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Prognoz qilingan yil</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Haqiqiy qiymat (I–IV chorak), %</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etilgan usul bo‘yicha prognoz,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 xato: taklif etilgan usul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 xato: o‘zgarishsiz holat</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 xato: o‘rtachaga qaytuvchi model</w:t>
            </w:r>
          </w:p>
        </w:tc>
      </w:tr>
      <w:tr>
        <w:trPr>
          <w:cantSplit/>
        </w:trPr>
        <w:tc>
          <w:tcPr>
            <w:tcW w:type="dxa" w:w="1020"/>
          </w:tcPr>
          <w:p>
            <w:pPr>
              <w:pStyle w:val="Compact"/>
              <w:spacing w:line="240" w:lineRule="auto"/>
              <w:ind w:firstLine="0"/>
              <w:jc w:val="left"/>
            </w:pPr>
            <w:r>
              <w:rPr>
                <w:rFonts w:ascii="Times New Roman" w:hAnsi="Times New Roman" w:cs="Times New Roman" w:eastAsia="Times New Roman"/>
                <w:sz w:val="22"/>
              </w:rPr>
              <w:t xml:space="preserve">2023</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3,51; 3,38; 3,73; 3,53</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3,71; 3,84; 3,77; 3,65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0,21</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1,08</w:t>
            </w:r>
          </w:p>
        </w:tc>
      </w:tr>
      <w:tr>
        <w:trPr>
          <w:cantSplit/>
        </w:trPr>
        <w:tc>
          <w:tcPr>
            <w:tcW w:type="dxa" w:w="1020"/>
          </w:tcPr>
          <w:p>
            <w:pPr>
              <w:pStyle w:val="Compact"/>
              <w:spacing w:line="240" w:lineRule="auto"/>
              <w:ind w:firstLine="0"/>
              <w:jc w:val="left"/>
            </w:pPr>
            <w:r>
              <w:rPr>
                <w:rFonts w:ascii="Times New Roman" w:hAnsi="Times New Roman" w:cs="Times New Roman" w:eastAsia="Times New Roman"/>
                <w:sz w:val="22"/>
              </w:rPr>
              <w:t xml:space="preserve">2024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4,52; 4,05; 4,18; 3,97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3,50; 3,40; 3,43; 3,48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0,73</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0,65</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0,33</w:t>
            </w:r>
          </w:p>
        </w:tc>
      </w:tr>
      <w:tr>
        <w:trPr>
          <w:cantSplit/>
        </w:trPr>
        <w:tc>
          <w:tcPr>
            <w:tcW w:type="dxa" w:w="1020"/>
          </w:tcPr>
          <w:p>
            <w:pPr>
              <w:pStyle w:val="Compact"/>
              <w:spacing w:line="240" w:lineRule="auto"/>
              <w:ind w:firstLine="0"/>
              <w:jc w:val="left"/>
            </w:pPr>
            <w:r>
              <w:rPr>
                <w:rFonts w:ascii="Times New Roman" w:hAnsi="Times New Roman" w:cs="Times New Roman" w:eastAsia="Times New Roman"/>
                <w:sz w:val="22"/>
              </w:rPr>
              <w:t xml:space="preserve">2025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4,26; 3,80; 3,65; 2,99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3,99; 3,98; 3,99; 3,98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0,48</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o‘rtacha xato – prognoz va haqiqiy qiymat o‘rtasidagi o‘rtacha mutlaq farq, foiz punkt; «o‘zgarishsiz holat» – muammoli kreditlar ulushi oldingi yil oxiridagi darajada saqlanadi deb faraz qilingan prognoz; «o‘rtachaga qaytuvchi model» – 1-modelning o‘zi bo‘yicha prognoz.</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etilgan usulning o‘rtacha xatosi 0,21–0,73 foiz punktni tashkil etib, an’anaviy o‘rtachaga qaytuvchi modelga nisbatan ancha barqaror: 2023-yil uchun uning xatosi 0,21, o‘rtachaga qaytuvchi modelniki esa 1,08 foiz punktga teng.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FootnoteReference"/>
        </w:rPr>
        <w:footnoteReference w:id="497"/>
      </w:r>
      <w:r>
        <w:rPr>
          <w:rFonts w:ascii="Times New Roman" w:hAnsi="Times New Roman" w:cs="Times New Roman" w:eastAsia="Times New Roman"/>
          <w:sz w:val="28"/>
        </w:rPr>
        <w:t xml:space="preserve">. Bank tizimida muammoli kreditlar ulushining ssenariylar bo‘yicha prognozi 4.2.1-rasmda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3240000"/>
            <wp:effectExtent l="0" t="0" r="0" b="0"/>
            <wp:docPr id="56" name="4.2.1-rasm"/>
            <wp:cNvGraphicFramePr/>
            <a:graphic>
              <a:graphicData uri="http://schemas.openxmlformats.org/drawingml/2006/chart">
                <c:chart r:id="rId4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4.2.1-rasm. Bank tizimida muammoli kreditlar ulushining haqiqiy dinamikasi (2021–2025-yillar) va ssenariylar bo‘yicha prognozi (2026–2028-yillar), %</w:t>
      </w:r>
      <w:r>
        <w:rPr>
          <w:rStyle w:val="FootnoteReference"/>
        </w:rPr>
        <w:footnoteReference w:id="49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2028-yilda iqtisodiy o‘sish tiklanishi bilan muammoli kreditlar ulushi 3,7 foizgacha pasaya boshlaydi. Bu natijalar asosida 25 ta bank uchun integral indeks va erta ogohlantirish zonalari prognoz qilindi (4.2.4-jadval).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25 ta bank bo‘yicha moliyaviy barqarorlik ko‘rsatkichlarining ssenariylar bo‘yicha prognozi</w:t>
      </w:r>
      <w:r>
        <w:rPr>
          <w:rStyle w:val="FootnoteReference"/>
        </w:rPr>
        <w:footnoteReference w:id="49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154"/>
        <w:gridCol w:w="793"/>
        <w:gridCol w:w="793"/>
        <w:gridCol w:w="793"/>
        <w:gridCol w:w="793"/>
        <w:gridCol w:w="793"/>
        <w:gridCol w:w="793"/>
        <w:gridCol w:w="793"/>
        <w:gridCol w:w="793"/>
        <w:gridCol w:w="793"/>
      </w:tblGrid>
      <w:tr>
        <w:trPr>
          <w:tblHeader w:val="true"/>
          <w:cantSplit/>
          <w:tblHeader/>
        </w:trPr>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Ko‘rsatkich</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2025 (haqiqiy)</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Asosiy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Asosiy 2028</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Ijobiy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Ijobiy 2028</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Salbiy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Salbiy 2028</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Keskin salbiy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Keskin salbiy 2028</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Muammoli kreditlar ulushi, %</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2,94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3,16</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3,17</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2,86</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2,85</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3,82</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3,60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4,63</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3,65</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ROA, %</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1,71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1,71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1,56</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1,35</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1,55</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MBII medianasi, ball</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3,41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3,41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3,42</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3,18</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3,34</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Banklar soni: yashil / sariq / qizil zona</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 / 9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10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10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17 / 8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18 / 7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14 / 9 / 2</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9 / 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12 / 9 / 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8 / 2</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Qizil zonadagi banklar aktivlari ulushi, %</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5,9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24,3</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5,9</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muammoli kreditlar ulushi va ROA aktivlar bo‘yicha tortilgan o‘rtacha; erta ogohlantirish zonalari 4.1-paragrafdagi chegaralar bo‘yicha (yashil – 3,25 va undan yuqori, sariq – 2,75–3,25, qizil – 2,75 dan past).</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aniqlangan omillar bilan izohlanadi: davlat banklarida daromadlilik past (aktivlar bo‘yicha tortilgan ROA 1,0 foiz), shu sababli muammoli kreditlarning ozgina oshishi ham ularning daromadini deyarli to‘liq yo‘qotadi, xususiy banklarda esa yuqori foiz marjasi zarar uchun bufer vazifasini bajaradi.</w:t>
      </w:r>
    </w:p>
    <w:p>
      <w:pPr>
        <w:pStyle w:val="BodyText"/>
        <w:spacing w:line="360" w:lineRule="auto" w:before="0" w:after="0"/>
        <w:ind w:firstLine="709"/>
        <w:jc w:val="both"/>
      </w:pPr>
      <w:r>
        <w:rPr>
          <w:rFonts w:ascii="Times New Roman" w:hAnsi="Times New Roman" w:cs="Times New Roman" w:eastAsia="Times New Roman"/>
          <w:sz w:val="28"/>
        </w:rPr>
        <w:t xml:space="preserve">Ssenariylar bo‘yicha banklarning erta ogohlantirish zonalari o‘rtasida taqsimlanishi 4.2.2-rasmda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7" name="4.2.2-rasm"/>
            <wp:cNvGraphicFramePr/>
            <a:graphic>
              <a:graphicData uri="http://schemas.openxmlformats.org/drawingml/2006/chart">
                <c:chart r:id="rId5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4.2.2-rasm. Tanlangan 25 ta bankning ssenariylar bo‘yicha 2027-yil oxirida erta ogohlantirish zonalari bo‘yicha taqsimlanishi, banklar soni</w:t>
      </w:r>
      <w:r>
        <w:rPr>
          <w:rStyle w:val="FootnoteReference"/>
        </w:rPr>
        <w:footnoteReference w:id="50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4.2.5-jadval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banklari va boshqa banklar moliyaviy barqarorlik ko‘rsatkichlarining ssenariylar bo‘yicha 2027-yilga prognozi</w:t>
      </w:r>
      <w:r>
        <w:rPr>
          <w:rStyle w:val="FootnoteReference"/>
        </w:rPr>
        <w:footnoteReference w:id="50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154"/>
        <w:gridCol w:w="1474"/>
        <w:gridCol w:w="1134"/>
        <w:gridCol w:w="1134"/>
        <w:gridCol w:w="1134"/>
        <w:gridCol w:w="1134"/>
        <w:gridCol w:w="1134"/>
      </w:tblGrid>
      <w:tr>
        <w:trPr>
          <w:tblHeader w:val="true"/>
          <w:cantSplit/>
          <w:tblHeader/>
        </w:trPr>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Guruh</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 (haqiqiy)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Ijobiy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Salbiy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Keskin salbiy</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5,00</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2,49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2,43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3,93</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0,80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0,62</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2,87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2,74</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MBII medianasi, ball</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2,81</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MBII medianasi, ball</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3,50</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Qizil zonadagi banklar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Qizil zonadagi banklar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muammoli kreditlar ulushi va ROA aktivlar bo‘yicha tortilgan o‘rtacha.</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pPr>
        <w:pStyle w:val="BodyText"/>
        <w:spacing w:line="360" w:lineRule="auto" w:before="0" w:after="0"/>
        <w:ind w:firstLine="709"/>
        <w:jc w:val="both"/>
      </w:pPr>
      <w:r>
        <w:rPr>
          <w:rFonts w:ascii="Times New Roman" w:hAnsi="Times New Roman" w:cs="Times New Roman" w:eastAsia="Times New Roman"/>
          <w:sz w:val="28"/>
        </w:rPr>
        <w:t xml:space="preserve">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integral indeksining milliy va MHXS hisobotlari asosidagi prognozi</w:t>
      </w:r>
      <w:r>
        <w:rPr>
          <w:rStyle w:val="FootnoteReference"/>
        </w:rPr>
        <w:footnoteReference w:id="50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va hisobot</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 (haqiqiy)</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2027</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Ijobiy 2027</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Salbiy 2027</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Keskin salbiy 2027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«O‘zsanoatqurilishbank» ATB, milliy hisobot</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3,61 (yashil; 2,5 %)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3,61 (yashil; 2,7 %)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3,62 (yashil; 2,5 %)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3,57 (yashil; 3,3 %)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3,49 (yashil; 4,0 %)</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«O‘zsanoatqurilishbank» ATB, MHXS hisoboti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2,83 (sariq; 7,5 %)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2,80 (sariq; 8,1 %)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2,83 (sariq; 7,3 %)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2,71 (qizil; 9,7 %)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2,61 (qizil; 11,8 %)</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«Mikrokreditbank» ATB, milliy hisobot</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2,90 (sariq; 4,4 %)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2,84 (sariq; 4,8 %)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2,91 (sariq; 4,3 %)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2,72 (qizil; 5,7 %)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2,58 (qizil; 7,0 %)</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«Mikrokreditbank» ATB, MHXS hisoboti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2,47 (qizil; 12,3 %)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2,42 (qizil; 13,3 %)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2,49 (qizil; 12,0 %)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2,39 (qizil; 16,1 %)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2,39 (qizil; 19,4 %)</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erta ogohlantirish zonasi va muammoli kreditlar (MHXS bo‘yicha – 3-bosqich kreditlari) ulushi keltirilgan.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salbiy ssenariyda 2,71 ballgacha, keskin salbiy ssenariyda esa 2,61 ballgacha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8" name="4.2.3-rasm"/>
            <wp:cNvGraphicFramePr/>
            <a:graphic>
              <a:graphicData uri="http://schemas.openxmlformats.org/drawingml/2006/chart">
                <c:chart r:id="rId5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4.2.3-rasm. «O‘zsanoatqurilishbank» ATB va «Mikrokreditbank» ATB integral indeksining ssenariylar bo‘yicha 2027-yilga prognozi: milliy va MHXS hisobotlari asosida, ball</w:t>
      </w:r>
      <w:r>
        <w:rPr>
          <w:rStyle w:val="FootnoteReference"/>
        </w:rPr>
        <w:footnoteReference w:id="50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MHXS asosidagi indeks barcha ssenariylarda milliy indeksdan past: «O‘zsanoatqurilishbank» ATB da farq 0,78–0,88 ballni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stress-testlarini MHXS 9 bo‘yicha kreditlar bosqichlari asosida o‘tkazish va ularning natijalarini erta ogohlantirish zonalari bilan bog‘lash tavsiya etiladi.</w:t>
      </w:r>
    </w:p>
    <w:p>
      <w:pPr>
        <w:pStyle w:val="BodyText"/>
        <w:spacing w:line="360" w:lineRule="auto" w:before="0" w:after="0"/>
        <w:ind w:firstLine="709"/>
        <w:jc w:val="both"/>
      </w:pPr>
      <w:r>
        <w:rPr>
          <w:rFonts w:ascii="Times New Roman" w:hAnsi="Times New Roman" w:cs="Times New Roman" w:eastAsia="Times New Roman"/>
          <w:sz w:val="28"/>
        </w:rPr>
        <w:t xml:space="preserve">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 Uchinchidan, tahlil davri faqat bitta to‘liq bo‘lmagan iqtisodiy siklni qamraydi, shu sababli sezgirlik koeffitsiyentlari yangi ma’lumotlar to‘planishi bilan qayta baholanishi lozim.</w:t>
      </w:r>
    </w:p>
    <w:p>
      <w:pPr>
        <w:pStyle w:val="BodyText"/>
        <w:spacing w:line="360" w:lineRule="auto" w:before="0" w:after="0"/>
        <w:ind w:firstLine="709"/>
        <w:jc w:val="both"/>
      </w:pPr>
      <w:r>
        <w:rPr>
          <w:rFonts w:ascii="Times New Roman" w:hAnsi="Times New Roman" w:cs="Times New Roman" w:eastAsia="Times New Roman"/>
          <w:sz w:val="28"/>
        </w:rPr>
        <w:t xml:space="preserve">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bookmarkEnd w:id="18"/>
    <w:sectPr w:rsidR="00FC693F" w:rsidRPr="0006063C" w:rsidSect="00034616">
      <w:footerReference w:type="default" r:id="rId9"/>
      <w:pgSz w:w="12240" w:h="15840"/>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id="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
    <w:p>
      <w:pPr>
        <w:pStyle w:val="FootnoteText"/>
      </w:pPr>
      <w:r>
        <w:rPr>
          <w:rStyle w:val="FootnoteReference"/>
        </w:rPr>
        <w:footnoteRef/>
      </w:r>
      <w:r>
        <w:t xml:space="preserve"> </w:t>
      </w:r>
      <w:r>
        <w:t xml:space="preserve">European Banking Authority. 2025 EU-wide stress test: Results. – Paris: EBA, 1 August 2025.</w:t>
      </w:r>
    </w:p>
  </w:footnote>
  <w:footnote w:id="3">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5">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6">
    <w:p>
      <w:pPr>
        <w:pStyle w:val="FootnoteText"/>
      </w:pPr>
      <w:r>
        <w:rPr>
          <w:rStyle w:val="FootnoteReference"/>
        </w:rPr>
        <w:footnoteRef/>
      </w:r>
      <w:r>
        <w:t xml:space="preserve"> </w:t>
      </w:r>
      <w:r>
        <w:t xml:space="preserve">IFRS 9 Financial Instruments. – London: International Accounting Standards Board, 2014.</w:t>
      </w:r>
    </w:p>
  </w:footnote>
  <w:footnote w:id="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pPr>
        <w:pStyle w:val="FootnoteText"/>
      </w:pPr>
      <w:r>
        <w:rPr>
          <w:rStyle w:val="FootnoteReference"/>
        </w:rPr>
        <w:footnoteRef/>
      </w:r>
      <w:r>
        <w:t xml:space="preserve"> </w:t>
      </w:r>
      <w:r>
        <w:t xml:space="preserve">The Central Bank of the Republic of Uzbekistan. Financial Stability Report for 2025. – Tashkent, 2026.</w:t>
      </w:r>
    </w:p>
  </w:footnote>
  <w:footnote w:id="1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11">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2">
    <w:p>
      <w:pPr>
        <w:pStyle w:val="FootnoteText"/>
      </w:pPr>
      <w:r>
        <w:rPr>
          <w:rStyle w:val="FootnoteReference"/>
        </w:rPr>
        <w:footnoteRef/>
      </w:r>
      <w:r>
        <w:t xml:space="preserve"> </w:t>
      </w:r>
      <w:r>
        <w:t xml:space="preserve">O‘zbekiston Respublikasi Prezidentining 2020-yil 12-maydagi PF-5992-son «2020–2025-yillarga mo‘ljallangan O‘zbekiston Respublikasining bank tizimini isloh qilish strategiyasi to‘g‘risida»gi Farmoni // Qonunchilik ma’lumotlari milliy bazasi, 13.05.2020-y.</w:t>
      </w:r>
    </w:p>
  </w:footnote>
  <w:footnote w:id="13">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14">
    <w:p>
      <w:pPr>
        <w:pStyle w:val="FootnoteText"/>
      </w:pPr>
      <w:r>
        <w:rPr>
          <w:rStyle w:val="FootnoteReference"/>
        </w:rPr>
        <w:footnoteRef/>
      </w:r>
      <w:r>
        <w:t xml:space="preserve"> </w:t>
      </w:r>
      <w:r>
        <w:t xml:space="preserve">O‘zbekiston Respublikasining 2025-yil 23-iyundagi O‘RQ-1070-son «Banklarni sanatsiya qilish va tugatish to‘g‘risida»gi Qonuni // Qonunchilik ma’lumotlari milliy bazasi.</w:t>
      </w:r>
    </w:p>
  </w:footnote>
  <w:footnote w:id="15">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16">
    <w:p>
      <w:pPr>
        <w:pStyle w:val="FootnoteText"/>
      </w:pPr>
      <w:r>
        <w:rPr>
          <w:rStyle w:val="FootnoteReference"/>
        </w:rPr>
        <w:footnoteRef/>
      </w:r>
      <w:r>
        <w:t xml:space="preserve"> </w:t>
      </w:r>
      <w:r>
        <w:t xml:space="preserve">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8">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9">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20">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21">
    <w:p>
      <w:pPr>
        <w:pStyle w:val="FootnoteText"/>
      </w:pPr>
      <w:r>
        <w:rPr>
          <w:rStyle w:val="FootnoteReference"/>
        </w:rPr>
        <w:footnoteRef/>
      </w:r>
      <w:r>
        <w:t xml:space="preserve"> </w:t>
      </w:r>
      <w:r>
        <w:t xml:space="preserve">IFRS 9 Financial Instruments. – London: International Accounting Standards Board, 2014.</w:t>
      </w:r>
    </w:p>
  </w:footnote>
  <w:footnote w:id="22">
    <w:p>
      <w:pPr>
        <w:pStyle w:val="FootnoteText"/>
      </w:pPr>
      <w:r>
        <w:rPr>
          <w:rStyle w:val="FootnoteReference"/>
        </w:rPr>
        <w:footnoteRef/>
      </w:r>
      <w:r>
        <w:t xml:space="preserve"> </w:t>
      </w:r>
      <w:r>
        <w:t xml:space="preserve">Basel Committee on Banking Supervision. Report on the 2023 banking turmoil. – Basel: BIS, October 2023.</w:t>
      </w:r>
    </w:p>
  </w:footnote>
  <w:footnote w:id="23">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24">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6">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7">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28">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0">
    <w:p>
      <w:pPr>
        <w:pStyle w:val="FootnoteText"/>
      </w:pPr>
      <w:r>
        <w:rPr>
          <w:rStyle w:val="FootnoteReference"/>
        </w:rPr>
        <w:footnoteRef/>
      </w:r>
      <w:r>
        <w:t xml:space="preserve"> </w:t>
      </w:r>
      <w:r>
        <w:t xml:space="preserve">World Bank. Republic of Uzbekistan: Financial Sector Assessment. – Washington, DC: World Bank, 2025.</w:t>
      </w:r>
    </w:p>
  </w:footnote>
  <w:footnote w:id="31">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32">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33">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34">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35">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36">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w:t>
      </w:r>
    </w:p>
  </w:footnote>
  <w:footnote w:id="3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w:t>
      </w:r>
    </w:p>
  </w:footnote>
  <w:footnote w:id="38">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3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40">
    <w:p>
      <w:pPr>
        <w:pStyle w:val="FootnoteText"/>
      </w:pPr>
      <w:r>
        <w:rPr>
          <w:rStyle w:val="FootnoteReference"/>
        </w:rPr>
        <w:footnoteRef/>
      </w:r>
      <w:r>
        <w:t xml:space="preserve"> </w:t>
      </w:r>
      <w:r>
        <w:t xml:space="preserve">Adrian T., Brunnermeier M.K. CoVaR // American Economic Review. – 2016. – Vol. 106, No. 7. – P. 1705–1741.</w:t>
      </w:r>
    </w:p>
  </w:footnote>
  <w:footnote w:id="41">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w:t>
      </w:r>
    </w:p>
  </w:footnote>
  <w:footnote w:id="42">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4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w:t>
      </w:r>
    </w:p>
  </w:footnote>
  <w:footnote w:id="4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w:t>
      </w:r>
    </w:p>
  </w:footnote>
  <w:footnote w:id="45">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w:t>
      </w:r>
    </w:p>
  </w:footnote>
  <w:footnote w:id="46">
    <w:p>
      <w:pPr>
        <w:pStyle w:val="FootnoteText"/>
      </w:pPr>
      <w:r>
        <w:rPr>
          <w:rStyle w:val="FootnoteReference"/>
        </w:rPr>
        <w:footnoteRef/>
      </w:r>
      <w:r>
        <w:t xml:space="preserve"> </w:t>
      </w:r>
      <w:r>
        <w:t xml:space="preserve">Фетисов Г.Г. Устойчивость банковской системы и методология ее оценки. – М.: Экономика, 2003. – 394 с.</w:t>
      </w:r>
    </w:p>
  </w:footnote>
  <w:footnote w:id="47">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w:t>
      </w:r>
    </w:p>
  </w:footnote>
  <w:footnote w:id="49">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w:t>
      </w:r>
    </w:p>
  </w:footnote>
  <w:footnote w:id="50">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67 b; Xolmamatov F.K. O‘zbekiston Respublikasining bank tizimining barqarorligini oshirish yo‘llari: iqtisodiyot fanlari doktori (DSc) dissertatsiyasi avtoreferati. – Toshkent: TMI, 2023. – 91 b; Sharipova N.H. Tijorat banklari moliyaviy barqarorligini mustahkamlashning konseptual asoslarini takomillashtirish: iqtisodiyot fanlari doktori (DSc) dissertatsiyasi avtoreferati. – Toshkent, 2026; Xolov N.Q. Tijorat banklari barqarorligini mustahkamlash metodologiyasini takomillashtirish: iqtisodiyot fanlari doktori (DSc) dissertatsiyasi. – Toshkent: TDIU, 2025; Madaminov B.A. Tijorat banklarida risk-menejment tizimini takomillashtirish asosida moliyaviy barqarorlikni ta’minlash metodologiyasi: iqtisodiyot fanlari doktori (DSc) dissertatsiyasi avtoreferati. – Toshkent, 2026. – 78 b; Abdullayev A.Ya. Tijorat banklarining likvidlilik darajasini oshirish metodologiyasini takomillashtirish: iqtisodiyot fanlari doktori (DSc) dissertatsiyasi avtoreferati. – Toshkent, 2018. – 74 b; Bozorov R.X. Tijorat banklari moliyaviy barqarorligini ta’minlashni takomillashtirish: iqtisodiyot fanlari bo‘yicha falsafa doktori (PhD) dissertatsiyasi avtoreferati. – Toshkent, 2020. – 52 b; Togayev S.S. Tijorat banklarining moliyaviy barqarorligini ta’minlash yo‘llari: iqtisodiyot fanlari bo‘yicha falsafa doktori (PhD) dissertatsiyasi. – Toshkent, 2022; Djalilov G.K. Banklarning moliyaviy barqarorligini ta’minlashning ustuvor yo‘nalishlari: iqtisodiyot fanlari bo‘yicha falsafa doktori (PhD) dissertatsiyasi avtoreferati. – Toshkent, 2026. – 63 b; Sadikov I.G. Iqtisodiyotni transformatsiyalash jarayonida tijorat banklarining moliyaviy barqarorligini ta’minlash yo‘llari: iqtisodiyot fanlari bo‘yicha falsafa doktori (PhD) dissertatsiyasi avtoreferati. – Toshkent, 2025. – 57 b; Abdishukurov Sh.Sh. Tijorat banklarining moliyaviy barqarorligini ta’minlash yo‘nalishlari: iqtisodiyot fanlari bo‘yicha falsafa doktori (PhD) dissertatsiyasi avtoreferati. – Toshkent, 2026. – 54 b; Karabayev N.A. Tijorat banklari faoliyatini reyting tizimi asosida baholashni takomillashtirish: iqtisodiyot fanlari bo‘yicha falsafa doktori (PhD) dissertatsiyasi avtoreferati. – Toshkent, 2018. – 54 b; Yodgorov M.N. Tijorat banklari kapitali barqarorligini ta’minlash yo‘llari: iqtisodiyot fanlari bo‘yicha falsafa doktori (PhD) dissertatsiyasi avtoreferati. – Toshkent, 2026. – 69 b; Sattorova N.G‘. Tijorat banklari likvidliligini optimallashtirish yo‘llari: iqtisodiyot fanlari bo‘yicha falsafa doktori (PhD) dissertatsiyasi avtoreferati. – Toshkent, 2026. – 69 b; Ismatov N.R. Bank kredit portfeli riskini baholash va boshqarishning metodologik asoslarini takomillashtirish: iqtisodiyot fanlari doktori (DSc) dissertatsiyasi avtoreferati. – Toshkent, 2026. – 73 b; Mahmudaliyeva Yo.A. Tijorat banklarining moliyaviy barqarorligi va uni baholash: iqtisod fanlari nomzodi dissertatsiyasi avtoreferati. – Toshkent, 2001. – 22 b; Karaliyev T.M., Sayfiddinov I.F. Tijorat banklari faoliyatini tartibga solish va nazorati: darslik. – T.: Iqtisod-Moliya, 2019.</w:t>
      </w:r>
    </w:p>
  </w:footnote>
  <w:footnote w:id="51">
    <w:p>
      <w:pPr>
        <w:pStyle w:val="FootnoteText"/>
      </w:pPr>
      <w:r>
        <w:rPr>
          <w:rStyle w:val="FootnoteReference"/>
        </w:rPr>
        <w:footnoteRef/>
      </w:r>
      <w:r>
        <w:t xml:space="preserve"> </w:t>
      </w:r>
      <w:r>
        <w:t xml:space="preserve">Cargill T.F. The Financial System, Financial Regulation and Central Bank Policy. – Cambridge: Cambridge University Press, 2017. – P. 186–187.</w:t>
      </w:r>
    </w:p>
  </w:footnote>
  <w:footnote w:id="5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14–15.</w:t>
      </w:r>
    </w:p>
  </w:footnote>
  <w:footnote w:id="5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37.</w:t>
      </w:r>
    </w:p>
  </w:footnote>
  <w:footnote w:id="54">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17–28.</w:t>
      </w:r>
    </w:p>
  </w:footnote>
  <w:footnote w:id="56">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Schinasi G.J. Defining Financial Stability: IMF Working Paper WP/04/187. – Washington, DC: International Monetary Fund, 2004. – 18 p; Mishkin F.S. Global Financial Instability: Framework, Events, Issues // Journal of Economic Perspectives. – 1999. – Vol. 13, No. 4. – P. 3–20; Hendrickson J.M. Regulation and Instability in U.S. Commercial Banking: A History of Crises. – Basingstoke: Palgrave Macmillan, 2011. – P. 6–7; Thakor A.V. Leverage, System Risk and Financial System Health: How Do We Develop a Healthy Financial System? // Governance, Regulation and Bank Stability / ed. by T. Lindblom, S. Sjögren, M. Willesson. – Basingstoke: Palgrave Macmillan, 2014. – P.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Houben A., Kakes J., Schinasi G. Toward a Framework for Safeguarding Financial Stability: IMF Working Paper WP/04/101. – Washington, DC: International Monetary Fund, 2004. – P. 11; Sattarov O.B. O‘zbekiston Respublikasi bank tizimi barqarorligini ta’minlash metodologiyasini takomillashtirish: iqtisodiyot fanlari doktori (DSc) dissertatsiyasi avtoreferati. – Toshkent, 2018. – B. 13; Sadikov I.G. Iqtisodiyotni transformatsiyalash jarayonida tijorat banklarining moliyaviy barqarorligini ta’minlash yo‘llari: iqtisodiyot fanlari bo‘yicha falsafa doktori (PhD) dissertatsiyasi avtoreferati. – Toshkent, 2025. – B. 11; Madaminov B.A. Tijorat banklarida risk-menejment tizimini takomillashtirish asosida moliyaviy barqarorlikni ta’minlash metodologiyasi: iqtisodiyot fanlari doktori (DSc) dissertatsiyasi avtoreferati. – Toshkent, 2026. – B. 12; Sharipova N.H. Tijorat banklari moliyaviy barqarorligini mustahkamlashning konseptual asoslarini takomillashtirish: iqtisodiyot fanlari doktori (DSc) dissertatsiyasi avtoreferati. – Toshkent, 2026. – B. 13–14.</w:t>
      </w:r>
    </w:p>
  </w:footnote>
  <w:footnote w:id="5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22–24.</w:t>
      </w:r>
    </w:p>
  </w:footnote>
  <w:footnote w:id="5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38.</w:t>
      </w:r>
    </w:p>
  </w:footnote>
  <w:footnote w:id="59">
    <w:p>
      <w:pPr>
        <w:pStyle w:val="FootnoteText"/>
      </w:pPr>
      <w:r>
        <w:rPr>
          <w:rStyle w:val="FootnoteReference"/>
        </w:rPr>
        <w:footnoteRef/>
      </w:r>
      <w:r>
        <w:t xml:space="preserve"> </w:t>
      </w:r>
      <w:r>
        <w:t xml:space="preserve">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 – С. 65.</w:t>
      </w:r>
    </w:p>
  </w:footnote>
  <w:footnote w:id="61">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63">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64">
    <w:p>
      <w:pPr>
        <w:pStyle w:val="FootnoteText"/>
      </w:pPr>
      <w:r>
        <w:rPr>
          <w:rStyle w:val="FootnoteReference"/>
        </w:rPr>
        <w:footnoteRef/>
      </w:r>
      <w:r>
        <w:t xml:space="preserve"> </w:t>
      </w:r>
      <w:r>
        <w:t xml:space="preserve">Hendrickson J.M. Regulation and Instability in U.S. Commercial Banking: A History of Crises. – Basingstoke: Palgrave Macmillan, 2011. – P. 6–7.</w:t>
      </w:r>
    </w:p>
  </w:footnote>
  <w:footnote w:id="65">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 – P. 11.</w:t>
      </w:r>
    </w:p>
  </w:footnote>
  <w:footnote w:id="66">
    <w:p>
      <w:pPr>
        <w:pStyle w:val="FootnoteText"/>
      </w:pPr>
      <w:r>
        <w:rPr>
          <w:rStyle w:val="FootnoteReference"/>
        </w:rPr>
        <w:footnoteRef/>
      </w:r>
      <w:r>
        <w:t xml:space="preserve"> </w:t>
      </w:r>
      <w:r>
        <w:t xml:space="preserve">European Central Bank. Financial stability and macroprudential policy. – https://www.ecb.europa.eu/paym/financial-stability/html/index.en.html</w:t>
      </w:r>
    </w:p>
  </w:footnote>
  <w:footnote w:id="6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68">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B. 13.</w:t>
      </w:r>
    </w:p>
  </w:footnote>
  <w:footnote w:id="69">
    <w:p>
      <w:pPr>
        <w:pStyle w:val="FootnoteText"/>
      </w:pPr>
      <w:r>
        <w:rPr>
          <w:rStyle w:val="FootnoteReference"/>
        </w:rPr>
        <w:footnoteRef/>
      </w:r>
      <w:r>
        <w:t xml:space="preserve"> </w:t>
      </w:r>
      <w:r>
        <w:t xml:space="preserve">Bozorov R.X. Tijorat banklari moliyaviy barqarorligini ta’minlashni takomillashtirish: iqtisodiyot fanlari bo‘yicha falsafa doktori (PhD) dissertatsiyasi avtoreferati. – Toshkent, 2020. – B. 11.</w:t>
      </w:r>
    </w:p>
  </w:footnote>
  <w:footnote w:id="70">
    <w:p>
      <w:pPr>
        <w:pStyle w:val="FootnoteText"/>
      </w:pPr>
      <w:r>
        <w:rPr>
          <w:rStyle w:val="FootnoteReference"/>
        </w:rPr>
        <w:footnoteRef/>
      </w:r>
      <w:r>
        <w:t xml:space="preserve"> </w:t>
      </w:r>
      <w:r>
        <w:t xml:space="preserve">Sadikov I.G. Iqtisodiyotni transformatsiyalash jarayonida tijorat banklarining moliyaviy barqarorligini ta’minlash yo‘llari: iqtisodiyot fanlari bo‘yicha falsafa doktori (PhD) dissertatsiyasi avtoreferati. – Toshkent, 2025. – B. 11.</w:t>
      </w:r>
    </w:p>
  </w:footnote>
  <w:footnote w:id="71">
    <w:p>
      <w:pPr>
        <w:pStyle w:val="FootnoteText"/>
      </w:pPr>
      <w:r>
        <w:rPr>
          <w:rStyle w:val="FootnoteReference"/>
        </w:rPr>
        <w:footnoteRef/>
      </w:r>
      <w:r>
        <w:t xml:space="preserve"> </w:t>
      </w:r>
      <w:r>
        <w:t xml:space="preserve">Madaminov B.A. Tijorat banklarida risk-menejment tizimini takomillashtirish asosida moliyaviy barqarorlikni ta’minlash metodologiyasi: iqtisodiyot fanlari doktori (DSc) dissertatsiyasi avtoreferati. – Toshkent, 2026. – B. 12.</w:t>
      </w:r>
    </w:p>
  </w:footnote>
  <w:footnote w:id="72">
    <w:p>
      <w:pPr>
        <w:pStyle w:val="FootnoteText"/>
      </w:pPr>
      <w:r>
        <w:rPr>
          <w:rStyle w:val="FootnoteReference"/>
        </w:rPr>
        <w:footnoteRef/>
      </w:r>
      <w:r>
        <w:t xml:space="preserve"> </w:t>
      </w:r>
      <w:r>
        <w:t xml:space="preserve">Abdishukurov Sh.Sh. Tijorat banklarining moliyaviy barqarorligini ta’minlash yo‘nalishlari: iqtisodiyot fanlari bo‘yicha falsafa doktori (PhD) dissertatsiyasi avtoreferati. – Toshkent, 2026. – B. 15.</w:t>
      </w:r>
    </w:p>
  </w:footnote>
  <w:footnote w:id="73">
    <w:p>
      <w:pPr>
        <w:pStyle w:val="FootnoteText"/>
      </w:pPr>
      <w:r>
        <w:rPr>
          <w:rStyle w:val="FootnoteReference"/>
        </w:rPr>
        <w:footnoteRef/>
      </w:r>
      <w:r>
        <w:t xml:space="preserve"> </w:t>
      </w:r>
      <w:r>
        <w:t xml:space="preserve">Sharipova N.H. Tijorat banklari moliyaviy barqarorligini mustahkamlashning konseptual asoslarini takomillashtirish: iqtisodiyot fanlari doktori (DSc) dissertatsiyasi avtoreferati. – Toshkent, 2026. – B. 13–14.</w:t>
      </w:r>
    </w:p>
  </w:footnote>
  <w:footnote w:id="74">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75">
    <w:p>
      <w:pPr>
        <w:pStyle w:val="FootnoteText"/>
      </w:pPr>
      <w:r>
        <w:rPr>
          <w:rStyle w:val="FootnoteReference"/>
        </w:rPr>
        <w:footnoteRef/>
      </w:r>
      <w:r>
        <w:t xml:space="preserve"> </w:t>
      </w:r>
      <w:r>
        <w:t xml:space="preserve">Tadqiqot natijasida muallif tomonidan ishlab chiqildi.</w:t>
      </w:r>
    </w:p>
  </w:footnote>
  <w:footnote w:id="7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41–45.</w:t>
      </w:r>
    </w:p>
  </w:footnote>
  <w:footnote w:id="77">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w:t>
      </w:r>
    </w:p>
  </w:footnote>
  <w:footnote w:id="7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28–31.</w:t>
      </w:r>
    </w:p>
  </w:footnote>
  <w:footnote w:id="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31–41.</w:t>
      </w:r>
    </w:p>
  </w:footnote>
  <w:footnote w:id="8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31–41.</w:t>
      </w:r>
    </w:p>
  </w:footnote>
  <w:footnote w:id="8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35–36.</w:t>
      </w:r>
    </w:p>
  </w:footnote>
  <w:footnote w:id="83">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44.</w:t>
      </w:r>
    </w:p>
  </w:footnote>
  <w:footnote w:id="8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44.</w:t>
      </w:r>
    </w:p>
  </w:footnote>
  <w:footnote w:id="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86">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17.</w:t>
      </w:r>
    </w:p>
  </w:footnote>
  <w:footnote w:id="8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88">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89">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61–66.</w:t>
      </w:r>
    </w:p>
  </w:footnote>
  <w:footnote w:id="90">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91">
    <w:p>
      <w:pPr>
        <w:pStyle w:val="FootnoteText"/>
      </w:pPr>
      <w:r>
        <w:rPr>
          <w:rStyle w:val="FootnoteReference"/>
        </w:rPr>
        <w:footnoteRef/>
      </w:r>
      <w:r>
        <w:t xml:space="preserve"> </w:t>
      </w:r>
      <w:r>
        <w:t xml:space="preserve">Hendrickson J.M. Regulation and Instability in U.S. Commercial Banking: A History of Crises. – Basingstoke: Palgrave Macmillan, 2011. – P. 5–6.</w:t>
      </w:r>
    </w:p>
  </w:footnote>
  <w:footnote w:id="92">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 – P. 10–12.</w:t>
      </w:r>
    </w:p>
  </w:footnote>
  <w:footnote w:id="9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w:t>
      </w:r>
    </w:p>
  </w:footnote>
  <w:footnote w:id="94">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95">
    <w:p>
      <w:pPr>
        <w:pStyle w:val="FootnoteText"/>
      </w:pPr>
      <w:r>
        <w:rPr>
          <w:rStyle w:val="FootnoteReference"/>
        </w:rPr>
        <w:footnoteRef/>
      </w:r>
      <w:r>
        <w:t xml:space="preserve"> </w:t>
      </w:r>
      <w:r>
        <w:t xml:space="preserve">Roy A.D. Safety First and the Holding of Assets // Econometrica. – 1952. – Vol. 20, No. 3. – P. 431–449.</w:t>
      </w:r>
    </w:p>
  </w:footnote>
  <w:footnote w:id="96">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97">
    <w:p>
      <w:pPr>
        <w:pStyle w:val="FootnoteText"/>
      </w:pPr>
      <w:r>
        <w:rPr>
          <w:rStyle w:val="FootnoteReference"/>
        </w:rPr>
        <w:footnoteRef/>
      </w:r>
      <w:r>
        <w:t xml:space="preserve"> </w:t>
      </w:r>
      <w:r>
        <w:t xml:space="preserve">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9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100">
    <w:p>
      <w:pPr>
        <w:pStyle w:val="FootnoteText"/>
      </w:pPr>
      <w:r>
        <w:rPr>
          <w:rStyle w:val="FootnoteReference"/>
        </w:rPr>
        <w:footnoteRef/>
      </w:r>
      <w:r>
        <w:t xml:space="preserve"> </w:t>
      </w:r>
      <w:r>
        <w:t xml:space="preserve">Adrian T., Brunnermeier M.K. CoVaR // American Economic Review. – 2016. – Vol. 106, No. 7. – P. 1705–1741.</w:t>
      </w:r>
    </w:p>
  </w:footnote>
  <w:footnote w:id="101">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55–62.</w:t>
      </w:r>
    </w:p>
  </w:footnote>
  <w:footnote w:id="102">
    <w:p>
      <w:pPr>
        <w:pStyle w:val="FootnoteText"/>
      </w:pPr>
      <w:r>
        <w:rPr>
          <w:rStyle w:val="FootnoteReference"/>
        </w:rPr>
        <w:footnoteRef/>
      </w:r>
      <w:r>
        <w:t xml:space="preserve"> </w:t>
      </w:r>
      <w:r>
        <w:t xml:space="preserve">IFRS 9 Financial Instruments. – London: International Accounting Standards Board, 2014.</w:t>
      </w:r>
    </w:p>
  </w:footnote>
  <w:footnote w:id="103">
    <w:p>
      <w:pPr>
        <w:pStyle w:val="FootnoteText"/>
      </w:pPr>
      <w:r>
        <w:rPr>
          <w:rStyle w:val="FootnoteReference"/>
        </w:rPr>
        <w:footnoteRef/>
      </w:r>
      <w:r>
        <w:t xml:space="preserve"> </w:t>
      </w:r>
      <w:r>
        <w:t xml:space="preserve">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pPr>
        <w:pStyle w:val="FootnoteText"/>
      </w:pPr>
      <w:r>
        <w:rPr>
          <w:rStyle w:val="FootnoteReference"/>
        </w:rPr>
        <w:footnoteRef/>
      </w:r>
      <w:r>
        <w:t xml:space="preserve"> </w:t>
      </w:r>
      <w:r>
        <w:t xml:space="preserve">Tadqiqot natijasida muallif tomonidan ishlab chiqildi.</w:t>
      </w:r>
    </w:p>
  </w:footnote>
  <w:footnote w:id="105">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4, 17.</w:t>
      </w:r>
    </w:p>
  </w:footnote>
  <w:footnote w:id="10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107">
    <w:p>
      <w:pPr>
        <w:pStyle w:val="FootnoteText"/>
      </w:pPr>
      <w:r>
        <w:rPr>
          <w:rStyle w:val="FootnoteReference"/>
        </w:rPr>
        <w:footnoteRef/>
      </w:r>
      <w:r>
        <w:t xml:space="preserve"> </w:t>
      </w:r>
      <w:r>
        <w:t xml:space="preserve">Cargill T.F. The Financial System, Financial Regulation and Central Bank Policy. – Cambridge: Cambridge University Press, 2017. – P. 184–185.</w:t>
      </w:r>
    </w:p>
  </w:footnote>
  <w:footnote w:id="108">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61–62.</w:t>
      </w:r>
    </w:p>
  </w:footnote>
  <w:footnote w:id="109">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 27.</w:t>
      </w:r>
    </w:p>
  </w:footnote>
  <w:footnote w:id="110">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49–53.</w:t>
      </w:r>
    </w:p>
  </w:footnote>
  <w:footnote w:id="111">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49.</w:t>
      </w:r>
    </w:p>
  </w:footnote>
  <w:footnote w:id="11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57–61.</w:t>
      </w:r>
    </w:p>
  </w:footnote>
  <w:footnote w:id="11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115">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100, 193–195.</w:t>
      </w:r>
    </w:p>
  </w:footnote>
  <w:footnote w:id="116">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11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62–69.</w:t>
      </w:r>
    </w:p>
  </w:footnote>
  <w:footnote w:id="118">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11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w:t>
      </w:r>
    </w:p>
  </w:footnote>
  <w:footnote w:id="1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56–57.</w:t>
      </w:r>
    </w:p>
  </w:footnote>
  <w:footnote w:id="12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54–57.</w:t>
      </w:r>
    </w:p>
  </w:footnote>
  <w:footnote w:id="122">
    <w:p>
      <w:pPr>
        <w:pStyle w:val="FootnoteText"/>
      </w:pPr>
      <w:r>
        <w:rPr>
          <w:rStyle w:val="FootnoteReference"/>
        </w:rPr>
        <w:footnoteRef/>
      </w:r>
      <w:r>
        <w:t xml:space="preserve"> </w:t>
      </w:r>
      <w:r>
        <w:t xml:space="preserve">Modina M. Credit Rating and Bank–Firm Relationships: New Models to Better Evaluate SMEs. – Basingstoke: Palgrave Macmillan, 2015. – P. 33.</w:t>
      </w:r>
    </w:p>
  </w:footnote>
  <w:footnote w:id="12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54–57; Устойчивость банковской системы и развитие банковской политики: монография / под ред. 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w:t>
      </w:r>
    </w:p>
  </w:footnote>
  <w:footnote w:id="125">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 – Б. 18–19, 27.</w:t>
      </w:r>
    </w:p>
  </w:footnote>
  <w:footnote w:id="12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 92–93.</w:t>
      </w:r>
    </w:p>
  </w:footnote>
  <w:footnote w:id="12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208.</w:t>
      </w:r>
    </w:p>
  </w:footnote>
  <w:footnote w:id="12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77–80.</w:t>
      </w:r>
    </w:p>
  </w:footnote>
  <w:footnote w:id="12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13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50–51.</w:t>
      </w:r>
    </w:p>
  </w:footnote>
  <w:footnote w:id="131">
    <w:p>
      <w:pPr>
        <w:pStyle w:val="FootnoteText"/>
      </w:pPr>
      <w:r>
        <w:rPr>
          <w:rStyle w:val="FootnoteReference"/>
        </w:rPr>
        <w:footnoteRef/>
      </w:r>
      <w:r>
        <w:t xml:space="preserve"> </w:t>
      </w:r>
      <w:r>
        <w:t xml:space="preserve">Шаталова Е.П. Банковские рейтинги в системе риск-менеджмента: процедуры мониторинга кредитных рейтингов: учебное пособие. – 2020. – С. 23.</w:t>
      </w:r>
    </w:p>
  </w:footnote>
  <w:footnote w:id="13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 84–85.</w:t>
      </w:r>
    </w:p>
  </w:footnote>
  <w:footnote w:id="133">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193.</w:t>
      </w:r>
    </w:p>
  </w:footnote>
  <w:footnote w:id="134">
    <w:p>
      <w:pPr>
        <w:pStyle w:val="FootnoteText"/>
      </w:pPr>
      <w:r>
        <w:rPr>
          <w:rStyle w:val="FootnoteReference"/>
        </w:rPr>
        <w:footnoteRef/>
      </w:r>
      <w:r>
        <w:t xml:space="preserve"> </w:t>
      </w:r>
      <w:r>
        <w:t xml:space="preserve">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55–59.</w:t>
      </w:r>
    </w:p>
  </w:footnote>
  <w:footnote w:id="13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65–67, 77–83.</w:t>
      </w:r>
    </w:p>
  </w:footnote>
  <w:footnote w:id="13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69–72.</w:t>
      </w:r>
    </w:p>
  </w:footnote>
  <w:footnote w:id="138">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162–165.</w:t>
      </w:r>
    </w:p>
  </w:footnote>
  <w:footnote w:id="13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3.</w:t>
      </w:r>
    </w:p>
  </w:footnote>
  <w:footnote w:id="140">
    <w:p>
      <w:pPr>
        <w:pStyle w:val="FootnoteText"/>
      </w:pPr>
      <w:r>
        <w:rPr>
          <w:rStyle w:val="FootnoteReference"/>
        </w:rPr>
        <w:footnoteRef/>
      </w:r>
      <w:r>
        <w:t xml:space="preserve"> </w:t>
      </w:r>
      <w:r>
        <w:t xml:space="preserve">Modina M. Credit Rating and Bank–Firm Relationships: New Models to Better Evaluate SMEs. – Basingstoke: Palgrave Macmillan, 2015. – P. 45.</w:t>
      </w:r>
    </w:p>
  </w:footnote>
  <w:footnote w:id="141">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142">
    <w:p>
      <w:pPr>
        <w:pStyle w:val="FootnoteText"/>
      </w:pPr>
      <w:r>
        <w:rPr>
          <w:rStyle w:val="FootnoteReference"/>
        </w:rPr>
        <w:footnoteRef/>
      </w:r>
      <w:r>
        <w:t xml:space="preserve"> </w:t>
      </w:r>
      <w:r>
        <w:t xml:space="preserve">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9–10.</w:t>
      </w:r>
    </w:p>
  </w:footnote>
  <w:footnote w:id="144">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20–22.</w:t>
      </w:r>
    </w:p>
  </w:footnote>
  <w:footnote w:id="145">
    <w:p>
      <w:pPr>
        <w:pStyle w:val="FootnoteText"/>
      </w:pPr>
      <w:r>
        <w:rPr>
          <w:rStyle w:val="FootnoteReference"/>
        </w:rPr>
        <w:footnoteRef/>
      </w:r>
      <w:r>
        <w:t xml:space="preserve"> </w:t>
      </w:r>
      <w:r>
        <w:t xml:space="preserve">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68–70.</w:t>
      </w:r>
    </w:p>
  </w:footnote>
  <w:footnote w:id="147">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15.</w:t>
      </w:r>
    </w:p>
  </w:footnote>
  <w:footnote w:id="148">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49">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50">
    <w:p>
      <w:pPr>
        <w:pStyle w:val="FootnoteText"/>
      </w:pPr>
      <w:r>
        <w:rPr>
          <w:rStyle w:val="FootnoteReference"/>
        </w:rPr>
        <w:footnoteRef/>
      </w:r>
      <w:r>
        <w:t xml:space="preserve"> </w:t>
      </w:r>
      <w:r>
        <w:t xml:space="preserve">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152">
    <w:p>
      <w:pPr>
        <w:pStyle w:val="FootnoteText"/>
      </w:pPr>
      <w:r>
        <w:rPr>
          <w:rStyle w:val="FootnoteReference"/>
        </w:rPr>
        <w:footnoteRef/>
      </w:r>
      <w:r>
        <w:t xml:space="preserve"> </w:t>
      </w:r>
      <w:r>
        <w:t xml:space="preserve">Karaliyev T.M., Sayfiddinov I.F. Tijorat banklari faoliyatini tartibga solish va nazorati: darslik. – T.: Iqtisod-Moliya, 2019. – B. 185–186.</w:t>
      </w:r>
    </w:p>
  </w:footnote>
  <w:footnote w:id="15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pPr>
        <w:pStyle w:val="FootnoteText"/>
      </w:pPr>
      <w:r>
        <w:rPr>
          <w:rStyle w:val="FootnoteReference"/>
        </w:rPr>
        <w:footnoteRef/>
      </w:r>
      <w:r>
        <w:t xml:space="preserve"> </w:t>
      </w:r>
      <w:r>
        <w:t xml:space="preserve">IFRS 9 Financial Instruments. – London: International Accounting Standards Board, 2014.</w:t>
      </w:r>
    </w:p>
  </w:footnote>
  <w:footnote w:id="157">
    <w:p>
      <w:pPr>
        <w:pStyle w:val="FootnoteText"/>
      </w:pPr>
      <w:r>
        <w:rPr>
          <w:rStyle w:val="FootnoteReference"/>
        </w:rPr>
        <w:footnoteRef/>
      </w:r>
      <w:r>
        <w:t xml:space="preserve"> </w:t>
      </w:r>
      <w:r>
        <w:t xml:space="preserve">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162">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3">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4">
    <w:p>
      <w:pPr>
        <w:pStyle w:val="FootnoteText"/>
      </w:pPr>
      <w:r>
        <w:rPr>
          <w:rStyle w:val="FootnoteReference"/>
        </w:rPr>
        <w:footnoteRef/>
      </w:r>
      <w:r>
        <w:t xml:space="preserve"> </w:t>
      </w:r>
      <w:r>
        <w:t xml:space="preserve">Tadqiqot natijasida muallif tomonidan ishlab chiqildi.</w:t>
      </w:r>
    </w:p>
  </w:footnote>
  <w:footnote w:id="165">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 – P. 293–294.</w:t>
      </w:r>
    </w:p>
  </w:footnote>
  <w:footnote w:id="166">
    <w:p>
      <w:pPr>
        <w:pStyle w:val="FootnoteText"/>
      </w:pPr>
      <w:r>
        <w:rPr>
          <w:rStyle w:val="FootnoteReference"/>
        </w:rPr>
        <w:footnoteRef/>
      </w:r>
      <w:r>
        <w:t xml:space="preserve"> </w:t>
      </w:r>
      <w:r>
        <w:t xml:space="preserve">Tadqiqot natijasida muallif tomonidan ishlab chiqildi.</w:t>
      </w:r>
    </w:p>
  </w:footnote>
  <w:footnote w:id="167">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168">
    <w:p>
      <w:pPr>
        <w:pStyle w:val="FootnoteText"/>
      </w:pPr>
      <w:r>
        <w:rPr>
          <w:rStyle w:val="FootnoteReference"/>
        </w:rPr>
        <w:footnoteRef/>
      </w:r>
      <w:r>
        <w:t xml:space="preserve"> </w:t>
      </w:r>
      <w:r>
        <w:t xml:space="preserve">Karaliyev T.M., Sayfiddinov I.F. Tijorat banklari faoliyatini tartibga solish va nazorati: darslik. – T.: Iqtisod-Moliya, 2019. – B. 195.</w:t>
      </w:r>
    </w:p>
  </w:footnote>
  <w:footnote w:id="169">
    <w:p>
      <w:pPr>
        <w:pStyle w:val="FootnoteText"/>
      </w:pPr>
      <w:r>
        <w:rPr>
          <w:rStyle w:val="FootnoteReference"/>
        </w:rPr>
        <w:footnoteRef/>
      </w:r>
      <w:r>
        <w:t xml:space="preserve"> </w:t>
      </w:r>
      <w:r>
        <w:t xml:space="preserve">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pPr>
        <w:pStyle w:val="FootnoteText"/>
      </w:pPr>
      <w:r>
        <w:rPr>
          <w:rStyle w:val="FootnoteReference"/>
        </w:rPr>
        <w:footnoteRef/>
      </w:r>
      <w:r>
        <w:t xml:space="preserve"> </w:t>
      </w:r>
      <w:r>
        <w:t xml:space="preserve">Hendrickson J.M. Regulation and Instability in U.S. Commercial Banking: A History of Crises. – Basingstoke: Palgrave Macmillan, 2011. – P. 1–2, 10–11.</w:t>
      </w:r>
    </w:p>
  </w:footnote>
  <w:footnote w:id="172">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29–31.</w:t>
      </w:r>
    </w:p>
  </w:footnote>
  <w:footnote w:id="173">
    <w:p>
      <w:pPr>
        <w:pStyle w:val="FootnoteText"/>
      </w:pPr>
      <w:r>
        <w:rPr>
          <w:rStyle w:val="FootnoteReference"/>
        </w:rPr>
        <w:footnoteRef/>
      </w:r>
      <w:r>
        <w:t xml:space="preserve"> </w:t>
      </w:r>
      <w:r>
        <w:t xml:space="preserve">Cargill T.F. The Financial System, Financial Regulation and Central Bank Policy. – Cambridge: Cambridge University Press, 2017. – P. 194–195.</w:t>
      </w:r>
    </w:p>
  </w:footnote>
  <w:footnote w:id="17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175">
    <w:p>
      <w:pPr>
        <w:pStyle w:val="FootnoteText"/>
      </w:pPr>
      <w:r>
        <w:rPr>
          <w:rStyle w:val="FootnoteReference"/>
        </w:rPr>
        <w:footnoteRef/>
      </w:r>
      <w:r>
        <w:t xml:space="preserve"> </w:t>
      </w:r>
      <w:r>
        <w:t xml:space="preserve">Tadqiqot natijasida muallif tomonidan quyidagi manba asosida ishlab chiqildi: Cargill T.F. The Financial System, Financial Regulation and Central Bank Policy. – Cambridge: Cambridge University Press, 2017. – P. 193 (Table 9.3).</w:t>
      </w:r>
    </w:p>
  </w:footnote>
  <w:footnote w:id="17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17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107–114.</w:t>
      </w:r>
    </w:p>
  </w:footnote>
  <w:footnote w:id="178">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pPr>
        <w:pStyle w:val="FootnoteText"/>
      </w:pPr>
      <w:r>
        <w:rPr>
          <w:rStyle w:val="FootnoteReference"/>
        </w:rPr>
        <w:footnoteRef/>
      </w:r>
      <w:r>
        <w:t xml:space="preserve"> </w:t>
      </w:r>
      <w:r>
        <w:t xml:space="preserve">Cargill T.F. The Financial System, Financial Regulation and Central Bank Policy. – Cambridge: Cambridge University Press, 2017. – P. 195–196.</w:t>
      </w:r>
    </w:p>
  </w:footnote>
  <w:footnote w:id="180">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181">
    <w:p>
      <w:pPr>
        <w:pStyle w:val="FootnoteText"/>
      </w:pPr>
      <w:r>
        <w:rPr>
          <w:rStyle w:val="FootnoteReference"/>
        </w:rPr>
        <w:footnoteRef/>
      </w:r>
      <w:r>
        <w:t xml:space="preserve"> </w:t>
      </w:r>
      <w:r>
        <w:t xml:space="preserve">Federal Financial Institutions Examination Council. Proposed Revisions to the Uniform Financial Institutions Rating System (CAMELS). – Washington, DC, 19 May 2026.</w:t>
      </w:r>
    </w:p>
  </w:footnote>
  <w:footnote w:id="182">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3">
    <w:p>
      <w:pPr>
        <w:pStyle w:val="FootnoteText"/>
      </w:pPr>
      <w:r>
        <w:rPr>
          <w:rStyle w:val="FootnoteReference"/>
        </w:rPr>
        <w:footnoteRef/>
      </w:r>
      <w:r>
        <w:t xml:space="preserve"> </w:t>
      </w:r>
      <w:r>
        <w:t xml:space="preserve">Board of Governors of the Federal Reserve System, Federal Deposit Insurance Corporation, Office of the Comptroller of the Currency. Regulatory capital proposals implementing the final Basel III standards. – Washington, DC, 19 March 2026.</w:t>
      </w:r>
    </w:p>
  </w:footnote>
  <w:footnote w:id="184">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1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92–104.</w:t>
      </w:r>
    </w:p>
  </w:footnote>
  <w:footnote w:id="18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60–61.</w:t>
      </w:r>
    </w:p>
  </w:footnote>
  <w:footnote w:id="187">
    <w:p>
      <w:pPr>
        <w:pStyle w:val="FootnoteText"/>
      </w:pPr>
      <w:r>
        <w:rPr>
          <w:rStyle w:val="FootnoteReference"/>
        </w:rPr>
        <w:footnoteRef/>
      </w:r>
      <w:r>
        <w:t xml:space="preserve"> </w:t>
      </w:r>
      <w:r>
        <w:t xml:space="preserve">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59.</w:t>
      </w:r>
    </w:p>
  </w:footnote>
  <w:footnote w:id="18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114–115.</w:t>
      </w:r>
    </w:p>
  </w:footnote>
  <w:footnote w:id="190">
    <w:p>
      <w:pPr>
        <w:pStyle w:val="FootnoteText"/>
      </w:pPr>
      <w:r>
        <w:rPr>
          <w:rStyle w:val="FootnoteReference"/>
        </w:rPr>
        <w:footnoteRef/>
      </w:r>
      <w:r>
        <w:t xml:space="preserve"> </w:t>
      </w:r>
      <w:r>
        <w:t xml:space="preserve">Karaliyev T.M., Sayfiddinov I.F. Tijorat banklari faoliyatini tartibga solish va nazorati: darslik. – T.: Iqtisod-Moliya, 2019. – B. 194–195.</w:t>
      </w:r>
    </w:p>
  </w:footnote>
  <w:footnote w:id="191">
    <w:p>
      <w:pPr>
        <w:pStyle w:val="FootnoteText"/>
      </w:pPr>
      <w:r>
        <w:rPr>
          <w:rStyle w:val="FootnoteReference"/>
        </w:rPr>
        <w:footnoteRef/>
      </w:r>
      <w:r>
        <w:t xml:space="preserve"> </w:t>
      </w:r>
      <w:r>
        <w:t xml:space="preserve">Tutino F., Brugnoni G.C., Siena M.G. Italian Banks Facing Basel 3 Higher Capital Requirements: Which Strategies Are Actually Feasible? // Bank Risk, Governance and Regulation / ed. by E. Beccalli, F. Poli. – Basingstoke: Palgrave Macmillan, 2015. – P. 212–231.</w:t>
      </w:r>
    </w:p>
  </w:footnote>
  <w:footnote w:id="192">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199.</w:t>
      </w:r>
    </w:p>
  </w:footnote>
  <w:footnote w:id="193">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184–185.</w:t>
      </w:r>
    </w:p>
  </w:footnote>
  <w:footnote w:id="194">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111.</w:t>
      </w:r>
    </w:p>
  </w:footnote>
  <w:footnote w:id="195">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112–114.</w:t>
      </w:r>
    </w:p>
  </w:footnote>
  <w:footnote w:id="196">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191–195.</w:t>
      </w:r>
    </w:p>
  </w:footnote>
  <w:footnote w:id="197">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194–196.</w:t>
      </w:r>
    </w:p>
  </w:footnote>
  <w:footnote w:id="198">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199">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200">
    <w:p>
      <w:pPr>
        <w:pStyle w:val="FootnoteText"/>
      </w:pPr>
      <w:r>
        <w:rPr>
          <w:rStyle w:val="FootnoteReference"/>
        </w:rPr>
        <w:footnoteRef/>
      </w:r>
      <w:r>
        <w:t xml:space="preserve"> </w:t>
      </w:r>
      <w:r>
        <w:t xml:space="preserve">European Banking Authority. 2025 EU-wide stress test: Results. – Paris: EBA, 1 August 2025.</w:t>
      </w:r>
    </w:p>
  </w:footnote>
  <w:footnote w:id="20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20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48–49.</w:t>
      </w:r>
    </w:p>
  </w:footnote>
  <w:footnote w:id="20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139.</w:t>
      </w:r>
    </w:p>
  </w:footnote>
  <w:footnote w:id="205">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6">
    <w:p>
      <w:pPr>
        <w:pStyle w:val="FootnoteText"/>
      </w:pPr>
      <w:r>
        <w:rPr>
          <w:rStyle w:val="FootnoteReference"/>
        </w:rPr>
        <w:footnoteRef/>
      </w:r>
      <w:r>
        <w:t xml:space="preserve"> </w:t>
      </w:r>
      <w:r>
        <w:t xml:space="preserve">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7">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08">
    <w:p>
      <w:pPr>
        <w:pStyle w:val="FootnoteText"/>
      </w:pPr>
      <w:r>
        <w:rPr>
          <w:rStyle w:val="FootnoteReference"/>
        </w:rPr>
        <w:footnoteRef/>
      </w:r>
      <w:r>
        <w:t xml:space="preserve"> </w:t>
      </w:r>
      <w:r>
        <w:t xml:space="preserve">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09">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10">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21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1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3">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47–49.</w:t>
      </w:r>
    </w:p>
  </w:footnote>
  <w:footnote w:id="214">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15">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53.</w:t>
      </w:r>
    </w:p>
  </w:footnote>
  <w:footnote w:id="21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143, 146.</w:t>
      </w:r>
    </w:p>
  </w:footnote>
  <w:footnote w:id="218">
    <w:p>
      <w:pPr>
        <w:pStyle w:val="FootnoteText"/>
      </w:pPr>
      <w:r>
        <w:rPr>
          <w:rStyle w:val="FootnoteReference"/>
        </w:rPr>
        <w:footnoteRef/>
      </w:r>
      <w:r>
        <w:t xml:space="preserve"> </w:t>
      </w:r>
      <w:r>
        <w:t xml:space="preserve">He Wei Ping. Banking Regulation in China: The Role of Public and Private Sectors. – New York: Palgrave Macmillan, 2014. – P. 52.</w:t>
      </w:r>
    </w:p>
  </w:footnote>
  <w:footnote w:id="219">
    <w:p>
      <w:pPr>
        <w:pStyle w:val="FootnoteText"/>
      </w:pPr>
      <w:r>
        <w:rPr>
          <w:rStyle w:val="FootnoteReference"/>
        </w:rPr>
        <w:footnoteRef/>
      </w:r>
      <w:r>
        <w:t xml:space="preserve"> </w:t>
      </w:r>
      <w:r>
        <w:t xml:space="preserve">He Wei Ping. Banking Regulation in China: The Role of Public and Private Sectors. – New York: Palgrave Macmillan, 2014. – P. 55.</w:t>
      </w:r>
    </w:p>
  </w:footnote>
  <w:footnote w:id="220">
    <w:p>
      <w:pPr>
        <w:pStyle w:val="FootnoteText"/>
      </w:pPr>
      <w:r>
        <w:rPr>
          <w:rStyle w:val="FootnoteReference"/>
        </w:rPr>
        <w:footnoteRef/>
      </w:r>
      <w:r>
        <w:t xml:space="preserve"> </w:t>
      </w:r>
      <w:r>
        <w:t xml:space="preserve">Law of the People’s Republic of China on Commercial Banks (2015 Amendment). – Beijing: Standing Committee of the National People’s Congress, 29 August 2015.</w:t>
      </w:r>
    </w:p>
  </w:footnote>
  <w:footnote w:id="22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2">
    <w:p>
      <w:pPr>
        <w:pStyle w:val="FootnoteText"/>
      </w:pPr>
      <w:r>
        <w:rPr>
          <w:rStyle w:val="FootnoteReference"/>
        </w:rPr>
        <w:footnoteRef/>
      </w:r>
      <w:r>
        <w:t xml:space="preserve"> </w:t>
      </w:r>
      <w:r>
        <w:t xml:space="preserve">National Financial Regulatory Administration. Measures for the Capital Management of Commercial Banks. – Beijing, 2023 (2024-yil 1-yanvardan kuchga kirgan).</w:t>
      </w:r>
    </w:p>
  </w:footnote>
  <w:footnote w:id="22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pPr>
        <w:pStyle w:val="FootnoteText"/>
      </w:pPr>
      <w:r>
        <w:rPr>
          <w:rStyle w:val="FootnoteReference"/>
        </w:rPr>
        <w:footnoteRef/>
      </w:r>
      <w:r>
        <w:t xml:space="preserve"> </w:t>
      </w:r>
      <w:r>
        <w:t xml:space="preserve">International Monetary Fund. Global Financial Stability Report: Potent Policies for a Successful Normalization. – Washington, DC: IMF, April 2016.</w:t>
      </w:r>
    </w:p>
  </w:footnote>
  <w:footnote w:id="225">
    <w:p>
      <w:pPr>
        <w:pStyle w:val="FootnoteText"/>
      </w:pPr>
      <w:r>
        <w:rPr>
          <w:rStyle w:val="FootnoteReference"/>
        </w:rPr>
        <w:footnoteRef/>
      </w:r>
      <w:r>
        <w:t xml:space="preserve"> </w:t>
      </w:r>
      <w:r>
        <w:t xml:space="preserve">National Financial Regulatory Administration. Supervisory Statistics of the Banking and Insurance Sectors: 2023-yil IV chorak, 2024-yil IV chorak, 2025-yil III chorak. – https://www.nfra.gov.cn/en/</w:t>
      </w:r>
    </w:p>
  </w:footnote>
  <w:footnote w:id="226">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27">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28">
    <w:p>
      <w:pPr>
        <w:pStyle w:val="FootnoteText"/>
      </w:pPr>
      <w:r>
        <w:rPr>
          <w:rStyle w:val="FootnoteReference"/>
        </w:rPr>
        <w:footnoteRef/>
      </w:r>
      <w:r>
        <w:t xml:space="preserve"> </w:t>
      </w:r>
      <w:r>
        <w:t xml:space="preserve">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29">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30">
    <w:p>
      <w:pPr>
        <w:pStyle w:val="FootnoteText"/>
      </w:pPr>
      <w:r>
        <w:rPr>
          <w:rStyle w:val="FootnoteReference"/>
        </w:rPr>
        <w:footnoteRef/>
      </w:r>
      <w:r>
        <w:t xml:space="preserve"> </w:t>
      </w:r>
      <w:r>
        <w:t xml:space="preserve">He Wei Ping. Banking Regulation in China: The Role of Public and Private Sectors. – New York: Palgrave Macmillan, 2014. – P. 68, 135.</w:t>
      </w:r>
    </w:p>
  </w:footnote>
  <w:footnote w:id="23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4">
    <w:p>
      <w:pPr>
        <w:pStyle w:val="FootnoteText"/>
      </w:pPr>
      <w:r>
        <w:rPr>
          <w:rStyle w:val="FootnoteReference"/>
        </w:rPr>
        <w:footnoteRef/>
      </w:r>
      <w:r>
        <w:t xml:space="preserve"> </w:t>
      </w:r>
      <w:r>
        <w:t xml:space="preserve">Tadqiqot natijasida muallif tomonidan ishlab chiqildi.</w:t>
      </w:r>
    </w:p>
  </w:footnote>
  <w:footnote w:id="235">
    <w:p>
      <w:pPr>
        <w:pStyle w:val="FootnoteText"/>
      </w:pPr>
      <w:r>
        <w:rPr>
          <w:rStyle w:val="FootnoteReference"/>
        </w:rPr>
        <w:footnoteRef/>
      </w:r>
      <w:r>
        <w:t xml:space="preserve"> </w:t>
      </w:r>
      <w:r>
        <w:t xml:space="preserve">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6">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7">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238">
    <w:p>
      <w:pPr>
        <w:pStyle w:val="FootnoteText"/>
      </w:pPr>
      <w:r>
        <w:rPr>
          <w:rStyle w:val="FootnoteReference"/>
        </w:rPr>
        <w:footnoteRef/>
      </w:r>
      <w:r>
        <w:t xml:space="preserve"> </w:t>
      </w:r>
      <w:r>
        <w:t xml:space="preserve">Muallif ishlanmasi.</w:t>
      </w:r>
    </w:p>
  </w:footnote>
  <w:footnote w:id="239">
    <w:p>
      <w:pPr>
        <w:pStyle w:val="FootnoteText"/>
      </w:pPr>
      <w:r>
        <w:rPr>
          <w:rStyle w:val="FootnoteReference"/>
        </w:rPr>
        <w:footnoteRef/>
      </w:r>
      <w:r>
        <w:t xml:space="preserve"> </w:t>
      </w:r>
      <w:r>
        <w:t xml:space="preserve">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0">
    <w:p>
      <w:pPr>
        <w:pStyle w:val="FootnoteText"/>
      </w:pPr>
      <w:r>
        <w:rPr>
          <w:rStyle w:val="FootnoteReference"/>
        </w:rPr>
        <w:footnoteRef/>
      </w:r>
      <w:r>
        <w:t xml:space="preserve"> </w:t>
      </w:r>
      <w:r>
        <w:t xml:space="preserve">Бердияров Б.Т. Ko‘rsatilgan asar. – Б. 27.</w:t>
      </w:r>
    </w:p>
  </w:footnote>
  <w:footnote w:id="241">
    <w:p>
      <w:pPr>
        <w:pStyle w:val="FootnoteText"/>
      </w:pPr>
      <w:r>
        <w:rPr>
          <w:rStyle w:val="FootnoteReference"/>
        </w:rPr>
        <w:footnoteRef/>
      </w:r>
      <w:r>
        <w:t xml:space="preserve"> </w:t>
      </w:r>
      <w:r>
        <w:t xml:space="preserve">Karaliyev T.M., Sayfiddinov I.F. Ko‘rsatilgan asar. – B. 208.</w:t>
      </w:r>
    </w:p>
  </w:footnote>
  <w:footnote w:id="242">
    <w:p>
      <w:pPr>
        <w:pStyle w:val="FootnoteText"/>
      </w:pPr>
      <w:r>
        <w:rPr>
          <w:rStyle w:val="FootnoteReference"/>
        </w:rPr>
        <w:footnoteRef/>
      </w:r>
      <w:r>
        <w:t xml:space="preserve"> </w:t>
      </w:r>
      <w:r>
        <w:t xml:space="preserve">The Central Bank of the Republic of Uzbekistan. «Roadmap»… – Item 13.</w:t>
      </w:r>
    </w:p>
  </w:footnote>
  <w:footnote w:id="243">
    <w:p>
      <w:pPr>
        <w:pStyle w:val="FootnoteText"/>
      </w:pPr>
      <w:r>
        <w:rPr>
          <w:rStyle w:val="FootnoteReference"/>
        </w:rPr>
        <w:footnoteRef/>
      </w:r>
      <w:r>
        <w:t xml:space="preserve"> </w:t>
      </w:r>
      <w:r>
        <w:t xml:space="preserve">Karaliyev T.M., Sayfiddinov I.F. Ko‘rsatilgan asar. – B. 213.</w:t>
      </w:r>
    </w:p>
  </w:footnote>
  <w:footnote w:id="244">
    <w:p>
      <w:pPr>
        <w:pStyle w:val="FootnoteText"/>
      </w:pPr>
      <w:r>
        <w:rPr>
          <w:rStyle w:val="FootnoteReference"/>
        </w:rPr>
        <w:footnoteRef/>
      </w:r>
      <w:r>
        <w:t xml:space="preserve"> </w:t>
      </w:r>
      <w:r>
        <w:t xml:space="preserve">The Central Bank of the Republic of Uzbekistan. «Roadmap»… – Item 13.</w:t>
      </w:r>
    </w:p>
  </w:footnote>
  <w:footnote w:id="245">
    <w:p>
      <w:pPr>
        <w:pStyle w:val="FootnoteText"/>
      </w:pPr>
      <w:r>
        <w:rPr>
          <w:rStyle w:val="FootnoteReference"/>
        </w:rPr>
        <w:footnoteRef/>
      </w:r>
      <w:r>
        <w:t xml:space="preserve"> </w:t>
      </w:r>
      <w:r>
        <w:t xml:space="preserve">Countercyclical capital buffer // The Central Bank of the Republic of Uzbekistan. – https://cbu.uz/en/financial-stability/macroprudential-policy-tools/countercyclical-capital-buffer/</w:t>
      </w:r>
    </w:p>
  </w:footnote>
  <w:footnote w:id="246">
    <w:p>
      <w:pPr>
        <w:pStyle w:val="FootnoteText"/>
      </w:pPr>
      <w:r>
        <w:rPr>
          <w:rStyle w:val="FootnoteReference"/>
        </w:rPr>
        <w:footnoteRef/>
      </w:r>
      <w:r>
        <w:t xml:space="preserve"> </w:t>
      </w:r>
      <w:r>
        <w:t xml:space="preserve">2026-yil uchun mahalliy tizimli ahamiyatga molik banklar belgilandi // O‘zbekiston Respublikasi Markaziy banki.</w:t>
      </w:r>
    </w:p>
  </w:footnote>
  <w:footnote w:id="247">
    <w:p>
      <w:pPr>
        <w:pStyle w:val="FootnoteText"/>
      </w:pPr>
      <w:r>
        <w:rPr>
          <w:rStyle w:val="FootnoteReference"/>
        </w:rPr>
        <w:footnoteRef/>
      </w:r>
      <w:r>
        <w:t xml:space="preserve"> </w:t>
      </w:r>
      <w:r>
        <w:t xml:space="preserve">IMF Country Report No. 25/227, 2025.</w:t>
      </w:r>
    </w:p>
  </w:footnote>
  <w:footnote w:id="248">
    <w:p>
      <w:pPr>
        <w:pStyle w:val="FootnoteText"/>
      </w:pPr>
      <w:r>
        <w:rPr>
          <w:rStyle w:val="FootnoteReference"/>
        </w:rPr>
        <w:footnoteRef/>
      </w:r>
      <w:r>
        <w:t xml:space="preserve"> </w:t>
      </w:r>
      <w:r>
        <w:t xml:space="preserve">The Financial Stability Report for 2024 has been published // The Central Bank of the Republic of Uzbekistan. – https://cbu.uz/en/press_center/releases/2489245/; The Central Bank of Uzbekistan. Financial Stability Report for 2025.</w:t>
      </w:r>
    </w:p>
  </w:footnote>
  <w:footnote w:id="249">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0">
    <w:p>
      <w:pPr>
        <w:pStyle w:val="FootnoteText"/>
      </w:pPr>
      <w:r>
        <w:rPr>
          <w:rStyle w:val="FootnoteReference"/>
        </w:rPr>
        <w:footnoteRef/>
      </w:r>
      <w:r>
        <w:t xml:space="preserve"> </w:t>
      </w:r>
      <w:r>
        <w:t xml:space="preserve">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1">
    <w:p>
      <w:pPr>
        <w:pStyle w:val="FootnoteText"/>
      </w:pPr>
      <w:r>
        <w:rPr>
          <w:rStyle w:val="FootnoteReference"/>
        </w:rPr>
        <w:footnoteRef/>
      </w:r>
      <w:r>
        <w:t xml:space="preserve"> </w:t>
      </w:r>
      <w:r>
        <w:t xml:space="preserve">The Central Bank of Uzbekistan. Financial Stability Report for 2025.</w:t>
      </w:r>
    </w:p>
  </w:footnote>
  <w:footnote w:id="252">
    <w:p>
      <w:pPr>
        <w:pStyle w:val="FootnoteText"/>
      </w:pPr>
      <w:r>
        <w:rPr>
          <w:rStyle w:val="FootnoteReference"/>
        </w:rPr>
        <w:footnoteRef/>
      </w:r>
      <w:r>
        <w:t xml:space="preserve"> </w:t>
      </w:r>
      <w:r>
        <w:t xml:space="preserve">The Central Bank of Uzbekistan. Financial Stability Report for H1 2025. – Tashkent, 2025. – https://cbu.uz/upload/medialibrary/fea/zc1m2epsxmcmn8u19j8q8n4so1d7eqsz/Financial-Stability-Report-for-H1-2025.pdf</w:t>
      </w:r>
    </w:p>
  </w:footnote>
  <w:footnote w:id="253">
    <w:p>
      <w:pPr>
        <w:pStyle w:val="FootnoteText"/>
      </w:pPr>
      <w:r>
        <w:rPr>
          <w:rStyle w:val="FootnoteReference"/>
        </w:rPr>
        <w:footnoteRef/>
      </w:r>
      <w:r>
        <w:t xml:space="preserve"> </w:t>
      </w:r>
      <w:r>
        <w:t xml:space="preserve">Muallif tomonidan quyidagi manbalar asosida tuzilgan: The Central Bank of Uzbekistan. Financial Stability Report for H1 2025; Financial Stability Report for 2025.</w:t>
      </w:r>
    </w:p>
  </w:footnote>
  <w:footnote w:id="254">
    <w:p>
      <w:pPr>
        <w:pStyle w:val="FootnoteText"/>
      </w:pPr>
      <w:r>
        <w:rPr>
          <w:rStyle w:val="FootnoteReference"/>
        </w:rPr>
        <w:footnoteRef/>
      </w:r>
      <w:r>
        <w:t xml:space="preserve"> </w:t>
      </w:r>
      <w:r>
        <w:t xml:space="preserve">IMF Country Report No. 25/227, 2025.</w:t>
      </w:r>
    </w:p>
  </w:footnote>
  <w:footnote w:id="255">
    <w:p>
      <w:pPr>
        <w:pStyle w:val="FootnoteText"/>
      </w:pPr>
      <w:r>
        <w:rPr>
          <w:rStyle w:val="FootnoteReference"/>
        </w:rPr>
        <w:footnoteRef/>
      </w:r>
      <w:r>
        <w:t xml:space="preserve"> </w:t>
      </w:r>
      <w:r>
        <w:t xml:space="preserve">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56">
    <w:p>
      <w:pPr>
        <w:pStyle w:val="FootnoteText"/>
      </w:pPr>
      <w:r>
        <w:rPr>
          <w:rStyle w:val="FootnoteReference"/>
        </w:rPr>
        <w:footnoteRef/>
      </w:r>
      <w:r>
        <w:t xml:space="preserve"> </w:t>
      </w:r>
      <w:r>
        <w:t xml:space="preserve">Muallif ishlanmasi.</w:t>
      </w:r>
    </w:p>
  </w:footnote>
  <w:footnote w:id="257">
    <w:p>
      <w:pPr>
        <w:pStyle w:val="FootnoteText"/>
      </w:pPr>
      <w:r>
        <w:rPr>
          <w:rStyle w:val="FootnoteReference"/>
        </w:rPr>
        <w:footnoteRef/>
      </w:r>
      <w:r>
        <w:t xml:space="preserve"> </w:t>
      </w:r>
      <w:r>
        <w:t xml:space="preserve">IMF Country Report No. 25/227, 2025.</w:t>
      </w:r>
    </w:p>
  </w:footnote>
  <w:footnote w:id="258">
    <w:p>
      <w:pPr>
        <w:pStyle w:val="FootnoteText"/>
      </w:pPr>
      <w:r>
        <w:rPr>
          <w:rStyle w:val="FootnoteReference"/>
        </w:rPr>
        <w:footnoteRef/>
      </w:r>
      <w:r>
        <w:t xml:space="preserve"> </w:t>
      </w:r>
      <w:r>
        <w:t xml:space="preserve">IMF Country Report No. 25/145, 2025.</w:t>
      </w:r>
    </w:p>
  </w:footnote>
  <w:footnote w:id="259">
    <w:p>
      <w:pPr>
        <w:pStyle w:val="FootnoteText"/>
      </w:pPr>
      <w:r>
        <w:rPr>
          <w:rStyle w:val="FootnoteReference"/>
        </w:rPr>
        <w:footnoteRef/>
      </w:r>
      <w:r>
        <w:t xml:space="preserve"> </w:t>
      </w:r>
      <w:r>
        <w:t xml:space="preserve">The Central Bank of the Republic of Uzbekistan. «Roadmap»… – Item 3.</w:t>
      </w:r>
    </w:p>
  </w:footnote>
  <w:footnote w:id="260">
    <w:p>
      <w:pPr>
        <w:pStyle w:val="FootnoteText"/>
      </w:pPr>
      <w:r>
        <w:rPr>
          <w:rStyle w:val="FootnoteReference"/>
        </w:rPr>
        <w:footnoteRef/>
      </w:r>
      <w:r>
        <w:t xml:space="preserve"> </w:t>
      </w:r>
      <w:r>
        <w:t xml:space="preserve">O‘sha joyda. – Items 5, 19.</w:t>
      </w:r>
    </w:p>
  </w:footnote>
  <w:footnote w:id="261">
    <w:p>
      <w:pPr>
        <w:pStyle w:val="FootnoteText"/>
      </w:pPr>
      <w:r>
        <w:rPr>
          <w:rStyle w:val="FootnoteReference"/>
        </w:rPr>
        <w:footnoteRef/>
      </w:r>
      <w:r>
        <w:t xml:space="preserve"> </w:t>
      </w:r>
      <w:r>
        <w:t xml:space="preserve">IMF Country Report No. 25/145, 2025.</w:t>
      </w:r>
    </w:p>
  </w:footnote>
  <w:footnote w:id="262">
    <w:p>
      <w:pPr>
        <w:pStyle w:val="FootnoteText"/>
      </w:pPr>
      <w:r>
        <w:rPr>
          <w:rStyle w:val="FootnoteReference"/>
        </w:rPr>
        <w:footnoteRef/>
      </w:r>
      <w:r>
        <w:t xml:space="preserve"> </w:t>
      </w:r>
      <w:r>
        <w:t xml:space="preserve">The Central Bank of the Republic of Uzbekistan. «Roadmap»… – Items 7, 16.</w:t>
      </w:r>
    </w:p>
  </w:footnote>
  <w:footnote w:id="263">
    <w:p>
      <w:pPr>
        <w:pStyle w:val="FootnoteText"/>
      </w:pPr>
      <w:r>
        <w:rPr>
          <w:rStyle w:val="FootnoteReference"/>
        </w:rPr>
        <w:footnoteRef/>
      </w:r>
      <w:r>
        <w:t xml:space="preserve"> </w:t>
      </w:r>
      <w:r>
        <w:t xml:space="preserve">IMF. Uzbekistan: Staff Concluding Statement of the 2026 Article IV Mission. – 13.04.2026. – https://www.imf.org/en/news/articles/2026/04/13/mcs041326-uzbekistan</w:t>
      </w:r>
    </w:p>
  </w:footnote>
  <w:footnote w:id="264">
    <w:p>
      <w:pPr>
        <w:pStyle w:val="FootnoteText"/>
      </w:pPr>
      <w:r>
        <w:rPr>
          <w:rStyle w:val="FootnoteReference"/>
        </w:rPr>
        <w:footnoteRef/>
      </w:r>
      <w:r>
        <w:t xml:space="preserve"> </w:t>
      </w:r>
      <w:r>
        <w:t xml:space="preserve">The Central Bank of the Republic of Uzbekistan. «Roadmap»… – Item 9.</w:t>
      </w:r>
    </w:p>
  </w:footnote>
  <w:footnote w:id="265">
    <w:p>
      <w:pPr>
        <w:pStyle w:val="FootnoteText"/>
      </w:pPr>
      <w:r>
        <w:rPr>
          <w:rStyle w:val="FootnoteReference"/>
        </w:rPr>
        <w:footnoteRef/>
      </w:r>
      <w:r>
        <w:t xml:space="preserve"> </w:t>
      </w:r>
      <w:r>
        <w:t xml:space="preserve">O‘sha joyda. – Item 31.</w:t>
      </w:r>
    </w:p>
  </w:footnote>
  <w:footnote w:id="266">
    <w:p>
      <w:pPr>
        <w:pStyle w:val="FootnoteText"/>
      </w:pPr>
      <w:r>
        <w:rPr>
          <w:rStyle w:val="FootnoteReference"/>
        </w:rPr>
        <w:footnoteRef/>
      </w:r>
      <w:r>
        <w:t xml:space="preserve"> </w:t>
      </w:r>
      <w:r>
        <w:t xml:space="preserve">The Central Bank of the Republic of Uzbekistan. «Roadmap»… – Items 2–4, 7, 9.</w:t>
      </w:r>
    </w:p>
  </w:footnote>
  <w:footnote w:id="2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68">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69">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0">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71">
    <w:p>
      <w:pPr>
        <w:pStyle w:val="FootnoteText"/>
      </w:pPr>
      <w:r>
        <w:rPr>
          <w:rStyle w:val="FootnoteReference"/>
        </w:rPr>
        <w:footnoteRef/>
      </w:r>
      <w:r>
        <w:t xml:space="preserve"> </w:t>
      </w:r>
      <w:r>
        <w:t xml:space="preserve">World Bank. Republic of Uzbekistan: Financial Sector Assessment. – Washington, DC: World Bank, 2025.</w:t>
      </w:r>
    </w:p>
  </w:footnote>
  <w:footnote w:id="272">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73">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4">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76">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7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pPr>
        <w:pStyle w:val="FootnoteText"/>
      </w:pPr>
      <w:r>
        <w:rPr>
          <w:rStyle w:val="FootnoteReference"/>
        </w:rPr>
        <w:footnoteRef/>
      </w:r>
      <w:r>
        <w:t xml:space="preserve"> </w:t>
      </w:r>
      <w:r>
        <w:t xml:space="preserve">Tadqiqot natijasida muallif tomonidan 2.2.1-jadval ma’lumotlari asosida ishlab chiqildi.</w:t>
      </w:r>
    </w:p>
  </w:footnote>
  <w:footnote w:id="27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2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281">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282">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83">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85">
    <w:p>
      <w:pPr>
        <w:pStyle w:val="FootnoteText"/>
      </w:pPr>
      <w:r>
        <w:rPr>
          <w:rStyle w:val="FootnoteReference"/>
        </w:rPr>
        <w:footnoteRef/>
      </w:r>
      <w:r>
        <w:t xml:space="preserve"> </w:t>
      </w:r>
      <w:r>
        <w:t xml:space="preserve">O‘zbekiston Respublikasi Markaziy banki. Moliyaviy barqarorlik sharhi: 2022-yil. – Toshkent, 2023.</w:t>
      </w:r>
    </w:p>
  </w:footnote>
  <w:footnote w:id="286">
    <w:p>
      <w:pPr>
        <w:pStyle w:val="FootnoteText"/>
      </w:pPr>
      <w:r>
        <w:rPr>
          <w:rStyle w:val="FootnoteReference"/>
        </w:rPr>
        <w:footnoteRef/>
      </w:r>
      <w:r>
        <w:t xml:space="preserve"> </w:t>
      </w:r>
      <w:r>
        <w:t xml:space="preserve">The Central Bank of the Republic of Uzbekistan. Annual Report 2023. – Tashkent, 2024. – P. 57.</w:t>
      </w:r>
    </w:p>
  </w:footnote>
  <w:footnote w:id="287">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8">
    <w:p>
      <w:pPr>
        <w:pStyle w:val="FootnoteText"/>
      </w:pPr>
      <w:r>
        <w:rPr>
          <w:rStyle w:val="FootnoteReference"/>
        </w:rPr>
        <w:footnoteRef/>
      </w:r>
      <w:r>
        <w:t xml:space="preserve"> </w:t>
      </w:r>
      <w:r>
        <w:t xml:space="preserve">World Bank. Republic of Uzbekistan: Financial Sector Assessment. – Washington, DC: World Bank, 2025.</w:t>
      </w:r>
    </w:p>
  </w:footnote>
  <w:footnote w:id="28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0">
    <w:p>
      <w:pPr>
        <w:pStyle w:val="FootnoteText"/>
      </w:pPr>
      <w:r>
        <w:rPr>
          <w:rStyle w:val="FootnoteReference"/>
        </w:rPr>
        <w:footnoteRef/>
      </w:r>
      <w:r>
        <w:t xml:space="preserve"> </w:t>
      </w:r>
      <w:r>
        <w:t xml:space="preserve">International Monetary Fund. Republic of Uzbekistan: 2022 Article IV Consultation – Press Release; Staff Report; and Statement by the Executive Director for the Republic of Uzbekistan. IMF Country Report No. 22/189. – Washington, DC: IMF, 2022. – P. 30 (Table 7).</w:t>
      </w:r>
    </w:p>
  </w:footnote>
  <w:footnote w:id="291">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29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29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5">
    <w:p>
      <w:pPr>
        <w:pStyle w:val="FootnoteText"/>
      </w:pPr>
      <w:r>
        <w:rPr>
          <w:rStyle w:val="FootnoteReference"/>
        </w:rPr>
        <w:footnoteRef/>
      </w:r>
      <w:r>
        <w:t xml:space="preserve"> </w:t>
      </w:r>
      <w:r>
        <w:t xml:space="preserve">Tadqiqot natijasida muallif tomonidan 2.2.1-jadval ma’lumotlari asosida ishlab chiqildi.</w:t>
      </w:r>
    </w:p>
  </w:footnote>
  <w:footnote w:id="29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29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1">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302">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5">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06">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0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8">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1">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4">
    <w:p>
      <w:pPr>
        <w:pStyle w:val="FootnoteText"/>
      </w:pPr>
      <w:r>
        <w:rPr>
          <w:rStyle w:val="FootnoteReference"/>
        </w:rPr>
        <w:footnoteRef/>
      </w:r>
      <w:r>
        <w:t xml:space="preserve"> </w:t>
      </w:r>
      <w:r>
        <w:t xml:space="preserve">O‘zbekiston Respublikasi Prezidentining 2020-yil 24-fevraldagi PQ-4611-son «Moliyaviy hisobotning xalqaro standartlariga o‘tish bo‘yicha qo‘shimcha chora-tadbirlar to‘g‘risida»gi qarori // Qonunchilik ma’lumotlari milliy bazasi, 25.02.2020-y.</w:t>
      </w:r>
    </w:p>
  </w:footnote>
  <w:footnote w:id="315">
    <w:p>
      <w:pPr>
        <w:pStyle w:val="FootnoteText"/>
      </w:pPr>
      <w:r>
        <w:rPr>
          <w:rStyle w:val="FootnoteReference"/>
        </w:rPr>
        <w:footnoteRef/>
      </w:r>
      <w:r>
        <w:t xml:space="preserve"> </w:t>
      </w:r>
      <w:r>
        <w:t xml:space="preserve">O‘zbekiston Respublikasining 2019-yil 5-noyabrdagi O‘RQ-580-son «Banklar va bank faoliyati to‘g‘risida»gi Qonuni // Qonunchilik ma’lumotlari milliy bazasi, 06.11.2019-y.</w:t>
      </w:r>
    </w:p>
  </w:footnote>
  <w:footnote w:id="316">
    <w:p>
      <w:pPr>
        <w:pStyle w:val="FootnoteText"/>
      </w:pPr>
      <w:r>
        <w:rPr>
          <w:rStyle w:val="FootnoteReference"/>
        </w:rPr>
        <w:footnoteRef/>
      </w:r>
      <w:r>
        <w:t xml:space="preserve"> </w:t>
      </w:r>
      <w:r>
        <w:t xml:space="preserve">Basel Committee on Banking Supervision. Regulatory treatment of accounting provisions – interim approach and transitional arrangements. – Basel: Bank for International Settlements, March 2017.</w:t>
      </w:r>
    </w:p>
  </w:footnote>
  <w:footnote w:id="317">
    <w:p>
      <w:pPr>
        <w:pStyle w:val="FootnoteText"/>
      </w:pPr>
      <w:r>
        <w:rPr>
          <w:rStyle w:val="FootnoteReference"/>
        </w:rPr>
        <w:footnoteRef/>
      </w:r>
      <w:r>
        <w:t xml:space="preserve"> </w:t>
      </w:r>
      <w:r>
        <w:t xml:space="preserve">Basel Committee on Banking Supervision. Guidance on credit risk and accounting for expected credit losses. – Basel: Bank for International Settlements, December 2015.</w:t>
      </w:r>
    </w:p>
  </w:footnote>
  <w:footnote w:id="318">
    <w:p>
      <w:pPr>
        <w:pStyle w:val="FootnoteText"/>
      </w:pPr>
      <w:r>
        <w:rPr>
          <w:rStyle w:val="FootnoteReference"/>
        </w:rPr>
        <w:footnoteRef/>
      </w:r>
      <w:r>
        <w:t xml:space="preserve"> </w:t>
      </w:r>
      <w:r>
        <w:t xml:space="preserve">Huizinga H., Laeven L. Bank valuation and accounting discretion during a financial crisis // Journal of Financial Economics. – 2012. – Vol. 106, No. 3. – P. 614–634.</w:t>
      </w:r>
    </w:p>
  </w:footnote>
  <w:footnote w:id="319">
    <w:p>
      <w:pPr>
        <w:pStyle w:val="FootnoteText"/>
      </w:pPr>
      <w:r>
        <w:rPr>
          <w:rStyle w:val="FootnoteReference"/>
        </w:rPr>
        <w:footnoteRef/>
      </w:r>
      <w:r>
        <w:t xml:space="preserve"> </w:t>
      </w:r>
      <w:r>
        <w:t xml:space="preserve">Bholat D., Lastra R.M., Markose S.M., Miglionico A., Sen K. Non-performing loans at the dawn of IFRS 9: regulatory and accounting treatment of asset quality // Journal of Banking Regulation. – 2018. – Vol. 19, No. 1. – P. 33–54.</w:t>
      </w:r>
    </w:p>
  </w:footnote>
  <w:footnote w:id="320">
    <w:p>
      <w:pPr>
        <w:pStyle w:val="FootnoteText"/>
      </w:pPr>
      <w:r>
        <w:rPr>
          <w:rStyle w:val="FootnoteReference"/>
        </w:rPr>
        <w:footnoteRef/>
      </w:r>
      <w:r>
        <w:t xml:space="preserve"> </w:t>
      </w:r>
      <w:r>
        <w:t xml:space="preserve">Abad J., Suarez J. Assessing the cyclical implications of IFRS 9 – a recursive model // European Systemic Risk Board Occasional Paper Series. – 2017. – No. 12. – 48 p.</w:t>
      </w:r>
    </w:p>
  </w:footnote>
  <w:footnote w:id="321">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2">
    <w:p>
      <w:pPr>
        <w:pStyle w:val="FootnoteText"/>
      </w:pPr>
      <w:r>
        <w:rPr>
          <w:rStyle w:val="FootnoteReference"/>
        </w:rPr>
        <w:footnoteRef/>
      </w:r>
      <w:r>
        <w:t xml:space="preserve"> </w:t>
      </w:r>
      <w:r>
        <w:t xml:space="preserve">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3">
    <w:p>
      <w:pPr>
        <w:pStyle w:val="FootnoteText"/>
      </w:pPr>
      <w:r>
        <w:rPr>
          <w:rStyle w:val="FootnoteReference"/>
        </w:rPr>
        <w:footnoteRef/>
      </w:r>
      <w:r>
        <w:t xml:space="preserve"> </w:t>
      </w:r>
      <w:r>
        <w:t xml:space="preserve">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5">
    <w:p>
      <w:pPr>
        <w:pStyle w:val="FootnoteText"/>
      </w:pPr>
      <w:r>
        <w:rPr>
          <w:rStyle w:val="FootnoteReference"/>
        </w:rPr>
        <w:footnoteRef/>
      </w:r>
      <w:r>
        <w:t xml:space="preserve"> </w:t>
      </w:r>
      <w:r>
        <w:t xml:space="preserve">IFRS 9 Financial Instruments. – London: International Accounting Standards Board, 2014.</w:t>
      </w:r>
    </w:p>
  </w:footnote>
  <w:footnote w:id="326">
    <w:p>
      <w:pPr>
        <w:pStyle w:val="FootnoteText"/>
      </w:pPr>
      <w:r>
        <w:rPr>
          <w:rStyle w:val="FootnoteReference"/>
        </w:rPr>
        <w:footnoteRef/>
      </w:r>
      <w:r>
        <w:t xml:space="preserve"> </w:t>
      </w:r>
      <w:r>
        <w:t xml:space="preserve">Tadqiqot natijasida muallif tomonidan ishlab chiqildi.</w:t>
      </w:r>
    </w:p>
  </w:footnote>
  <w:footnote w:id="327">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8">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2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1">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2">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5">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37–38.</w:t>
      </w:r>
    </w:p>
  </w:footnote>
  <w:footnote w:id="336">
    <w:p>
      <w:pPr>
        <w:pStyle w:val="FootnoteText"/>
      </w:pPr>
      <w:r>
        <w:rPr>
          <w:rStyle w:val="FootnoteReference"/>
        </w:rPr>
        <w:footnoteRef/>
      </w:r>
      <w:r>
        <w:t xml:space="preserve"> </w:t>
      </w:r>
      <w:r>
        <w:t xml:space="preserve">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3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w:t>
      </w:r>
    </w:p>
  </w:footnote>
  <w:footnote w:id="33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39">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0">
    <w:p>
      <w:pPr>
        <w:pStyle w:val="FootnoteText"/>
      </w:pPr>
      <w:r>
        <w:rPr>
          <w:rStyle w:val="FootnoteReference"/>
        </w:rPr>
        <w:footnoteRef/>
      </w:r>
      <w:r>
        <w:t xml:space="preserve"> </w:t>
      </w:r>
      <w:r>
        <w:t xml:space="preserve">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1">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2">
    <w:p>
      <w:pPr>
        <w:pStyle w:val="FootnoteText"/>
      </w:pPr>
      <w:r>
        <w:rPr>
          <w:rStyle w:val="FootnoteReference"/>
        </w:rPr>
        <w:footnoteRef/>
      </w:r>
      <w:r>
        <w:t xml:space="preserve"> </w:t>
      </w:r>
      <w:r>
        <w:t xml:space="preserve">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74.</w:t>
      </w:r>
    </w:p>
  </w:footnote>
  <w:footnote w:id="34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5">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46">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4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4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49">
    <w:p>
      <w:pPr>
        <w:pStyle w:val="FootnoteText"/>
      </w:pPr>
      <w:r>
        <w:rPr>
          <w:rStyle w:val="FootnoteReference"/>
        </w:rPr>
        <w:footnoteRef/>
      </w:r>
      <w:r>
        <w:t xml:space="preserve"> </w:t>
      </w:r>
      <w:r>
        <w:t xml:space="preserve">Tadqiqot natijasida muallif tomonidan 2.3.4-jadval ma’lumotlari asosida ishlab chiqildi.</w:t>
      </w:r>
    </w:p>
  </w:footnote>
  <w:footnote w:id="35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51">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35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47.</w:t>
      </w:r>
    </w:p>
  </w:footnote>
  <w:footnote w:id="353">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54">
    <w:p>
      <w:pPr>
        <w:pStyle w:val="FootnoteText"/>
      </w:pPr>
      <w:r>
        <w:rPr>
          <w:rStyle w:val="FootnoteReference"/>
        </w:rPr>
        <w:footnoteRef/>
      </w:r>
      <w:r>
        <w:t xml:space="preserve"> </w:t>
      </w:r>
      <w:r>
        <w:t xml:space="preserve">Karaliyev T.M., Sayfiddinov I.F. Tijorat banklari faoliyatini tartibga solish va nazorati: darslik. – T.: Iqtisod-Moliya, 2019. – B. 195–213.</w:t>
      </w:r>
    </w:p>
  </w:footnote>
  <w:footnote w:id="355">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56">
    <w:p>
      <w:pPr>
        <w:pStyle w:val="FootnoteText"/>
      </w:pPr>
      <w:r>
        <w:rPr>
          <w:rStyle w:val="FootnoteReference"/>
        </w:rPr>
        <w:footnoteRef/>
      </w:r>
      <w:r>
        <w:t xml:space="preserve"> </w:t>
      </w:r>
      <w:r>
        <w:t xml:space="preserve">Tadqiqot natijasida muallif tomonidan dissertatsiyaning 2.1–2.3-paragraflari natijalari asosida ishlab chiqildi.</w:t>
      </w:r>
    </w:p>
  </w:footnote>
  <w:footnote w:id="357">
    <w:p>
      <w:pPr>
        <w:pStyle w:val="FootnoteText"/>
      </w:pPr>
      <w:r>
        <w:rPr>
          <w:rStyle w:val="FootnoteReference"/>
        </w:rPr>
        <w:footnoteRef/>
      </w:r>
      <w:r>
        <w:t xml:space="preserve"> </w:t>
      </w:r>
      <w:r>
        <w:t xml:space="preserve">Tadqiqot natijasida muallif tomonidan ishlab chiqildi.</w:t>
      </w:r>
    </w:p>
  </w:footnote>
  <w:footnote w:id="35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5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91.</w:t>
      </w:r>
    </w:p>
  </w:footnote>
  <w:footnote w:id="360">
    <w:p>
      <w:pPr>
        <w:pStyle w:val="FootnoteText"/>
      </w:pPr>
      <w:r>
        <w:rPr>
          <w:rStyle w:val="FootnoteReference"/>
        </w:rPr>
        <w:footnoteRef/>
      </w:r>
      <w:r>
        <w:t xml:space="preserve"> </w:t>
      </w:r>
      <w:r>
        <w:t xml:space="preserve">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6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362">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363">
    <w:p>
      <w:pPr>
        <w:pStyle w:val="FootnoteText"/>
      </w:pPr>
      <w:r>
        <w:rPr>
          <w:rStyle w:val="FootnoteReference"/>
        </w:rPr>
        <w:footnoteRef/>
      </w:r>
      <w:r>
        <w:t xml:space="preserve"> </w:t>
      </w:r>
      <w:r>
        <w:t xml:space="preserve">Basel Committee on Banking Supervision. Basel III: A global regulatory framework for more resilient banks and banking systems. – Basel: Bank for International Settlements, December 2010 (rev. June 2011).</w:t>
      </w:r>
    </w:p>
  </w:footnote>
  <w:footnote w:id="364">
    <w:p>
      <w:pPr>
        <w:pStyle w:val="FootnoteText"/>
      </w:pPr>
      <w:r>
        <w:rPr>
          <w:rStyle w:val="FootnoteReference"/>
        </w:rPr>
        <w:footnoteRef/>
      </w:r>
      <w:r>
        <w:t xml:space="preserve"> </w:t>
      </w:r>
      <w:r>
        <w:t xml:space="preserve">Basel Committee on Banking Supervision. A framework for dealing with domestic systemically important banks. – Basel: Bank for International Settlements, October 2012.</w:t>
      </w:r>
    </w:p>
  </w:footnote>
  <w:footnote w:id="36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36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3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6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69">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70">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71">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7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7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5">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376">
    <w:p>
      <w:pPr>
        <w:pStyle w:val="FootnoteText"/>
      </w:pPr>
      <w:r>
        <w:rPr>
          <w:rStyle w:val="FootnoteReference"/>
        </w:rPr>
        <w:footnoteRef/>
      </w:r>
      <w:r>
        <w:t xml:space="preserve"> </w:t>
      </w:r>
      <w:r>
        <w:t xml:space="preserve">Tadqiqot natijasida muallif tomonidan 3.1.2-jadval asosida ishlab chiqildi.</w:t>
      </w:r>
    </w:p>
  </w:footnote>
  <w:footnote w:id="37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7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379">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51.</w:t>
      </w:r>
    </w:p>
  </w:footnote>
  <w:footnote w:id="38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81">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8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w:t>
      </w:r>
    </w:p>
  </w:footnote>
  <w:footnote w:id="383">
    <w:p>
      <w:pPr>
        <w:pStyle w:val="FootnoteText"/>
      </w:pPr>
      <w:r>
        <w:rPr>
          <w:rStyle w:val="FootnoteReference"/>
        </w:rPr>
        <w:footnoteRef/>
      </w:r>
      <w:r>
        <w:t xml:space="preserve"> </w:t>
      </w:r>
      <w:r>
        <w:t xml:space="preserve">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38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385">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386">
    <w:p>
      <w:pPr>
        <w:pStyle w:val="FootnoteText"/>
      </w:pPr>
      <w:r>
        <w:rPr>
          <w:rStyle w:val="FootnoteReference"/>
        </w:rPr>
        <w:footnoteRef/>
      </w:r>
      <w:r>
        <w:t xml:space="preserve"> </w:t>
      </w:r>
      <w:r>
        <w:t xml:space="preserve">Tadqiqot natijasida muallif tomonidan 3.1.5-jadval ma’lumotlari asosida ishlab chiqildi.</w:t>
      </w:r>
    </w:p>
  </w:footnote>
  <w:footnote w:id="387">
    <w:p>
      <w:pPr>
        <w:pStyle w:val="FootnoteText"/>
      </w:pPr>
      <w:r>
        <w:rPr>
          <w:rStyle w:val="FootnoteReference"/>
        </w:rPr>
        <w:footnoteRef/>
      </w:r>
      <w:r>
        <w:t xml:space="preserve"> </w:t>
      </w:r>
      <w:r>
        <w:t xml:space="preserve">Tadqiqot natijasida muallif tomonidan 3.1.3 va 3.1.5-jadvallar ma’lumotlari asosida hisoblandi.</w:t>
      </w:r>
    </w:p>
  </w:footnote>
  <w:footnote w:id="388">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38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90">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391">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392">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9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2–3.</w:t>
      </w:r>
    </w:p>
  </w:footnote>
  <w:footnote w:id="394">
    <w:p>
      <w:pPr>
        <w:pStyle w:val="FootnoteText"/>
      </w:pPr>
      <w:r>
        <w:rPr>
          <w:rStyle w:val="FootnoteReference"/>
        </w:rPr>
        <w:footnoteRef/>
      </w:r>
      <w:r>
        <w:t xml:space="preserve"> </w:t>
      </w:r>
      <w:r>
        <w:t xml:space="preserve">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95">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396">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397">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398">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Consolidated financial statements and independent auditor’s report for the year ended 31 December 2022. – Tashkent: Ernst &amp; Young, 2023. – P. 8–10.</w:t>
      </w:r>
    </w:p>
  </w:footnote>
  <w:footnote w:id="399">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2023. – Tashkent: Ernst &amp; Young, 2024.</w:t>
      </w:r>
    </w:p>
  </w:footnote>
  <w:footnote w:id="400">
    <w:p>
      <w:pPr>
        <w:pStyle w:val="FootnoteText"/>
      </w:pPr>
      <w:r>
        <w:rPr>
          <w:rStyle w:val="FootnoteReference"/>
        </w:rPr>
        <w:footnoteRef/>
      </w:r>
      <w:r>
        <w:t xml:space="preserve"> </w:t>
      </w:r>
      <w:r>
        <w:t xml:space="preserve">Tadqiqot natijasida muallif tomonidan quyidagi manbalar asosida ishlab chiqildi: International Monetary Fund. 2019 Financial Soundness Indicators Compilation Guide. – Washington, DC: IMF, 2019;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«SNS» reyting agentligi. O‘zbekiston tijorat banklarining asosiy ko‘rsatkichlari bazasi (Banks_2025_IV, Banks_2026_II): 36 bank, 2021-yil IV chorak – 2026-yil II chorak.</w:t>
      </w:r>
    </w:p>
  </w:footnote>
  <w:footnote w:id="401">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402">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403">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04">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05">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406">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407">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08">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09">
    <w:p>
      <w:pPr>
        <w:pStyle w:val="FootnoteText"/>
      </w:pPr>
      <w:r>
        <w:rPr>
          <w:rStyle w:val="FootnoteReference"/>
        </w:rPr>
        <w:footnoteRef/>
      </w:r>
      <w:r>
        <w:t xml:space="preserve"> </w:t>
      </w:r>
      <w:r>
        <w:t xml:space="preserve">Tadqiqot natijasida muallif tomonidan 3.2.2-jadval ma’lumotlari asosida ishlab chiqildi.</w:t>
      </w:r>
    </w:p>
  </w:footnote>
  <w:footnote w:id="410">
    <w:p>
      <w:pPr>
        <w:pStyle w:val="FootnoteText"/>
      </w:pPr>
      <w:r>
        <w:rPr>
          <w:rStyle w:val="FootnoteReference"/>
        </w:rPr>
        <w:footnoteRef/>
      </w:r>
      <w:r>
        <w:t xml:space="preserve"> </w:t>
      </w:r>
      <w:r>
        <w:t xml:space="preserve">Tadqiqot natijasida muallif tomonidan 3.2.1-rasm ma’lumotlari asosida ishlab chiqildi.</w:t>
      </w:r>
    </w:p>
  </w:footnote>
  <w:footnote w:id="411">
    <w:p>
      <w:pPr>
        <w:pStyle w:val="FootnoteText"/>
      </w:pPr>
      <w:r>
        <w:rPr>
          <w:rStyle w:val="FootnoteReference"/>
        </w:rPr>
        <w:footnoteRef/>
      </w:r>
      <w:r>
        <w:t xml:space="preserve"> </w:t>
      </w:r>
      <w:r>
        <w:t xml:space="preserve">Tadqiqot natijasida muallif tomonidan hisoblandi: kapitalga kiritilgan mablag‘lar = xususiy kapitalning yillik o‘zgarishi − yil sof foydasi (boshqa umumlashgan daromad va dividendlar ham shu farqqa kiradi, shu sababli baho taxminiy).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2">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413">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414">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5">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416">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417">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8">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19">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20">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21">
    <w:p>
      <w:pPr>
        <w:pStyle w:val="FootnoteText"/>
      </w:pPr>
      <w:r>
        <w:rPr>
          <w:rStyle w:val="FootnoteReference"/>
        </w:rPr>
        <w:footnoteRef/>
      </w:r>
      <w:r>
        <w:t xml:space="preserve"> </w:t>
      </w:r>
      <w:r>
        <w:t xml:space="preserve">Laeven L., Levine R. Bank governance, regulation and risk taking // Journal of Financial Economics. – 2009. – Vol. 93, No. 2. – P. 259–275.</w:t>
      </w:r>
    </w:p>
  </w:footnote>
  <w:footnote w:id="422">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23">
    <w:p>
      <w:pPr>
        <w:pStyle w:val="FootnoteText"/>
      </w:pPr>
      <w:r>
        <w:rPr>
          <w:rStyle w:val="FootnoteReference"/>
        </w:rPr>
        <w:footnoteRef/>
      </w:r>
      <w:r>
        <w:t xml:space="preserve"> </w:t>
      </w:r>
      <w:r>
        <w:t xml:space="preserve">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24">
    <w:p>
      <w:pPr>
        <w:pStyle w:val="FootnoteText"/>
      </w:pPr>
      <w:r>
        <w:rPr>
          <w:rStyle w:val="FootnoteReference"/>
        </w:rPr>
        <w:footnoteRef/>
      </w:r>
      <w:r>
        <w:t xml:space="preserve"> </w:t>
      </w:r>
      <w:r>
        <w:t xml:space="preserve">Iannotta G., Nocera G., Sironi A. Ownership structure, risk and performance in the European banking industry // Journal of Banking &amp; Finance. – 2007. – Vol. 31, No. 7. – P. 2127–2149.</w:t>
      </w:r>
    </w:p>
  </w:footnote>
  <w:footnote w:id="425">
    <w:p>
      <w:pPr>
        <w:pStyle w:val="FootnoteText"/>
      </w:pPr>
      <w:r>
        <w:rPr>
          <w:rStyle w:val="FootnoteReference"/>
        </w:rPr>
        <w:footnoteRef/>
      </w:r>
      <w:r>
        <w:t xml:space="preserve"> </w:t>
      </w:r>
      <w:r>
        <w:t xml:space="preserve">Cornett M.M., Guo L., Khaksari S., Tehranian H. The impact of state ownership on performance differences in privately-owned versus state-owned banks: An international comparison // Journal of Financial Intermediation. – 2010. – Vol. 19, No. 1. – P. 74–94.</w:t>
      </w:r>
    </w:p>
  </w:footnote>
  <w:footnote w:id="426">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27">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28">
    <w:p>
      <w:pPr>
        <w:pStyle w:val="FootnoteText"/>
      </w:pPr>
      <w:r>
        <w:rPr>
          <w:rStyle w:val="FootnoteReference"/>
        </w:rPr>
        <w:footnoteRef/>
      </w:r>
      <w:r>
        <w:t xml:space="preserve"> </w:t>
      </w:r>
      <w:r>
        <w:t xml:space="preserve">Louzis D.P., Vouldis A.T., Metaxas V.L. Macroeconomic and bank-specific determinants of non-performing loans in Greece: A comparative study of mortgage, business and consumer loan portfolios // Journal of Banking &amp; Finance. – 2012. – Vol. 36, No. 4. – P. 1012–1027.</w:t>
      </w:r>
    </w:p>
  </w:footnote>
  <w:footnote w:id="429">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30">
    <w:p>
      <w:pPr>
        <w:pStyle w:val="FootnoteText"/>
      </w:pPr>
      <w:r>
        <w:rPr>
          <w:rStyle w:val="FootnoteReference"/>
        </w:rPr>
        <w:footnoteRef/>
      </w:r>
      <w:r>
        <w:t xml:space="preserve"> </w:t>
      </w:r>
      <w:r>
        <w:t xml:space="preserve">Nkusu M. Nonperforming Loans and Macrofinancial Vulnerabilities in Advanced Economies: IMF Working Paper WP/11/161. – Washington, DC: International Monetary Fund, 2011.</w:t>
      </w:r>
    </w:p>
  </w:footnote>
  <w:footnote w:id="431">
    <w:p>
      <w:pPr>
        <w:pStyle w:val="FootnoteText"/>
      </w:pPr>
      <w:r>
        <w:rPr>
          <w:rStyle w:val="FootnoteReference"/>
        </w:rPr>
        <w:footnoteRef/>
      </w:r>
      <w:r>
        <w:t xml:space="preserve"> </w:t>
      </w:r>
      <w:r>
        <w:t xml:space="preserve">O‘zbekiston Respublikasi Markaziy banki. Banklar statistikasi: tijorat banklarining asosiy ko‘rsatkichlari va muammoli kreditlari to‘g‘risidagi oylik ma’lumotlar, 2021-yil aprel – 2026-yil yanvar. – https://cbu.uz/uz/statistics/bankstats/</w:t>
      </w:r>
    </w:p>
  </w:footnote>
  <w:footnote w:id="432">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33">
    <w:p>
      <w:pPr>
        <w:pStyle w:val="FootnoteText"/>
      </w:pPr>
      <w:r>
        <w:rPr>
          <w:rStyle w:val="FootnoteReference"/>
        </w:rPr>
        <w:footnoteRef/>
      </w:r>
      <w:r>
        <w:t xml:space="preserve"> </w:t>
      </w:r>
      <w:r>
        <w:t xml:space="preserve">O‘zbekiston Respublikasi Markaziy banki. Statistik byulleten: 2026-yil mart. – Toshkent, 2026. – 1.1, 1.2, 3.1, 3.7, 5.1-jadvallar. – https://cbu.uz/uz/statistics/buleten/</w:t>
      </w:r>
    </w:p>
  </w:footnote>
  <w:footnote w:id="434">
    <w:p>
      <w:pPr>
        <w:pStyle w:val="FootnoteText"/>
      </w:pPr>
      <w:r>
        <w:rPr>
          <w:rStyle w:val="FootnoteReference"/>
        </w:rPr>
        <w:footnoteRef/>
      </w:r>
      <w:r>
        <w:t xml:space="preserve"> </w:t>
      </w:r>
      <w:r>
        <w:t xml:space="preserve">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35">
    <w:p>
      <w:pPr>
        <w:pStyle w:val="FootnoteText"/>
      </w:pPr>
      <w:r>
        <w:rPr>
          <w:rStyle w:val="FootnoteReference"/>
        </w:rPr>
        <w:footnoteRef/>
      </w:r>
      <w:r>
        <w:t xml:space="preserve"> </w:t>
      </w:r>
      <w:r>
        <w:t xml:space="preserve">«Ipoteka-bank»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36">
    <w:p>
      <w:pPr>
        <w:pStyle w:val="FootnoteText"/>
      </w:pPr>
      <w:r>
        <w:rPr>
          <w:rStyle w:val="FootnoteReference"/>
        </w:rPr>
        <w:footnoteRef/>
      </w:r>
      <w:r>
        <w:t xml:space="preserve"> </w:t>
      </w:r>
      <w:r>
        <w:t xml:space="preserve">Roy A.D. Safety First and the Holding of Assets // Econometrica. – 1952. – Vol. 20, No. 3. – P. 431–449.</w:t>
      </w:r>
    </w:p>
  </w:footnote>
  <w:footnote w:id="437">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438">
    <w:p>
      <w:pPr>
        <w:pStyle w:val="FootnoteText"/>
      </w:pPr>
      <w:r>
        <w:rPr>
          <w:rStyle w:val="FootnoteReference"/>
        </w:rPr>
        <w:footnoteRef/>
      </w:r>
      <w:r>
        <w:t xml:space="preserve"> </w:t>
      </w:r>
      <w:r>
        <w:t xml:space="preserve">Lepetit L., Strobel F. Bank insolvency risk and time-varying Z-score measures // Journal of International Financial Markets, Institutions and Money. – 2013. – Vol. 25. – P. 73–87.</w:t>
      </w:r>
    </w:p>
  </w:footnote>
  <w:footnote w:id="439">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0">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1">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2">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3">
    <w:p>
      <w:pPr>
        <w:pStyle w:val="FootnoteText"/>
      </w:pPr>
      <w:r>
        <w:rPr>
          <w:rStyle w:val="FootnoteReference"/>
        </w:rPr>
        <w:footnoteRef/>
      </w:r>
      <w:r>
        <w:t xml:space="preserve"> </w:t>
      </w:r>
      <w:r>
        <w:t xml:space="preserve">Baltagi B.H. Econometric Analysis of Panel Data. – 6th ed. – Cham: Springer, 2021.</w:t>
      </w:r>
    </w:p>
  </w:footnote>
  <w:footnote w:id="444">
    <w:p>
      <w:pPr>
        <w:pStyle w:val="FootnoteText"/>
      </w:pPr>
      <w:r>
        <w:rPr>
          <w:rStyle w:val="FootnoteReference"/>
        </w:rPr>
        <w:footnoteRef/>
      </w:r>
      <w:r>
        <w:t xml:space="preserve"> </w:t>
      </w:r>
      <w:r>
        <w:t xml:space="preserve">Wooldridge J.M. Econometric Analysis of Cross Section and Panel Data. – 2nd ed. – Cambridge, MA: MIT Press, 2010.</w:t>
      </w:r>
    </w:p>
  </w:footnote>
  <w:footnote w:id="445">
    <w:p>
      <w:pPr>
        <w:pStyle w:val="FootnoteText"/>
      </w:pPr>
      <w:r>
        <w:rPr>
          <w:rStyle w:val="FootnoteReference"/>
        </w:rPr>
        <w:footnoteRef/>
      </w:r>
      <w:r>
        <w:t xml:space="preserve"> </w:t>
      </w:r>
      <w:r>
        <w:t xml:space="preserve">Breusch T.S., Pagan A.R. The Lagrange Multiplier Test and its Applications to Model Specification in Econometrics // Review of Economic Studies. – 1980. – Vol. 47, No. 1. – P. 239–253.</w:t>
      </w:r>
    </w:p>
  </w:footnote>
  <w:footnote w:id="446">
    <w:p>
      <w:pPr>
        <w:pStyle w:val="FootnoteText"/>
      </w:pPr>
      <w:r>
        <w:rPr>
          <w:rStyle w:val="FootnoteReference"/>
        </w:rPr>
        <w:footnoteRef/>
      </w:r>
      <w:r>
        <w:t xml:space="preserve"> </w:t>
      </w:r>
      <w:r>
        <w:t xml:space="preserve">Hausman J.A. Specification Tests in Econometrics // Econometrica. – 1978. – Vol. 46, No. 6. – P. 1251–1271.</w:t>
      </w:r>
    </w:p>
  </w:footnote>
  <w:footnote w:id="447">
    <w:p>
      <w:pPr>
        <w:pStyle w:val="FootnoteText"/>
      </w:pPr>
      <w:r>
        <w:rPr>
          <w:rStyle w:val="FootnoteReference"/>
        </w:rPr>
        <w:footnoteRef/>
      </w:r>
      <w:r>
        <w:t xml:space="preserve"> </w:t>
      </w:r>
      <w:r>
        <w:t xml:space="preserve">Nickell S. Biases in Dynamic Models with Fixed Effects // Econometrica. – 1981. – Vol. 49, No. 6. – P. 1417–1426.</w:t>
      </w:r>
    </w:p>
  </w:footnote>
  <w:footnote w:id="448">
    <w:p>
      <w:pPr>
        <w:pStyle w:val="FootnoteText"/>
      </w:pPr>
      <w:r>
        <w:rPr>
          <w:rStyle w:val="FootnoteReference"/>
        </w:rPr>
        <w:footnoteRef/>
      </w:r>
      <w:r>
        <w:t xml:space="preserve"> </w:t>
      </w:r>
      <w:r>
        <w:t xml:space="preserve">Anderson T.W., Hsiao C. Estimation of Dynamic Models with Error Components // Journal of the American Statistical Association. – 1981. – Vol. 76, No. 375. – P. 598–606.</w:t>
      </w:r>
    </w:p>
  </w:footnote>
  <w:footnote w:id="449">
    <w:p>
      <w:pPr>
        <w:pStyle w:val="FootnoteText"/>
      </w:pPr>
      <w:r>
        <w:rPr>
          <w:rStyle w:val="FootnoteReference"/>
        </w:rPr>
        <w:footnoteRef/>
      </w:r>
      <w:r>
        <w:t xml:space="preserve"> </w:t>
      </w:r>
      <w:r>
        <w:t xml:space="preserve">Arellano M., Bond S. Some Tests of Specification for Panel Data: Monte Carlo Evidence and an Application to Employment Equations // Review of Economic Studies. – 1991. – Vol. 58, No. 2. – P. 277–297.</w:t>
      </w:r>
    </w:p>
  </w:footnote>
  <w:footnote w:id="450">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1">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52">
    <w:p>
      <w:pPr>
        <w:pStyle w:val="FootnoteText"/>
      </w:pPr>
      <w:r>
        <w:rPr>
          <w:rStyle w:val="FootnoteReference"/>
        </w:rPr>
        <w:footnoteRef/>
      </w:r>
      <w:r>
        <w:t xml:space="preserve"> </w:t>
      </w:r>
      <w:r>
        <w:t xml:space="preserve">Stock J.H., Yogo M. Testing for Weak Instruments in Linear IV Regression // Identification and Inference for Econometric Models: Essays in Honor of Thomas Rothenberg / ed. by D.W.K. Andrews, J.H. Stock. – Cambridge: Cambridge University Press, 2005. – P. 80–108.</w:t>
      </w:r>
    </w:p>
  </w:footnote>
  <w:footnote w:id="453">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54">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5">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6">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57">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8">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59">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60">
    <w:p>
      <w:pPr>
        <w:pStyle w:val="FootnoteText"/>
      </w:pPr>
      <w:r>
        <w:rPr>
          <w:rStyle w:val="FootnoteReference"/>
        </w:rPr>
        <w:footnoteRef/>
      </w:r>
      <w:r>
        <w:t xml:space="preserve"> </w:t>
      </w:r>
      <w:r>
        <w:t xml:space="preserve">Tadqiqot natijasida muallif tomonidan 3.3.3–3.3.6-jadvallar ma’lumotlari asosida ishlab chiqildi.</w:t>
      </w:r>
    </w:p>
  </w:footnote>
  <w:footnote w:id="461">
    <w:p>
      <w:pPr>
        <w:pStyle w:val="FootnoteText"/>
      </w:pPr>
      <w:r>
        <w:rPr>
          <w:rStyle w:val="FootnoteReference"/>
        </w:rPr>
        <w:footnoteRef/>
      </w:r>
      <w:r>
        <w:t xml:space="preserve"> </w:t>
      </w:r>
      <w:r>
        <w:t xml:space="preserve">Sahajwala R., Van den Bergh P. Supervisory risk assessment and early warning systems: Basel Committee on Banking Supervision Working Papers No. 4. – Basel: BIS, December 2000.</w:t>
      </w:r>
    </w:p>
  </w:footnote>
  <w:footnote w:id="462">
    <w:p>
      <w:pPr>
        <w:pStyle w:val="FootnoteText"/>
      </w:pPr>
      <w:r>
        <w:rPr>
          <w:rStyle w:val="FootnoteReference"/>
        </w:rPr>
        <w:footnoteRef/>
      </w:r>
      <w:r>
        <w:t xml:space="preserve"> </w:t>
      </w:r>
      <w:r>
        <w:t xml:space="preserve">Cole R.A., Gunther J.W. Predicting Bank Failures: A Comparison of On- and Off-Site Monitoring Systems // Journal of Financial Services Research. – 1998. – Vol. 13, No. 2. – P. 103–117.</w:t>
      </w:r>
    </w:p>
  </w:footnote>
  <w:footnote w:id="463">
    <w:p>
      <w:pPr>
        <w:pStyle w:val="FootnoteText"/>
      </w:pPr>
      <w:r>
        <w:rPr>
          <w:rStyle w:val="FootnoteReference"/>
        </w:rPr>
        <w:footnoteRef/>
      </w:r>
      <w:r>
        <w:t xml:space="preserve"> </w:t>
      </w:r>
      <w:r>
        <w:t xml:space="preserve">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64">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65">
    <w:p>
      <w:pPr>
        <w:pStyle w:val="FootnoteText"/>
      </w:pPr>
      <w:r>
        <w:rPr>
          <w:rStyle w:val="FootnoteReference"/>
        </w:rPr>
        <w:footnoteRef/>
      </w:r>
      <w:r>
        <w:t xml:space="preserve"> </w:t>
      </w:r>
      <w:r>
        <w:t xml:space="preserve">Kaminsky G., Lizondo S., Reinhart C.M. Leading Indicators of Currency Crises // IMF Staff Papers. – 1998. – Vol. 45, No. 1. – P. 1–48.</w:t>
      </w:r>
    </w:p>
  </w:footnote>
  <w:footnote w:id="466">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67">
    <w:p>
      <w:pPr>
        <w:pStyle w:val="FootnoteText"/>
      </w:pPr>
      <w:r>
        <w:rPr>
          <w:rStyle w:val="FootnoteReference"/>
        </w:rPr>
        <w:footnoteRef/>
      </w:r>
      <w:r>
        <w:t xml:space="preserve"> </w:t>
      </w:r>
      <w:r>
        <w:t xml:space="preserve">Davis E.P., Karim D. Comparing early warning systems for banking crises // Journal of Financial Stability. – 2008. – Vol. 4, No. 2. – P. 89–120.</w:t>
      </w:r>
    </w:p>
  </w:footnote>
  <w:footnote w:id="46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 107–114.</w:t>
      </w:r>
    </w:p>
  </w:footnote>
  <w:footnote w:id="469">
    <w:p>
      <w:pPr>
        <w:pStyle w:val="FootnoteText"/>
      </w:pPr>
      <w:r>
        <w:rPr>
          <w:rStyle w:val="FootnoteReference"/>
        </w:rPr>
        <w:footnoteRef/>
      </w:r>
      <w:r>
        <w:t xml:space="preserve"> </w:t>
      </w:r>
      <w:r>
        <w:t xml:space="preserve">Betz F., Oprică S., Peltonen T.A., Sarlin P. Predicting distress in European banks // Journal of Banking &amp; Finance. – 2014. – Vol. 45. – P. 225–241.</w:t>
      </w:r>
    </w:p>
  </w:footnote>
  <w:footnote w:id="470">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1">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72">
    <w:p>
      <w:pPr>
        <w:pStyle w:val="FootnoteText"/>
      </w:pPr>
      <w:r>
        <w:rPr>
          <w:rStyle w:val="FootnoteReference"/>
        </w:rPr>
        <w:footnoteRef/>
      </w:r>
      <w:r>
        <w:t xml:space="preserve"> </w:t>
      </w:r>
      <w:r>
        <w:t xml:space="preserve">Fawcett T. An introduction to ROC analysis // Pattern Recognition Letters. – 2006. – Vol. 27, No. 8. – P. 861–874.</w:t>
      </w:r>
    </w:p>
  </w:footnote>
  <w:footnote w:id="473">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4">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5">
    <w:p>
      <w:pPr>
        <w:pStyle w:val="FootnoteText"/>
      </w:pPr>
      <w:r>
        <w:rPr>
          <w:rStyle w:val="FootnoteReference"/>
        </w:rPr>
        <w:footnoteRef/>
      </w:r>
      <w:r>
        <w:t xml:space="preserve"> </w:t>
      </w:r>
      <w:r>
        <w:t xml:space="preserve">DeLong E.R., DeLong D.M., Clarke-Pearson D.L. Comparing the Areas under Two or More Correlated Receiver Operating Characteristic Curves: A Nonparametric Approach // Biometrics. – 1988. – Vol. 44, No. 3. – P. 837–845.</w:t>
      </w:r>
    </w:p>
  </w:footnote>
  <w:footnote w:id="476">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7">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8">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9">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80">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1">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2">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8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4">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85">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86">
    <w:p>
      <w:pPr>
        <w:pStyle w:val="FootnoteText"/>
      </w:pPr>
      <w:r>
        <w:rPr>
          <w:rStyle w:val="FootnoteReference"/>
        </w:rPr>
        <w:footnoteRef/>
      </w:r>
      <w:r>
        <w:t xml:space="preserve"> </w:t>
      </w:r>
      <w:r>
        <w:t xml:space="preserve">Tadqiqot natijasida muallif tomonidan 4.1.3–4.1.5-jadvallar ma’lumotlari asosida ishlab chiqildi.</w:t>
      </w:r>
    </w:p>
  </w:footnote>
  <w:footnote w:id="487">
    <w:p>
      <w:pPr>
        <w:pStyle w:val="FootnoteText"/>
      </w:pPr>
      <w:r>
        <w:rPr>
          <w:rStyle w:val="FootnoteReference"/>
        </w:rPr>
        <w:footnoteRef/>
      </w:r>
      <w:r>
        <w:t xml:space="preserve"> </w:t>
      </w:r>
      <w:r>
        <w:t xml:space="preserve">Čihák M. Introduction to Applied Stress Testing: IMF Working Paper WP/07/59. – Washington, DC: International Monetary Fund, 2007.</w:t>
      </w:r>
    </w:p>
  </w:footnote>
  <w:footnote w:id="488">
    <w:p>
      <w:pPr>
        <w:pStyle w:val="FootnoteText"/>
      </w:pPr>
      <w:r>
        <w:rPr>
          <w:rStyle w:val="FootnoteReference"/>
        </w:rPr>
        <w:footnoteRef/>
      </w:r>
      <w:r>
        <w:t xml:space="preserve"> </w:t>
      </w:r>
      <w:r>
        <w:t xml:space="preserve">Sorge M., Virolainen K. A comparative analysis of macro stress-testing methodologies with application to Finland // Journal of Financial Stability. – 2006. – Vol. 2, No. 2. – P. 113–151.</w:t>
      </w:r>
    </w:p>
  </w:footnote>
  <w:footnote w:id="489">
    <w:p>
      <w:pPr>
        <w:pStyle w:val="FootnoteText"/>
      </w:pPr>
      <w:r>
        <w:rPr>
          <w:rStyle w:val="FootnoteReference"/>
        </w:rPr>
        <w:footnoteRef/>
      </w:r>
      <w:r>
        <w:t xml:space="preserve"> </w:t>
      </w:r>
      <w:r>
        <w:t xml:space="preserve">Basel Committee on Banking Supervision. Stress testing principles. – Basel: BIS, October 2018.</w:t>
      </w:r>
    </w:p>
  </w:footnote>
  <w:footnote w:id="490">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491">
    <w:p>
      <w:pPr>
        <w:pStyle w:val="FootnoteText"/>
      </w:pPr>
      <w:r>
        <w:rPr>
          <w:rStyle w:val="FootnoteReference"/>
        </w:rPr>
        <w:footnoteRef/>
      </w:r>
      <w:r>
        <w:t xml:space="preserve"> </w:t>
      </w:r>
      <w:r>
        <w:t xml:space="preserve">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492">
    <w:p>
      <w:pPr>
        <w:pStyle w:val="FootnoteText"/>
      </w:pPr>
      <w:r>
        <w:rPr>
          <w:rStyle w:val="FootnoteReference"/>
        </w:rPr>
        <w:footnoteRef/>
      </w:r>
      <w:r>
        <w:t xml:space="preserve"> </w:t>
      </w:r>
      <w:r>
        <w:t xml:space="preserve">O‘zbekiston Respublikasi Markaziy banki. Statistik byulleten: 2021-yil. – Toshkent, 2022. – 5.1.8a, 5.1.8b-jadvallar; O‘zbekiston Respublikasi Markaziy banki. Statistik byulleten: 2026-yil mart. – Toshkent, 2026. – 1.1, 5.1-jadvallar. – https://cbu.uz/uz/statistics/buleten/</w:t>
      </w:r>
    </w:p>
  </w:footnote>
  <w:footnote w:id="493">
    <w:p>
      <w:pPr>
        <w:pStyle w:val="FootnoteText"/>
      </w:pPr>
      <w:r>
        <w:rPr>
          <w:rStyle w:val="FootnoteReference"/>
        </w:rPr>
        <w:footnoteRef/>
      </w:r>
      <w:r>
        <w:t xml:space="preserve"> </w:t>
      </w:r>
      <w:r>
        <w:t xml:space="preserve">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4">
    <w:p>
      <w:pPr>
        <w:pStyle w:val="FootnoteText"/>
      </w:pPr>
      <w:r>
        <w:rPr>
          <w:rStyle w:val="FootnoteReference"/>
        </w:rPr>
        <w:footnoteRef/>
      </w:r>
      <w:r>
        <w:t xml:space="preserve"> </w:t>
      </w:r>
      <w:r>
        <w:t xml:space="preserve">Louzis D.P., Vouldis A.T., Metaxas V.L. Macroeconomic and bank-specific determinants of non-performing loans in Greece: A comparative study of mortgage, business and consumer loan portfolios // Journal of Banking &amp; Finance. – 2012. – Vol. 36, No. 4. – P. 1012–1027.</w:t>
      </w:r>
    </w:p>
  </w:footnote>
  <w:footnote w:id="495">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96">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497">
    <w:p>
      <w:pPr>
        <w:pStyle w:val="FootnoteText"/>
      </w:pPr>
      <w:r>
        <w:rPr>
          <w:rStyle w:val="FootnoteReference"/>
        </w:rPr>
        <w:footnoteRef/>
      </w:r>
      <w:r>
        <w:t xml:space="preserve"> </w:t>
      </w:r>
      <w:r>
        <w:t xml:space="preserve">Basel Committee on Banking Supervision. Stress testing principles. – Basel: BIS, October 2018.</w:t>
      </w:r>
    </w:p>
  </w:footnote>
  <w:footnote w:id="498">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499">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500">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501">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502">
    <w:p>
      <w:pPr>
        <w:pStyle w:val="FootnoteText"/>
      </w:pPr>
      <w:r>
        <w:rPr>
          <w:rStyle w:val="FootnoteReference"/>
        </w:rPr>
        <w:footnoteRef/>
      </w:r>
      <w:r>
        <w:t xml:space="preserve"> </w:t>
      </w:r>
      <w:r>
        <w:t xml:space="preserve">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503">
    <w:p>
      <w:pPr>
        <w:pStyle w:val="FootnoteText"/>
      </w:pPr>
      <w:r>
        <w:rPr>
          <w:rStyle w:val="FootnoteReference"/>
        </w:rPr>
        <w:footnoteRef/>
      </w:r>
      <w:r>
        <w:t xml:space="preserve"> </w:t>
      </w:r>
      <w:r>
        <w:t xml:space="preserve">Tadqiqot natijasida muallif tomonidan 4.2.6-jadval ma’lumotlari asosida ishlab chiqildi.</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3F36E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nsid w:val="04667E60"/>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nsid w:val="0008ED2B"/>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center"/>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rPr>
      <w:rFonts w:ascii="Times New Roman" w:hAnsi="Times New Roman"/>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notes" Target="footnotes.xml"/><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chart" Target="charts/chart3.xml"/><Relationship Id="rId14" Type="http://schemas.openxmlformats.org/officeDocument/2006/relationships/chart" Target="charts/chart4.xml"/><Relationship Id="rId15" Type="http://schemas.openxmlformats.org/officeDocument/2006/relationships/chart" Target="charts/chart5.xml"/><Relationship Id="rId16" Type="http://schemas.openxmlformats.org/officeDocument/2006/relationships/chart" Target="charts/chart6.xml"/><Relationship Id="rId17" Type="http://schemas.openxmlformats.org/officeDocument/2006/relationships/chart" Target="charts/chart7.xml"/><Relationship Id="rId18" Type="http://schemas.openxmlformats.org/officeDocument/2006/relationships/chart" Target="charts/chart8.xml"/><Relationship Id="rId19" Type="http://schemas.openxmlformats.org/officeDocument/2006/relationships/chart" Target="charts/chart9.xml"/><Relationship Id="rId20" Type="http://schemas.openxmlformats.org/officeDocument/2006/relationships/chart" Target="charts/chart10.xml"/><Relationship Id="rId21" Type="http://schemas.openxmlformats.org/officeDocument/2006/relationships/chart" Target="charts/chart11.xml"/><Relationship Id="rId22" Type="http://schemas.openxmlformats.org/officeDocument/2006/relationships/chart" Target="charts/chart12.xml"/><Relationship Id="rId23" Type="http://schemas.openxmlformats.org/officeDocument/2006/relationships/chart" Target="charts/chart13.xml"/><Relationship Id="rId24" Type="http://schemas.openxmlformats.org/officeDocument/2006/relationships/chart" Target="charts/chart14.xml"/><Relationship Id="rId25" Type="http://schemas.openxmlformats.org/officeDocument/2006/relationships/chart" Target="charts/chart15.xml"/><Relationship Id="rId26" Type="http://schemas.openxmlformats.org/officeDocument/2006/relationships/chart" Target="charts/chart16.xml"/><Relationship Id="rId27" Type="http://schemas.openxmlformats.org/officeDocument/2006/relationships/chart" Target="charts/chart17.xml"/><Relationship Id="rId28" Type="http://schemas.openxmlformats.org/officeDocument/2006/relationships/chart" Target="charts/chart18.xml"/><Relationship Id="rId29" Type="http://schemas.openxmlformats.org/officeDocument/2006/relationships/chart" Target="charts/chart19.xml"/><Relationship Id="rId30" Type="http://schemas.openxmlformats.org/officeDocument/2006/relationships/chart" Target="charts/chart20.xml"/><Relationship Id="rId31" Type="http://schemas.openxmlformats.org/officeDocument/2006/relationships/chart" Target="charts/chart21.xml"/><Relationship Id="rId32" Type="http://schemas.openxmlformats.org/officeDocument/2006/relationships/chart" Target="charts/chart22.xml"/><Relationship Id="rId33" Type="http://schemas.openxmlformats.org/officeDocument/2006/relationships/chart" Target="charts/chart23.xml"/><Relationship Id="rId34" Type="http://schemas.openxmlformats.org/officeDocument/2006/relationships/chart" Target="charts/chart24.xml"/><Relationship Id="rId35" Type="http://schemas.openxmlformats.org/officeDocument/2006/relationships/chart" Target="charts/chart25.xml"/><Relationship Id="rId36" Type="http://schemas.openxmlformats.org/officeDocument/2006/relationships/chart" Target="charts/chart26.xml"/><Relationship Id="rId37" Type="http://schemas.openxmlformats.org/officeDocument/2006/relationships/chart" Target="charts/chart27.xml"/><Relationship Id="rId38" Type="http://schemas.openxmlformats.org/officeDocument/2006/relationships/chart" Target="charts/chart28.xml"/><Relationship Id="rId39" Type="http://schemas.openxmlformats.org/officeDocument/2006/relationships/chart" Target="charts/chart29.xml"/><Relationship Id="rId40" Type="http://schemas.openxmlformats.org/officeDocument/2006/relationships/chart" Target="charts/chart30.xml"/><Relationship Id="rId41" Type="http://schemas.openxmlformats.org/officeDocument/2006/relationships/chart" Target="charts/chart31.xml"/><Relationship Id="rId42" Type="http://schemas.openxmlformats.org/officeDocument/2006/relationships/chart" Target="charts/chart32.xml"/><Relationship Id="rId43" Type="http://schemas.openxmlformats.org/officeDocument/2006/relationships/chart" Target="charts/chart33.xml"/><Relationship Id="rId44" Type="http://schemas.openxmlformats.org/officeDocument/2006/relationships/chart" Target="charts/chart34.xml"/><Relationship Id="rId45" Type="http://schemas.openxmlformats.org/officeDocument/2006/relationships/chart" Target="charts/chart35.xml"/><Relationship Id="rId46" Type="http://schemas.openxmlformats.org/officeDocument/2006/relationships/chart" Target="charts/chart36.xml"/><Relationship Id="rId47" Type="http://schemas.openxmlformats.org/officeDocument/2006/relationships/chart" Target="charts/chart37.xml"/><Relationship Id="rId48" Type="http://schemas.openxmlformats.org/officeDocument/2006/relationships/chart" Target="charts/chart38.xml"/><Relationship Id="rId49" Type="http://schemas.openxmlformats.org/officeDocument/2006/relationships/chart" Target="charts/chart39.xml"/><Relationship Id="rId50" Type="http://schemas.openxmlformats.org/officeDocument/2006/relationships/chart" Target="charts/chart40.xml"/><Relationship Id="rId51" Type="http://schemas.openxmlformats.org/officeDocument/2006/relationships/chart" Target="charts/chart4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Microsoft_Excel_Worksheet38.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Microsoft_Excel_Worksheet39.xlsx"/></Relationships>
</file>

<file path=word/charts/_rels/chart40.xml.rels><?xml version='1.0' encoding='UTF-8' standalone='yes'?>
<Relationships xmlns="http://schemas.openxmlformats.org/package/2006/relationships"><Relationship Id="rId1" Type="http://schemas.openxmlformats.org/officeDocument/2006/relationships/package" Target="../embeddings/Microsoft_Excel_Worksheet40.xlsx"/></Relationships>
</file>

<file path=word/charts/_rels/chart41.xml.rels><?xml version='1.0' encoding='UTF-8' standalone='yes'?>
<Relationships xmlns="http://schemas.openxmlformats.org/package/2006/relationships"><Relationship Id="rId1" Type="http://schemas.openxmlformats.org/officeDocument/2006/relationships/package" Target="../embeddings/Microsoft_Excel_Worksheet4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Sheet1!$E$2:$E$3</c:f>
              <c:numCache>
                <c:formatCode>General</c:formatCode>
                <c:ptCount val="2"/>
                <c:pt idx="1">
                  <c:v>2.5</c:v>
                </c:pt>
              </c:numCache>
            </c:numRef>
          </c:val>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Sheet1!$F$2:$F$3</c:f>
              <c:numCache>
                <c:formatCode>General</c:formatCode>
                <c:ptCount val="2"/>
                <c:pt idx="1">
                  <c:v>2.5</c:v>
                </c:pt>
              </c:numCache>
            </c:numRef>
          </c:val>
        </c:ser>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7.0</c:v>
                </c:pt>
                <c:pt idx="8">
                  <c:v>7.0</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7.0</c:v>
                </c:pt>
              </c:numCache>
            </c:numRef>
          </c:xVal>
          <c:yVal>
            <c:numRef>
              <c:f>Sheet1!$D$2:$D$6</c:f>
              <c:numCache>
                <c:formatCode>General</c:formatCode>
                <c:ptCount val="5"/>
                <c:pt idx="0">
                  <c:v>100</c:v>
                </c:pt>
                <c:pt idx="1">
                  <c:v>80</c:v>
                </c:pt>
                <c:pt idx="2">
                  <c:v>60</c:v>
                </c:pt>
                <c:pt idx="3">
                  <c:v>40</c:v>
                </c:pt>
                <c:pt idx="4">
                  <c:v>0</c:v>
                </c:pt>
              </c:numCache>
            </c:numRef>
          </c:yVal>
          <c:smooth val="0"/>
        </c:ser>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c:v>
                </c:pt>
                <c:pt idx="2">
                  <c:v>12.2</c:v>
                </c:pt>
              </c:numCache>
            </c:numRef>
          </c:val>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74.6</c:v>
                </c:pt>
                <c:pt idx="1">
                  <c:v>17</c:v>
                </c:pt>
                <c:pt idx="2">
                  <c:v>7.4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ser>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c:v>
                </c:pt>
                <c:pt idx="1">
                  <c:v>2.22</c:v>
                </c:pt>
                <c:pt idx="2">
                  <c:v>2.2</c:v>
                </c:pt>
              </c:numCache>
            </c:numRef>
          </c:val>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3.0</c:v>
                </c:pt>
                <c:pt idx="4">
                  <c:v>4.6</c:v>
                </c:pt>
                <c:pt idx="5">
                  <c:v>15.5</c:v>
                </c:pt>
              </c:numCache>
            </c:numRef>
          </c:val>
        </c:ser>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Sheet1!$E$2:$E$3</c:f>
              <c:numCache>
                <c:formatCode>General</c:formatCode>
                <c:ptCount val="2"/>
                <c:pt idx="0">
                  <c:v>8.0</c:v>
                </c:pt>
                <c:pt idx="1">
                  <c:v>13.0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c:v>
                </c:pt>
                <c:pt idx="4">
                  <c:v>63.5</c:v>
                </c:pt>
              </c:numCache>
            </c:numRef>
          </c:val>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67.0</c:v>
                </c:pt>
              </c:numCache>
            </c:numRef>
          </c:val>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4.1</c:v>
                </c:pt>
                <c:pt idx="1">
                  <c:v>2.1</c:v>
                </c:pt>
                <c:pt idx="2">
                  <c:v>2.4</c:v>
                </c:pt>
                <c:pt idx="3">
                  <c:v>4.1</c:v>
                </c:pt>
                <c:pt idx="4">
                  <c:v>2.6</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17.4</c:v>
                </c:pt>
                <c:pt idx="1">
                  <c:v>13.5</c:v>
                </c:pt>
                <c:pt idx="2">
                  <c:v>16.6</c:v>
                </c:pt>
                <c:pt idx="3">
                  <c:v>15.2</c:v>
                </c:pt>
                <c:pt idx="4">
                  <c:v>12.3</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857.0</c:v>
                </c:pt>
                <c:pt idx="1">
                  <c:v>633.7</c:v>
                </c:pt>
                <c:pt idx="2">
                  <c:v>856.2</c:v>
                </c:pt>
                <c:pt idx="3">
                  <c:v>1115.0</c:v>
                </c:pt>
                <c:pt idx="4">
                  <c:v>1543.8</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4.0</c:v>
                </c:pt>
                <c:pt idx="3">
                  <c:v>4.7</c:v>
                </c:pt>
                <c:pt idx="4">
                  <c:v>6.0</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Sheet1!$B$2:$B$3</c:f>
              <c:numCache>
                <c:formatCode>General</c:formatCode>
                <c:ptCount val="2"/>
                <c:pt idx="0">
                  <c:v>1013.3</c:v>
                </c:pt>
                <c:pt idx="1">
                  <c:v>746.4</c:v>
                </c:pt>
              </c:numCache>
            </c:numRef>
          </c:val>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Sheet1!$C$2:$C$3</c:f>
              <c:numCache>
                <c:formatCode>General</c:formatCode>
                <c:ptCount val="2"/>
                <c:pt idx="0">
                  <c:v>577.8</c:v>
                </c:pt>
                <c:pt idx="1">
                  <c:v>2290.9</c:v>
                </c:pt>
              </c:numCache>
            </c:numRef>
          </c:val>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Sheet1!$D$2:$D$3</c:f>
              <c:numCache>
                <c:formatCode>General</c:formatCode>
                <c:ptCount val="2"/>
                <c:pt idx="0">
                  <c:v>1326.1</c:v>
                </c:pt>
                <c:pt idx="1">
                  <c:v>243.9</c:v>
                </c:pt>
              </c:numCache>
            </c:numRef>
          </c:val>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Sheet1!$E$2:$E$3</c:f>
              <c:numCache>
                <c:formatCode>General</c:formatCode>
                <c:ptCount val="2"/>
                <c:pt idx="0">
                  <c:v>628.2</c:v>
                </c:pt>
                <c:pt idx="1">
                  <c:v>642.1</c:v>
                </c:pt>
              </c:numCache>
            </c:numRef>
          </c:val>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Sheet1!$F$2:$F$3</c:f>
              <c:numCache>
                <c:formatCode>General</c:formatCode>
                <c:ptCount val="2"/>
                <c:pt idx="0">
                  <c:v>540.2</c:v>
                </c:pt>
                <c:pt idx="1">
                  <c:v>1386.9</c:v>
                </c:pt>
              </c:numCache>
            </c:numRef>
          </c:val>
        </c:ser>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5.1</c:v>
                </c:pt>
                <c:pt idx="1">
                  <c:v>10.4</c:v>
                </c:pt>
                <c:pt idx="2">
                  <c:v>-471.2</c:v>
                </c:pt>
                <c:pt idx="3">
                  <c:v>-961.3</c:v>
                </c:pt>
                <c:pt idx="4">
                  <c:v>42.1</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-5.1</c:v>
                </c:pt>
                <c:pt idx="4">
                  <c:v>-13.1</c:v>
                </c:pt>
                <c:pt idx="5">
                  <c:v>-13.5</c:v>
                </c:pt>
                <c:pt idx="6">
                  <c:v>-17.9</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ser>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3.0</c:v>
                </c:pt>
                <c:pt idx="3">
                  <c:v>3.99</c:v>
                </c:pt>
                <c:pt idx="4">
                  <c:v>1.47</c:v>
                </c:pt>
              </c:numCache>
            </c:numRef>
          </c:val>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2.26</c:v>
                </c:pt>
                <c:pt idx="2">
                  <c:v>3.0</c:v>
                </c:pt>
                <c:pt idx="3">
                  <c:v>3.83</c:v>
                </c:pt>
                <c:pt idx="4">
                  <c:v>1.47</c:v>
                </c:pt>
              </c:numCache>
            </c:numRef>
          </c:val>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3.42</c:v>
                </c:pt>
                <c:pt idx="2">
                  <c:v>2.77</c:v>
                </c:pt>
                <c:pt idx="3">
                  <c:v>2.09</c:v>
                </c:pt>
                <c:pt idx="4">
                  <c:v>3.79</c:v>
                </c:pt>
              </c:numCache>
            </c:numRef>
          </c:val>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4.0</c:v>
                </c:pt>
                <c:pt idx="1">
                  <c:v>1.62</c:v>
                </c:pt>
                <c:pt idx="2">
                  <c:v>2.77</c:v>
                </c:pt>
                <c:pt idx="3">
                  <c:v>1.33</c:v>
                </c:pt>
                <c:pt idx="4">
                  <c:v>3.79</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3.4</c:v>
                </c:pt>
                <c:pt idx="1">
                  <c:v>2.94</c:v>
                </c:pt>
                <c:pt idx="2">
                  <c:v>3.27</c:v>
                </c:pt>
                <c:pt idx="3">
                  <c:v>2.62</c:v>
                </c:pt>
              </c:numCache>
            </c:numRef>
          </c:val>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3.19</c:v>
                </c:pt>
                <c:pt idx="1">
                  <c:v>2.86</c:v>
                </c:pt>
                <c:pt idx="2">
                  <c:v>3.21</c:v>
                </c:pt>
                <c:pt idx="3">
                  <c:v>2.7</c:v>
                </c:pt>
              </c:numCache>
            </c:numRef>
          </c:val>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3.67</c:v>
                </c:pt>
                <c:pt idx="1">
                  <c:v>3.11</c:v>
                </c:pt>
                <c:pt idx="2">
                  <c:v>3.12</c:v>
                </c:pt>
                <c:pt idx="3">
                  <c:v>2.27</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2.51</c:v>
                </c:pt>
                <c:pt idx="1">
                  <c:v>2.25</c:v>
                </c:pt>
                <c:pt idx="2">
                  <c:v>2.03</c:v>
                </c:pt>
                <c:pt idx="3">
                  <c:v>2.58</c:v>
                </c:pt>
                <c:pt idx="4">
                  <c:v>3.23</c:v>
                </c:pt>
              </c:numCache>
            </c:numRef>
          </c:yVal>
          <c:smooth val="0"/>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2.93</c:v>
                </c:pt>
                <c:pt idx="1">
                  <c:v>2.82</c:v>
                </c:pt>
                <c:pt idx="2">
                  <c:v>2.91</c:v>
                </c:pt>
                <c:pt idx="3">
                  <c:v>2.75</c:v>
                </c:pt>
                <c:pt idx="4">
                  <c:v>2.83</c:v>
                </c:pt>
              </c:numCache>
            </c:numRef>
          </c:yVal>
          <c:smooth val="0"/>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2.2</c:v>
                </c:pt>
                <c:pt idx="1">
                  <c:v>2.31</c:v>
                </c:pt>
                <c:pt idx="2">
                  <c:v>2.22</c:v>
                </c:pt>
                <c:pt idx="3">
                  <c:v>2.24</c:v>
                </c:pt>
                <c:pt idx="4">
                  <c:v>2.47</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«Xalq banki»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4.0</c:v>
                </c:pt>
                <c:pt idx="1">
                  <c:v>3.62</c:v>
                </c:pt>
                <c:pt idx="2">
                  <c:v>1.5</c:v>
                </c:pt>
                <c:pt idx="3">
                  <c:v>3.98</c:v>
                </c:pt>
                <c:pt idx="4">
                  <c:v>4.0</c:v>
                </c:pt>
              </c:numCache>
            </c:numRef>
          </c:val>
        </c:ser>
        <c:ser>
          <c:idx val="1"/>
          <c:order val="1"/>
          <c:tx>
            <c:strRef>
              <c:f>Sheet1!$C$1</c:f>
              <c:strCache>
                <c:ptCount val="1"/>
                <c:pt idx="0">
                  <c:v>«Biznesni rivojlantirish banki»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3.87</c:v>
                </c:pt>
                <c:pt idx="1">
                  <c:v>3.15</c:v>
                </c:pt>
                <c:pt idx="2">
                  <c:v>2.3</c:v>
                </c:pt>
                <c:pt idx="3">
                  <c:v>3.05</c:v>
                </c:pt>
                <c:pt idx="4">
                  <c:v>3.96</c:v>
                </c:pt>
              </c:numCache>
            </c:numRef>
          </c:val>
        </c:ser>
        <c:ser>
          <c:idx val="2"/>
          <c:order val="2"/>
          <c:tx>
            <c:strRef>
              <c:f>Sheet1!$D$1</c:f>
              <c:strCache>
                <c:ptCount val="1"/>
                <c:pt idx="0">
                  <c:v>«Ipoteka-bank»</c:v>
                </c:pt>
              </c:strCache>
            </c:strRef>
          </c:tx>
          <c:spPr>
            <a:solidFill>
              <a:srgbClr val="7030A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2.43</c:v>
                </c:pt>
                <c:pt idx="2">
                  <c:v>1.96</c:v>
                </c:pt>
                <c:pt idx="3">
                  <c:v>3.94</c:v>
                </c:pt>
                <c:pt idx="4">
                  <c:v>4.0</c:v>
                </c:pt>
              </c:numCache>
            </c:numRef>
          </c:val>
        </c:ser>
        <c:ser>
          <c:idx val="3"/>
          <c:order val="3"/>
          <c:tx>
            <c:strRef>
              <c:f>Sheet1!$E$1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3.82</c:v>
                </c:pt>
                <c:pt idx="1">
                  <c:v>2.28</c:v>
                </c:pt>
                <c:pt idx="2">
                  <c:v>2.33</c:v>
                </c:pt>
                <c:pt idx="3">
                  <c:v>3.83</c:v>
                </c:pt>
                <c:pt idx="4">
                  <c:v>1.45</c:v>
                </c:pt>
              </c:numCache>
            </c:numRef>
          </c:val>
        </c:ser>
        <c:ser>
          <c:idx val="4"/>
          <c:order val="4"/>
          <c:tx>
            <c:strRef>
              <c:f>Sheet1!$F$1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4.0</c:v>
                </c:pt>
                <c:pt idx="1">
                  <c:v>1.53</c:v>
                </c:pt>
                <c:pt idx="2">
                  <c:v>2.05</c:v>
                </c:pt>
                <c:pt idx="3">
                  <c:v>1.33</c:v>
                </c:pt>
                <c:pt idx="4">
                  <c:v>4.0</c:v>
                </c:pt>
              </c:numCache>
            </c:numRef>
          </c:val>
        </c:ser>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Sheet1!$B$2:$B$6</c:f>
              <c:numCache>
                <c:formatCode>General</c:formatCode>
                <c:ptCount val="5"/>
                <c:pt idx="0">
                  <c:v>3.38</c:v>
                </c:pt>
                <c:pt idx="1">
                  <c:v>3.23</c:v>
                </c:pt>
                <c:pt idx="2">
                  <c:v>3.11</c:v>
                </c:pt>
                <c:pt idx="3">
                  <c:v>2.83</c:v>
                </c:pt>
                <c:pt idx="4">
                  <c:v>2.47</c:v>
                </c:pt>
              </c:numCache>
            </c:numRef>
          </c:val>
        </c:ser>
        <c:ser>
          <c:idx val="1"/>
          <c:order val="1"/>
          <c:tx>
            <c:strRef>
              <c:f>Sheet1!$C$1</c:f>
              <c:strCache>
                <c:ptCount val="1"/>
                <c:pt idx="0">
                  <c:v>Davlat ko‘magisiz</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Sheet1!$C$2:$C$6</c:f>
              <c:numCache>
                <c:formatCode>General</c:formatCode>
                <c:ptCount val="5"/>
                <c:pt idx="0">
                  <c:v>3.23</c:v>
                </c:pt>
                <c:pt idx="1">
                  <c:v>2.51</c:v>
                </c:pt>
                <c:pt idx="2">
                  <c:v>3.11</c:v>
                </c:pt>
                <c:pt idx="3">
                  <c:v>2.82</c:v>
                </c:pt>
                <c:pt idx="4">
                  <c:v>1.72</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c:v>
                </c:pt>
              </c:strCache>
            </c:strRef>
          </c:tx>
          <c:spPr>
            <a:ln w="28575">
              <a:solidFill>
                <a:srgbClr val="9DC3E6"/>
              </a:solidFill>
              <a:prstDash val="dash"/>
            </a:ln>
          </c:spPr>
          <c:marker>
            <c:symbol val="circle"/>
            <c:size val="7"/>
            <c:spPr>
              <a:solidFill>
                <a:srgbClr val="9DC3E6"/>
              </a:solidFill>
              <a:ln>
                <a:noFill/>
              </a:ln>
            </c:spPr>
          </c:marker>
          <c:dLbls>
            <c:spPr>
              <a:noFill/>
              <a:ln>
                <a:noFill/>
              </a:ln>
            </c:spPr>
            <c:txPr>
              <a:bodyPr/>
              <a:lstStyle/>
              <a:p>
                <a:pPr>
                  <a:defRPr sz="1000" b="1">
                    <a:solidFill>
                      <a:srgbClr val="9DC3E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3.4</c:v>
                </c:pt>
                <c:pt idx="1">
                  <c:v>3.27</c:v>
                </c:pt>
                <c:pt idx="2">
                  <c:v>3.28</c:v>
                </c:pt>
                <c:pt idx="3">
                  <c:v>3.33</c:v>
                </c:pt>
                <c:pt idx="4">
                  <c:v>3.4</c:v>
                </c:pt>
              </c:numCache>
            </c:numRef>
          </c:yVal>
          <c:smooth val="0"/>
        </c:ser>
        <c:ser>
          <c:idx val="1"/>
          <c:order val="1"/>
          <c:tx>
            <c:strRef>
              <c:f>Sheet1!$D$1</c:f>
              <c:strCache>
                <c:ptCount val="1"/>
                <c:pt idx="0">
                  <c:v>SQB: MHXS</c:v>
                </c:pt>
              </c:strCache>
            </c:strRef>
          </c:tx>
          <c:spPr>
            <a:ln w="28575">
              <a:solidFill>
                <a:srgbClr val="1F4E79"/>
              </a:solidFill>
            </a:ln>
          </c:spPr>
          <c:marker>
            <c:symbol val="circle"/>
            <c:size val="7"/>
            <c:spPr>
              <a:solidFill>
                <a:srgbClr val="1F4E79"/>
              </a:solidFill>
              <a:ln>
                <a:noFill/>
              </a:ln>
            </c:spPr>
          </c:marker>
          <c:dLbls>
            <c:spPr>
              <a:noFill/>
              <a:ln>
                <a:noFill/>
              </a:ln>
            </c:spPr>
            <c:txPr>
              <a:bodyPr/>
              <a:lstStyle/>
              <a:p>
                <a:pPr>
                  <a:defRPr sz="1000" b="1">
                    <a:solidFill>
                      <a:srgbClr val="1F4E79"/>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3.02</c:v>
                </c:pt>
                <c:pt idx="1">
                  <c:v>2.94</c:v>
                </c:pt>
                <c:pt idx="2">
                  <c:v>3.05</c:v>
                </c:pt>
                <c:pt idx="3">
                  <c:v>2.95</c:v>
                </c:pt>
                <c:pt idx="4">
                  <c:v>2.94</c:v>
                </c:pt>
              </c:numCache>
            </c:numRef>
          </c:yVal>
          <c:smooth val="0"/>
        </c:ser>
        <c:ser>
          <c:idx val="2"/>
          <c:order val="2"/>
          <c:tx>
            <c:strRef>
              <c:f>Sheet1!$F$1</c:f>
              <c:strCache>
                <c:ptCount val="1"/>
                <c:pt idx="0">
                  <c:v>MKB: milliy</c:v>
                </c:pt>
              </c:strCache>
            </c:strRef>
          </c:tx>
          <c:spPr>
            <a:ln w="28575">
              <a:solidFill>
                <a:srgbClr val="F4B183"/>
              </a:solidFill>
              <a:prstDash val="dash"/>
            </a:ln>
          </c:spPr>
          <c:marker>
            <c:symbol val="square"/>
            <c:size val="7"/>
            <c:spPr>
              <a:solidFill>
                <a:srgbClr val="F4B183"/>
              </a:solidFill>
              <a:ln>
                <a:noFill/>
              </a:ln>
            </c:spPr>
          </c:marker>
          <c:dLbls>
            <c:spPr>
              <a:noFill/>
              <a:ln>
                <a:noFill/>
              </a:ln>
            </c:spPr>
            <c:txPr>
              <a:bodyPr/>
              <a:lstStyle/>
              <a:p>
                <a:pPr>
                  <a:defRPr sz="1000" b="1">
                    <a:solidFill>
                      <a:srgbClr val="F4B183"/>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3.08</c:v>
                </c:pt>
                <c:pt idx="1">
                  <c:v>3.05</c:v>
                </c:pt>
                <c:pt idx="2">
                  <c:v>2.81</c:v>
                </c:pt>
                <c:pt idx="3">
                  <c:v>2.99</c:v>
                </c:pt>
                <c:pt idx="4">
                  <c:v>3.27</c:v>
                </c:pt>
              </c:numCache>
            </c:numRef>
          </c:yVal>
          <c:smooth val="0"/>
        </c:ser>
        <c:ser>
          <c:idx val="3"/>
          <c:order val="3"/>
          <c:tx>
            <c:strRef>
              <c:f>Sheet1!$H$1</c:f>
              <c:strCache>
                <c:ptCount val="1"/>
                <c:pt idx="0">
                  <c:v>MKB: MHXS</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2.51</c:v>
                </c:pt>
                <c:pt idx="1">
                  <c:v>2.59</c:v>
                </c:pt>
                <c:pt idx="2">
                  <c:v>2.41</c:v>
                </c:pt>
                <c:pt idx="3">
                  <c:v>2.47</c:v>
                </c:pt>
                <c:pt idx="4">
                  <c:v>2.62</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ulushi mavjud banklar</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4.4</c:v>
                </c:pt>
                <c:pt idx="1">
                  <c:v>8.1</c:v>
                </c:pt>
                <c:pt idx="2">
                  <c:v>-0.5</c:v>
                </c:pt>
                <c:pt idx="3">
                  <c:v>7.6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27.3</c:v>
                </c:pt>
                <c:pt idx="1">
                  <c:v>27.7</c:v>
                </c:pt>
                <c:pt idx="2">
                  <c:v>19.2</c:v>
                </c:pt>
                <c:pt idx="3">
                  <c:v>20.3</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0"/>
          <c:min val="-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4.0</c:v>
                </c:pt>
                <c:pt idx="1">
                  <c:v>3.46</c:v>
                </c:pt>
                <c:pt idx="2">
                  <c:v>2.23</c:v>
                </c:pt>
                <c:pt idx="3">
                  <c:v>2.46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4.0</c:v>
                </c:pt>
                <c:pt idx="1">
                  <c:v>3.74</c:v>
                </c:pt>
                <c:pt idx="2">
                  <c:v>3.26</c:v>
                </c:pt>
                <c:pt idx="3">
                  <c:v>3.83</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2.51</c:v>
                </c:pt>
                <c:pt idx="1">
                  <c:v>2.29</c:v>
                </c:pt>
                <c:pt idx="2">
                  <c:v>2.38</c:v>
                </c:pt>
                <c:pt idx="3">
                  <c:v>2.84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Sheet1!$B$2:$B$22</c:f>
              <c:numCache>
                <c:formatCode>General</c:formatCode>
                <c:ptCount val="21"/>
                <c:pt idx="0">
                  <c:v>7.7</c:v>
                </c:pt>
                <c:pt idx="1">
                  <c:v>61.5</c:v>
                </c:pt>
                <c:pt idx="2">
                  <c:v>73.1</c:v>
                </c:pt>
                <c:pt idx="3">
                  <c:v>73.1</c:v>
                </c:pt>
                <c:pt idx="4">
                  <c:v>76.9</c:v>
                </c:pt>
                <c:pt idx="5">
                  <c:v>84.6</c:v>
                </c:pt>
                <c:pt idx="6">
                  <c:v>84.6</c:v>
                </c:pt>
                <c:pt idx="7">
                  <c:v>84.6</c:v>
                </c:pt>
                <c:pt idx="8">
                  <c:v>84.6</c:v>
                </c:pt>
                <c:pt idx="9">
                  <c:v>84.6</c:v>
                </c:pt>
                <c:pt idx="10">
                  <c:v>84.6</c:v>
                </c:pt>
                <c:pt idx="11">
                  <c:v>88.5</c:v>
                </c:pt>
                <c:pt idx="12">
                  <c:v>88.5</c:v>
                </c:pt>
                <c:pt idx="13">
                  <c:v>92.3</c:v>
                </c:pt>
                <c:pt idx="14">
                  <c:v>96.2</c:v>
                </c:pt>
                <c:pt idx="15">
                  <c:v>100.0</c:v>
                </c:pt>
                <c:pt idx="16">
                  <c:v>100.0</c:v>
                </c:pt>
                <c:pt idx="17">
                  <c:v>100.0</c:v>
                </c:pt>
                <c:pt idx="18">
                  <c:v>100.0</c:v>
                </c:pt>
                <c:pt idx="19">
                  <c:v>100.0</c:v>
                </c:pt>
                <c:pt idx="20">
                  <c:v>100.0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Sheet1!$D$2:$D$22</c:f>
              <c:numCache>
                <c:formatCode>General</c:formatCode>
                <c:ptCount val="21"/>
                <c:pt idx="0">
                  <c:v>7.7</c:v>
                </c:pt>
                <c:pt idx="1">
                  <c:v>50.0</c:v>
                </c:pt>
                <c:pt idx="2">
                  <c:v>65.4</c:v>
                </c:pt>
                <c:pt idx="3">
                  <c:v>76.9</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100.0</c:v>
                </c:pt>
                <c:pt idx="18">
                  <c:v>100.0</c:v>
                </c:pt>
                <c:pt idx="19">
                  <c:v>100.0</c:v>
                </c:pt>
                <c:pt idx="20">
                  <c:v>100.0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Sheet1!$F$2:$F$22</c:f>
              <c:numCache>
                <c:formatCode>General</c:formatCode>
                <c:ptCount val="21"/>
                <c:pt idx="0">
                  <c:v>0.0</c:v>
                </c:pt>
                <c:pt idx="1">
                  <c:v>0.0</c:v>
                </c:pt>
                <c:pt idx="2">
                  <c:v>11.1</c:v>
                </c:pt>
                <c:pt idx="3">
                  <c:v>11.1</c:v>
                </c:pt>
                <c:pt idx="4">
                  <c:v>11.1</c:v>
                </c:pt>
                <c:pt idx="5">
                  <c:v>27.8</c:v>
                </c:pt>
                <c:pt idx="6">
                  <c:v>44.4</c:v>
                </c:pt>
                <c:pt idx="7">
                  <c:v>50.0</c:v>
                </c:pt>
                <c:pt idx="8">
                  <c:v>50.0</c:v>
                </c:pt>
                <c:pt idx="9">
                  <c:v>50.0</c:v>
                </c:pt>
                <c:pt idx="10">
                  <c:v>50.0</c:v>
                </c:pt>
                <c:pt idx="11">
                  <c:v>50.0</c:v>
                </c:pt>
                <c:pt idx="12">
                  <c:v>50.0</c:v>
                </c:pt>
                <c:pt idx="13">
                  <c:v>50.0</c:v>
                </c:pt>
                <c:pt idx="14">
                  <c:v>50.0</c:v>
                </c:pt>
                <c:pt idx="15">
                  <c:v>50.0</c:v>
                </c:pt>
                <c:pt idx="16">
                  <c:v>50.0</c:v>
                </c:pt>
                <c:pt idx="17">
                  <c:v>50.0</c:v>
                </c:pt>
                <c:pt idx="18">
                  <c:v>66.7</c:v>
                </c:pt>
                <c:pt idx="19">
                  <c:v>77.8</c:v>
                </c:pt>
                <c:pt idx="20">
                  <c:v>100.0</c:v>
                </c:pt>
              </c:numCache>
            </c:numRef>
          </c:yVal>
          <c:smooth val="0"/>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Sheet1!$H$2:$H$22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yVal>
          <c:smooth val="0"/>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Sheet1!$I$2:$I$22</c:f>
              <c:numCache>
                <c:formatCode>General</c:formatCode>
                <c:ptCount val="21"/>
                <c:pt idx="0">
                  <c:v>6.0</c:v>
                </c:pt>
                <c:pt idx="1">
                  <c:v>8.2</c:v>
                </c:pt>
                <c:pt idx="2">
                  <c:v>30.5</c:v>
                </c:pt>
              </c:numCache>
            </c:numRef>
          </c:xVal>
          <c:yVal>
            <c:numRef>
              <c:f>Sheet1!$J$2:$J$22</c:f>
              <c:numCache>
                <c:formatCode>General</c:formatCode>
                <c:ptCount val="21"/>
                <c:pt idx="0">
                  <c:v>65.0</c:v>
                </c:pt>
                <c:pt idx="1">
                  <c:v>69.0</c:v>
                </c:pt>
                <c:pt idx="2">
                  <c:v>85.0</c:v>
                </c:pt>
              </c:numCache>
            </c:numRef>
          </c:yVal>
          <c:smooth val="0"/>
        </c:ser>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8"/>
              <c:delete val="1"/>
            </c:dLbl>
            <c:dLbl>
              <c:idx val="19"/>
              <c:delete val="1"/>
            </c:dLbl>
            <c:dLbl>
              <c:idx val="20"/>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Sheet1!$A$2:$A$22</c:f>
              <c:numCache>
                <c:formatCode>General</c:formatCode>
                <c:ptCount val="21"/>
                <c:pt idx="0">
                  <c:v>2.0</c:v>
                </c:pt>
                <c:pt idx="1">
                  <c:v>2.1</c:v>
                </c:pt>
                <c:pt idx="2">
                  <c:v>2.2</c:v>
                </c:pt>
                <c:pt idx="3">
                  <c:v>2.3</c:v>
                </c:pt>
                <c:pt idx="4">
                  <c:v>2.4</c:v>
                </c:pt>
                <c:pt idx="5">
                  <c:v>2.5</c:v>
                </c:pt>
                <c:pt idx="6">
                  <c:v>2.6</c:v>
                </c:pt>
                <c:pt idx="7">
                  <c:v>2.7</c:v>
                </c:pt>
                <c:pt idx="8">
                  <c:v>2.8</c:v>
                </c:pt>
                <c:pt idx="9">
                  <c:v>2.9</c:v>
                </c:pt>
                <c:pt idx="10">
                  <c:v>3.0</c:v>
                </c:pt>
                <c:pt idx="11">
                  <c:v>3.1</c:v>
                </c:pt>
                <c:pt idx="12">
                  <c:v>3.2</c:v>
                </c:pt>
                <c:pt idx="13">
                  <c:v>3.3</c:v>
                </c:pt>
                <c:pt idx="14">
                  <c:v>3.4</c:v>
                </c:pt>
                <c:pt idx="15">
                  <c:v>3.5</c:v>
                </c:pt>
                <c:pt idx="16">
                  <c:v>3.6</c:v>
                </c:pt>
                <c:pt idx="17">
                  <c:v>3.7</c:v>
                </c:pt>
                <c:pt idx="18">
                  <c:v>3.8</c:v>
                </c:pt>
                <c:pt idx="19">
                  <c:v>3.9</c:v>
                </c:pt>
                <c:pt idx="20">
                  <c:v>4.0</c:v>
                </c:pt>
              </c:numCache>
            </c:numRef>
          </c:xVal>
          <c:yVal>
            <c:numRef>
              <c:f>Sheet1!$B$2:$B$22</c:f>
              <c:numCache>
                <c:formatCode>General</c:formatCode>
                <c:ptCount val="21"/>
                <c:pt idx="0">
                  <c:v>86.8</c:v>
                </c:pt>
                <c:pt idx="1">
                  <c:v>81.7</c:v>
                </c:pt>
                <c:pt idx="2">
                  <c:v>75.2</c:v>
                </c:pt>
                <c:pt idx="3">
                  <c:v>67.3</c:v>
                </c:pt>
                <c:pt idx="4">
                  <c:v>58.3</c:v>
                </c:pt>
                <c:pt idx="5">
                  <c:v>48.7</c:v>
                </c:pt>
                <c:pt idx="6">
                  <c:v>39.3</c:v>
                </c:pt>
                <c:pt idx="7">
                  <c:v>30.5</c:v>
                </c:pt>
                <c:pt idx="8">
                  <c:v>23.0</c:v>
                </c:pt>
                <c:pt idx="9">
                  <c:v>16.9</c:v>
                </c:pt>
                <c:pt idx="10">
                  <c:v>12.1</c:v>
                </c:pt>
                <c:pt idx="11">
                  <c:v>8.6</c:v>
                </c:pt>
                <c:pt idx="12">
                  <c:v>6.0</c:v>
                </c:pt>
                <c:pt idx="13">
                  <c:v>4.1</c:v>
                </c:pt>
                <c:pt idx="14">
                  <c:v>2.9</c:v>
                </c:pt>
                <c:pt idx="15">
                  <c:v>2.0</c:v>
                </c:pt>
                <c:pt idx="16">
                  <c:v>1.3</c:v>
                </c:pt>
                <c:pt idx="17">
                  <c:v>0.9</c:v>
                </c:pt>
                <c:pt idx="18">
                  <c:v>0.6</c:v>
                </c:pt>
                <c:pt idx="19">
                  <c:v>0.4</c:v>
                </c:pt>
                <c:pt idx="20">
                  <c:v>0.3</c:v>
                </c:pt>
              </c:numCache>
            </c:numRef>
          </c:yVal>
          <c:smooth val="0"/>
        </c:ser>
        <c:axId val="333"/>
        <c:axId val="444"/>
      </c:scatterChart>
      <c:valAx>
        <c:axId val="333"/>
        <c:scaling>
          <c:orientation val="minMax"/>
          <c:max val="4.0"/>
          <c:min val="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5"/>
              <c:delete val="1"/>
            </c:dLbl>
            <c:dLbl>
              <c:idx val="6"/>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2.2</c:v>
                </c:pt>
                <c:pt idx="1">
                  <c:v>2.31</c:v>
                </c:pt>
                <c:pt idx="2">
                  <c:v>2.22</c:v>
                </c:pt>
                <c:pt idx="3">
                  <c:v>2.24</c:v>
                </c:pt>
                <c:pt idx="4">
                  <c:v>2.47</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4"/>
              <c:delete val="1"/>
            </c:dLbl>
            <c:dLbl>
              <c:idx val="5"/>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2.93</c:v>
                </c:pt>
                <c:pt idx="1">
                  <c:v>2.82</c:v>
                </c:pt>
                <c:pt idx="2">
                  <c:v>2.91</c:v>
                </c:pt>
                <c:pt idx="3">
                  <c:v>2.75</c:v>
                </c:pt>
                <c:pt idx="4">
                  <c:v>2.83</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dLbl>
            <c:dLbl>
              <c:idx val="1"/>
              <c:delete val="1"/>
            </c:dLbl>
            <c:dLbl>
              <c:idx val="3"/>
              <c:delete val="1"/>
            </c:dLbl>
            <c:dLbl>
              <c:idx val="4"/>
              <c:delete val="1"/>
            </c:dLbl>
            <c:dLbl>
              <c:idx val="5"/>
              <c:delete val="1"/>
            </c:dLbl>
            <c:dLbl>
              <c:idx val="6"/>
              <c:delete val="1"/>
            </c:dLbl>
            <c:dLbl>
              <c:idx val="8"/>
              <c:delete val="1"/>
            </c:dLbl>
            <c:dLbl>
              <c:idx val="9"/>
              <c:delete val="1"/>
            </c:dLbl>
            <c:dLbl>
              <c:idx val="10"/>
              <c:delete val="1"/>
            </c:dLbl>
            <c:dLbl>
              <c:idx val="12"/>
              <c:delete val="1"/>
            </c:dLbl>
            <c:dLbl>
              <c:idx val="13"/>
              <c:delete val="1"/>
            </c:dLbl>
            <c:dLbl>
              <c:idx val="14"/>
              <c:delete val="1"/>
            </c:dLbl>
            <c:dLbl>
              <c:idx val="16"/>
              <c:delete val="1"/>
            </c:dLbl>
            <c:dLbl>
              <c:idx val="17"/>
              <c:delete val="1"/>
            </c:dLbl>
            <c:dLbl>
              <c:idx val="18"/>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000000"/>
                    </a:solidFill>
                    <a:latin typeface="Times New Roman"/>
                    <a:cs typeface="Times New Roman"/>
                  </a:defRPr>
                </a:pPr>
                <a:endParaRPr lang="uz-Latn-UZ"/>
              </a:p>
            </c:txPr>
            <c:dLblPos val="t"/>
            <c:showLegendKey val="0"/>
            <c:showVal val="1"/>
            <c:showCatName val="0"/>
            <c:showSerName val="0"/>
            <c:showPercent val="0"/>
            <c:showBubbleSize val="0"/>
          </c:dLbls>
          <c:xVal>
            <c:numRef>
              <c:f>Sheet1!$A$2:$A$33</c:f>
              <c:numCache>
                <c:formatCode>General</c:formatCode>
                <c:ptCount val="32"/>
                <c:pt idx="0">
                  <c:v>2020.25</c:v>
                </c:pt>
                <c:pt idx="1">
                  <c:v>2020.5</c:v>
                </c:pt>
                <c:pt idx="2">
                  <c:v>2020.75</c:v>
                </c:pt>
                <c:pt idx="3">
                  <c:v>2021.0</c:v>
                </c:pt>
                <c:pt idx="4">
                  <c:v>2021.25</c:v>
                </c:pt>
                <c:pt idx="5">
                  <c:v>2021.5</c:v>
                </c:pt>
                <c:pt idx="6">
                  <c:v>2021.75</c:v>
                </c:pt>
                <c:pt idx="7">
                  <c:v>2022.0</c:v>
                </c:pt>
                <c:pt idx="8">
                  <c:v>2022.25</c:v>
                </c:pt>
                <c:pt idx="9">
                  <c:v>2022.5</c:v>
                </c:pt>
                <c:pt idx="10">
                  <c:v>2022.75</c:v>
                </c:pt>
                <c:pt idx="11">
                  <c:v>2023.0</c:v>
                </c:pt>
                <c:pt idx="12">
                  <c:v>2023.25</c:v>
                </c:pt>
                <c:pt idx="13">
                  <c:v>2023.5</c:v>
                </c:pt>
                <c:pt idx="14">
                  <c:v>2023.75</c:v>
                </c:pt>
                <c:pt idx="15">
                  <c:v>2024.0</c:v>
                </c:pt>
                <c:pt idx="16">
                  <c:v>2024.25</c:v>
                </c:pt>
                <c:pt idx="17">
                  <c:v>2024.5</c:v>
                </c:pt>
                <c:pt idx="18">
                  <c:v>2024.75</c:v>
                </c:pt>
                <c:pt idx="19">
                  <c:v>2025.0</c:v>
                </c:pt>
              </c:numCache>
            </c:numRef>
          </c:xVal>
          <c:yVal>
            <c:numRef>
              <c:f>Sheet1!$B$2:$B$33</c:f>
              <c:numCache>
                <c:formatCode>General</c:formatCode>
                <c:ptCount val="32"/>
                <c:pt idx="0">
                  <c:v>3.54</c:v>
                </c:pt>
                <c:pt idx="1">
                  <c:v>5.51</c:v>
                </c:pt>
                <c:pt idx="2">
                  <c:v>5.74</c:v>
                </c:pt>
                <c:pt idx="3">
                  <c:v>5.2</c:v>
                </c:pt>
                <c:pt idx="4">
                  <c:v>4.95</c:v>
                </c:pt>
                <c:pt idx="5">
                  <c:v>4.89</c:v>
                </c:pt>
                <c:pt idx="6">
                  <c:v>4.72</c:v>
                </c:pt>
                <c:pt idx="7">
                  <c:v>3.59</c:v>
                </c:pt>
                <c:pt idx="8">
                  <c:v>3.51</c:v>
                </c:pt>
                <c:pt idx="9">
                  <c:v>3.38</c:v>
                </c:pt>
                <c:pt idx="10">
                  <c:v>3.73</c:v>
                </c:pt>
                <c:pt idx="11">
                  <c:v>3.53</c:v>
                </c:pt>
                <c:pt idx="12">
                  <c:v>4.52</c:v>
                </c:pt>
                <c:pt idx="13">
                  <c:v>4.05</c:v>
                </c:pt>
                <c:pt idx="14">
                  <c:v>4.18</c:v>
                </c:pt>
                <c:pt idx="15">
                  <c:v>3.97</c:v>
                </c:pt>
                <c:pt idx="16">
                  <c:v>4.26</c:v>
                </c:pt>
                <c:pt idx="17">
                  <c:v>3.8</c:v>
                </c:pt>
                <c:pt idx="18">
                  <c:v>3.65</c:v>
                </c:pt>
                <c:pt idx="19">
                  <c:v>2.99</c:v>
                </c:pt>
              </c:numCache>
            </c:numRef>
          </c:yVal>
          <c:smooth val="0"/>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Sheet1!$C$2:$C$33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xVal>
            <c:numRef>
              <c:f>Sheet1!$E$2:$E$33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s>
          <c:xVal>
            <c:numRef>
              <c:f>Sheet1!$G$2:$G$33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s>
          <c:xVal>
            <c:numRef>
              <c:f>Sheet1!$I$2:$I$33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Sheet1!$J$2:$J$33</c:f>
              <c:numCache>
                <c:formatCode>General</c:formatCode>
                <c:ptCount val="32"/>
                <c:pt idx="0">
                  <c:v>2.99</c:v>
                </c:pt>
                <c:pt idx="1">
                  <c:v>3.13</c:v>
                </c:pt>
                <c:pt idx="2">
                  <c:v>3.13</c:v>
                </c:pt>
                <c:pt idx="3">
                  <c:v>3.08</c:v>
                </c:pt>
                <c:pt idx="4">
                  <c:v>3.03</c:v>
                </c:pt>
                <c:pt idx="5">
                  <c:v>3.93</c:v>
                </c:pt>
                <c:pt idx="6">
                  <c:v>4.38</c:v>
                </c:pt>
                <c:pt idx="7">
                  <c:v>4.6</c:v>
                </c:pt>
                <c:pt idx="8">
                  <c:v>4.71</c:v>
                </c:pt>
                <c:pt idx="9">
                  <c:v>4.17</c:v>
                </c:pt>
                <c:pt idx="10">
                  <c:v>3.91</c:v>
                </c:pt>
                <c:pt idx="11">
                  <c:v>3.77</c:v>
                </c:pt>
                <c:pt idx="12">
                  <c:v>3.71</c:v>
                </c:pt>
              </c:numCache>
            </c:numRef>
          </c:yVal>
          <c:smooth val="0"/>
        </c:ser>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6.0"/>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16.0</c:v>
                </c:pt>
                <c:pt idx="1">
                  <c:v>15.0</c:v>
                </c:pt>
                <c:pt idx="2">
                  <c:v>17.0</c:v>
                </c:pt>
                <c:pt idx="3">
                  <c:v>14.0</c:v>
                </c:pt>
                <c:pt idx="4">
                  <c:v>12.0</c:v>
                </c:pt>
              </c:numCache>
            </c:numRef>
          </c:val>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9.0</c:v>
                </c:pt>
                <c:pt idx="1">
                  <c:v>10.0</c:v>
                </c:pt>
                <c:pt idx="2">
                  <c:v>8.0</c:v>
                </c:pt>
                <c:pt idx="3">
                  <c:v>9.0</c:v>
                </c:pt>
                <c:pt idx="4">
                  <c:v>9.0</c:v>
                </c:pt>
              </c:numCache>
            </c:numRef>
          </c:val>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0.0</c:v>
                </c:pt>
                <c:pt idx="1">
                  <c:v>0.0</c:v>
                </c:pt>
                <c:pt idx="2">
                  <c:v>0.0</c:v>
                </c:pt>
                <c:pt idx="3">
                  <c:v>2.0</c:v>
                </c:pt>
                <c:pt idx="4">
                  <c:v>4.0</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2.83</c:v>
                </c:pt>
                <c:pt idx="1">
                  <c:v>2.8</c:v>
                </c:pt>
                <c:pt idx="2">
                  <c:v>2.83</c:v>
                </c:pt>
                <c:pt idx="3">
                  <c:v>2.71</c:v>
                </c:pt>
                <c:pt idx="4">
                  <c:v>2.61</c:v>
                </c:pt>
              </c:numCache>
            </c:numRef>
          </c:val>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c:v>
                </c:pt>
                <c:pt idx="1">
                  <c:v>2.42</c:v>
                </c:pt>
                <c:pt idx="2">
                  <c:v>2.49</c:v>
                </c:pt>
                <c:pt idx="3">
                  <c:v>2.39</c:v>
                </c:pt>
                <c:pt idx="4">
                  <c:v>2.39</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