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9a31a9a7e35eee55cb506e353006e9b5b31985f"/>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4.2-§. Tijorat banklari moliyaviy barqarorligining 2026–2028-yillarga prognozi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FootnoteReference"/>
        </w:rPr>
        <w:footnoteReference w:id="20"/>
      </w:r>
      <w:r>
        <w:rPr>
          <w:rFonts w:ascii="Times New Roman" w:hAnsi="Times New Roman" w:cs="Times New Roman" w:eastAsia="Times New Roman"/>
          <w:sz w:val="28"/>
        </w:rPr>
        <w:t xml:space="preserve">. M. Sorge va K. Virolainen esa makro stress-testlarda kredit riskining makroiqtisodiy omillarga sezgirligini baholovchi «satellit» modellardan foydalanishni asosiy yondashuv sifatida ko‘rsatadi</w:t>
      </w:r>
      <w:r>
        <w:rPr>
          <w:rStyle w:val="FootnoteReference"/>
        </w:rPr>
        <w:footnoteReference w:id="21"/>
      </w:r>
      <w:r>
        <w:rPr>
          <w:rFonts w:ascii="Times New Roman" w:hAnsi="Times New Roman" w:cs="Times New Roman" w:eastAsia="Times New Roman"/>
          <w:sz w:val="28"/>
        </w:rPr>
        <w:t xml:space="preserve">. Bazel qo‘mitasining stress-test tamoyillari ham ssenariylar haqiqiy tarixiy shoklarga asoslanishi va model natijalari muntazam tekshirilishi lozimligini talab qiladi</w:t>
      </w:r>
      <w:r>
        <w:rPr>
          <w:rStyle w:val="FootnoteReference"/>
        </w:rPr>
        <w:footnoteReference w:id="22"/>
      </w:r>
      <w:r>
        <w:rPr>
          <w:rFonts w:ascii="Times New Roman" w:hAnsi="Times New Roman" w:cs="Times New Roman" w:eastAsia="Times New Roman"/>
          <w:sz w:val="28"/>
        </w:rPr>
        <w:t xml:space="preserve">. O‘zbekistonda esa bu yo‘nalishdagi ilmiy ishlar alohida ko‘rsatkichlarni prognoz qilish bilan cheklangan: B.T. Berdiyarov likvidlik ko‘rsatkichini ARIMA modeli yordamida prognoz qilgan</w:t>
      </w:r>
      <w:r>
        <w:rPr>
          <w:rStyle w:val="FootnoteReference"/>
        </w:rPr>
        <w:footnoteReference w:id="23"/>
      </w:r>
      <w:r>
        <w:rPr>
          <w:rFonts w:ascii="Times New Roman" w:hAnsi="Times New Roman" w:cs="Times New Roman" w:eastAsia="Times New Roman"/>
          <w:sz w:val="28"/>
        </w:rPr>
        <w:t xml:space="preserve">, integral barqarorlik ko‘rsatkichining ssenariy prognozi esa amalga oshirilmagan.</w:t>
      </w:r>
    </w:p>
    <w:p>
      <w:pPr>
        <w:pStyle w:val="BodyText"/>
        <w:spacing w:line="360" w:lineRule="auto" w:before="0" w:after="0"/>
        <w:ind w:firstLine="709"/>
        <w:jc w:val="both"/>
      </w:pPr>
      <w:r>
        <w:rPr>
          <w:rFonts w:ascii="Times New Roman" w:hAnsi="Times New Roman" w:cs="Times New Roman" w:eastAsia="Times New Roman"/>
          <w:sz w:val="28"/>
        </w:rPr>
        <w:t xml:space="preserve">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Prognoz ssenariylari: YaIM real o‘sish sur’ati, foizda</w:t>
      </w:r>
      <w:r>
        <w:rPr>
          <w:rStyle w:val="FootnoteReference"/>
        </w:rPr>
        <w:footnoteReference w:id="2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020"/>
        <w:gridCol w:w="1020"/>
        <w:gridCol w:w="1020"/>
        <w:gridCol w:w="4762"/>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Ssenariy</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2026-yil</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2027-yil</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2028-yil</w:t>
            </w:r>
          </w:p>
        </w:tc>
        <w:tc>
          <w:tcPr>
            <w:tcW w:type="dxa" w:w="476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Ssenariyning asosi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2021–2025-yillardagi o‘rtacha o‘sish sur’ati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Ijobiy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Tahlil davridagi eng yuqori o‘sish sur’ati (2021-yil)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Salbiy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4,5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2022-yil II choragidagi pasayish (8,0 foizdan 4,5 foizgacha) va keyingi tiklanish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Keskin salbiy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1,6</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2020-yildagi pandemiya shoki (yillik o‘sish 1,6 foiz) va keyingi tiklanish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3.3-paragrafda ularning muammoli kreditlarga ta’siri to‘liq tanlanmada statistik ahamiyatsiz ekani aniqlangan.</w:t>
      </w:r>
    </w:p>
    <w:p>
      <w:pPr>
        <w:pStyle w:val="BodyText"/>
        <w:spacing w:line="360" w:lineRule="auto" w:before="0" w:after="0"/>
        <w:ind w:firstLine="709"/>
        <w:jc w:val="both"/>
      </w:pPr>
      <w:r>
        <w:rPr>
          <w:rFonts w:ascii="Times New Roman" w:hAnsi="Times New Roman" w:cs="Times New Roman" w:eastAsia="Times New Roman"/>
          <w:sz w:val="28"/>
        </w:rP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darajasida saqlangan, 2021-yilda esa 5,7 foizgacha oshgan</w:t>
      </w:r>
      <w:r>
        <w:rPr>
          <w:rStyle w:val="FootnoteReference"/>
        </w:rPr>
        <w:footnoteReference w:id="25"/>
      </w:r>
      <w:r>
        <w:rPr>
          <w:rFonts w:ascii="Times New Roman" w:hAnsi="Times New Roman" w:cs="Times New Roman" w:eastAsia="Times New Roman"/>
          <w:sz w:val="28"/>
        </w:rPr>
        <w:t xml:space="preserve">.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Prognozda qo‘llangan satellit modellar natijalari</w:t>
      </w:r>
      <w:r>
        <w:rPr>
          <w:rStyle w:val="FootnoteReference"/>
        </w:rPr>
        <w:footnoteReference w:id="2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81"/>
        <w:gridCol w:w="2381"/>
        <w:gridCol w:w="2268"/>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tizim, 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bank paneli, muammoli kreditlar ulushi</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 bank paneli, ROA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Muammoli kreditlar ulushi (t−1)</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0,494*** (0,134)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0,684*** (0,100)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 (t−4)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−0,151*** (0,059)</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 (t)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−0,153** (0,060)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Muammoli kreditlar ulushi (t)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−0,201*** (0,076)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2,983*** (0,874)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2,049*** (0,536)</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3,353*** (0,266)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Bank effektlari</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Davr</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2021-y. I chorak – 2025-y. IV chorak (YaIM laglari 2020-yildan)</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2021-y. IV chorak – 2025-y. IV chorak</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2021-y. IV chorak – 2025-y. IV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420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394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0,59</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0,51 (bank ichidagi)</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0,03 (bank ichidagi)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o‘sishining 1 foiz punktga barqaror pasayishining uzoq muddatli ta’siri, foiz punkt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0,48</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standart xatolar (1-modelda – Newey–West, 2- va 3-modellarda – bank bo‘yicha klasterlangan); ***, **, * – koeffitsiyent mos ravishda 1, 5 va 10 foiz darajada statistik ahamiyatli.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0,153 foiz punktga oshiradi. Bu koeffitsiyentning ishonchliligini tasdiqlaydi va 3.3-paragrafda qisqa tanlanma asosida olingan bahoni aniqlashtiradi.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FootnoteReference"/>
        </w:rPr>
        <w:footnoteReference w:id="27"/>
      </w:r>
      <w:r>
        <w:rPr>
          <w:rStyle w:val="FootnoteReference"/>
        </w:rPr>
        <w:footnoteReference w:id="28"/>
      </w:r>
      <w:r>
        <w:rPr>
          <w:rFonts w:ascii="Times New Roman" w:hAnsi="Times New Roman" w:cs="Times New Roman" w:eastAsia="Times New Roman"/>
          <w:sz w:val="28"/>
        </w:rPr>
        <w:t xml:space="preserve">. Buning sababi 2.3-paragrafda aniqlangan holat bo‘lib, milliy tasnif qayta tuzilgan va muddati uzaytirilgan kreditlarni muammoli deb tan olmaydi, natijada kredit riskining bir qismi milliy ko‘rsatkichda aks etmaydi.</w:t>
      </w:r>
    </w:p>
    <w:p>
      <w:pPr>
        <w:pStyle w:val="BodyText"/>
        <w:spacing w:line="360" w:lineRule="auto" w:before="0" w:after="0"/>
        <w:ind w:firstLine="709"/>
        <w:jc w:val="both"/>
      </w:pPr>
      <w:r>
        <w:rPr>
          <w:rFonts w:ascii="Times New Roman" w:hAnsi="Times New Roman" w:cs="Times New Roman" w:eastAsia="Times New Roman"/>
          <w:sz w:val="28"/>
        </w:rP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tizimida muammoli kreditlar ulushini prognoz qilish usulining orqaga tekshiruvi</w:t>
      </w:r>
      <w:r>
        <w:rPr>
          <w:rStyle w:val="FootnoteReference"/>
        </w:rPr>
        <w:footnoteReference w:id="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020"/>
        <w:gridCol w:w="2041"/>
        <w:gridCol w:w="2041"/>
        <w:gridCol w:w="1360"/>
        <w:gridCol w:w="1360"/>
        <w:gridCol w:w="1474"/>
      </w:tblGrid>
      <w:tr>
        <w:trPr>
          <w:tblHeader w:val="true"/>
          <w:cantSplit/>
          <w:tblHeader/>
        </w:trPr>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Prognoz qilingan yil</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Haqiqiy qiymat (I–IV chorak), %</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etilgan usul bo‘yicha prognoz,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taklif etilgan usul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o‘zgarishsiz holat</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o‘rtachaga qaytuvchi model</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2023</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3,51; 3,38; 3,73; 3,53</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3,71; 3,84; 3,77; 3,65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0,21</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1,08</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4,52; 4,05; 4,18; 3,97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3,50; 3,40; 3,43; 3,48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0,73</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0,65</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0,33</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4,26; 3,80; 3,65; 2,99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3,99; 3,98; 3,99; 3,98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0,48</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o‘rtacha xato – prognoz va haqiqiy qiymat o‘rtasidagi o‘rtacha mutlaq farq, foiz punkt; «o‘zgarishsiz holat» – muammoli kreditlar ulushi oldingi yil oxiridagi darajada saqlanadi deb faraz qilingan prognoz; «o‘rtachaga qaytuvchi model» – 1-modelning o‘zi bo‘yicha prognoz.</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etilgan usulning o‘rtacha xatosi 0,21–0,73 foiz punktni tashkil etib, an’anaviy o‘rtachaga qaytuvchi modelga nisbatan ancha barqaror: 2023-yil uchun uning xatosi 0,21, o‘rtachaga qaytuvchi modelniki esa 1,08 foiz punktga teng.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FootnoteReference"/>
        </w:rPr>
        <w:footnoteReference w:id="30"/>
      </w:r>
      <w:r>
        <w:rPr>
          <w:rFonts w:ascii="Times New Roman" w:hAnsi="Times New Roman" w:cs="Times New Roman" w:eastAsia="Times New Roman"/>
          <w:sz w:val="28"/>
        </w:rPr>
        <w:t xml:space="preserve">. Bank tizimida muammoli kreditlar ulushining ssenariylar bo‘yicha prognozi 4.2.1-rasmda ko‘rsatilgan.</w:t>
      </w:r>
    </w:p>
    <w:p>
      <w:pPr>
        <w:pStyle w:val="BodyText"/>
        <w:keepNext/>
        <w:spacing w:line="240" w:lineRule="auto" w:before="0" w:after="0"/>
        <w:ind w:firstLine="0"/>
        <w:jc w:val="center"/>
      </w:pPr>
      <w:r xmlns:c="http://schemas.openxmlformats.org/drawingml/2006/chart">
        <w:rPr>
          <w:noProof/>
        </w:rPr>
        <w:drawing>
          <wp:inline distT="0" distB="0" distL="0" distR="0">
            <wp:extent cx="5760000" cy="3240000"/>
            <wp:effectExtent l="0" t="0" r="0" b="0"/>
            <wp:docPr id="1001" name="4.2.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4.2.1-rasm. Bank tizimida muammoli kreditlar ulushining haqiqiy dinamikasi (2021–2025-yillar) va ssenariylar bo‘yicha prognozi (2026–2028-yillar), %</w:t>
      </w:r>
      <w:r>
        <w:rPr>
          <w:rStyle w:val="FootnoteReference"/>
        </w:rPr>
        <w:footnoteReference w:id="3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2028-yilda iqtisodiy o‘sish tiklanishi bilan muammoli kreditlar ulushi 3,7 foizgacha pasaya boshlaydi. Bu natijalar asosida 25 ta bank uchun integral indeks va erta ogohlantirish zonalari prognoz qilindi (4.2.4-jadval).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25 ta bank bo‘yicha moliyaviy barqarorlik ko‘rsatkichlarining ssenariylar bo‘yicha prognozi</w:t>
      </w:r>
      <w:r>
        <w:rPr>
          <w:rStyle w:val="FootnoteReference"/>
        </w:rPr>
        <w:footnoteReference w:id="3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154"/>
        <w:gridCol w:w="793"/>
        <w:gridCol w:w="793"/>
        <w:gridCol w:w="793"/>
        <w:gridCol w:w="793"/>
        <w:gridCol w:w="793"/>
        <w:gridCol w:w="793"/>
        <w:gridCol w:w="793"/>
        <w:gridCol w:w="793"/>
        <w:gridCol w:w="793"/>
      </w:tblGrid>
      <w:tr>
        <w:trPr>
          <w:tblHeader w:val="true"/>
          <w:cantSplit/>
          <w:tblHeader/>
        </w:trPr>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Ko‘rsatkich</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2025 (haqiqiy)</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Asosiy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Asosiy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Ijobiy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Ijobiy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Salbiy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Salbiy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Keskin salbiy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Keskin salbiy 2028</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Muammoli kreditlar ulushi,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2,94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3,17</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2,86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2,85</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3,82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3,60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4,63</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3,65</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ROA,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1,35</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1,55</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MBII medianasi, ball</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3,18</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Banklar soni: yashil / sariq / qizil zona</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 / 9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10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10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 / 8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18 / 7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14 / 9 / 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9 / 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12 / 9 / 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8 / 2</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Qizil zonadagi banklar aktivlari ulushi,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5,9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24,3</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5,9</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muammoli kreditlar ulushi va ROA aktivlar bo‘yicha tortilgan o‘rtacha; erta ogohlantirish zonalari 4.1-paragrafdagi chegaralar bo‘yicha (yashil – 3,25 va undan yuqori, sariq – 2,75–3,25, qizil – 2,75 dan past).</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aniqlangan omillar bilan izohlanadi: davlat banklarida daromadlilik past (aktivlar bo‘yicha tortilgan ROA 1,0 foiz), shu sababli muammoli kreditlarning ozgina oshishi ham ularning daromadini deyarli to‘liq yo‘qotadi, xususiy banklarda esa yuqori foiz marjasi zarar uchun bufer vazifasini bajaradi.</w:t>
      </w:r>
    </w:p>
    <w:p>
      <w:pPr>
        <w:pStyle w:val="BodyText"/>
        <w:spacing w:line="360" w:lineRule="auto" w:before="0" w:after="0"/>
        <w:ind w:firstLine="709"/>
        <w:jc w:val="both"/>
      </w:pPr>
      <w:r>
        <w:rPr>
          <w:rFonts w:ascii="Times New Roman" w:hAnsi="Times New Roman" w:cs="Times New Roman" w:eastAsia="Times New Roman"/>
          <w:sz w:val="28"/>
        </w:rPr>
        <w:t xml:space="preserve">Ssenariylar bo‘yicha banklarning erta ogohlantirish zonalari o‘rtasida taqsimlanishi 4.2.2-rasmda ko‘rsatilgan.</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4.2.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4.2.2-rasm. Tanlangan 25 ta bankning ssenariylar bo‘yicha 2027-yil oxirida erta ogohlantirish zonalari bo‘yicha taqsimlanishi, banklar soni</w:t>
      </w:r>
      <w:r>
        <w:rPr>
          <w:rStyle w:val="FootnoteReference"/>
        </w:rPr>
        <w:footnoteReference w:id="3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4.2.5-jadval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banklari va boshqa banklar moliyaviy barqarorlik ko‘rsatkichlarining ssenariylar bo‘yicha 2027-yilga prognozi</w:t>
      </w:r>
      <w:r>
        <w:rPr>
          <w:rStyle w:val="FootnoteReference"/>
        </w:rPr>
        <w:footnoteReference w:id="3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154"/>
        <w:gridCol w:w="1474"/>
        <w:gridCol w:w="1134"/>
        <w:gridCol w:w="1134"/>
        <w:gridCol w:w="1134"/>
        <w:gridCol w:w="1134"/>
        <w:gridCol w:w="1134"/>
      </w:tblGrid>
      <w:tr>
        <w:trPr>
          <w:tblHeader w:val="true"/>
          <w:cantSplit/>
          <w:tblHeader/>
        </w:trPr>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Guruh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 (haqiqiy)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Ijobiy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Salbiy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Keskin salbiy</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5,00</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2,43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0,62</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2,87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MBII medianasi, ball</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2,81</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MBII medianasi, ball</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3,50</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Qizil zonadagi banklar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Qizil zonadagi banklar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muammoli kreditlar ulushi va ROA aktivlar bo‘yicha tortilgan o‘rtacha.</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pPr>
        <w:pStyle w:val="BodyText"/>
        <w:spacing w:line="360" w:lineRule="auto" w:before="0" w:after="0"/>
        <w:ind w:firstLine="709"/>
        <w:jc w:val="both"/>
      </w:pPr>
      <w:r>
        <w:rPr>
          <w:rFonts w:ascii="Times New Roman" w:hAnsi="Times New Roman" w:cs="Times New Roman" w:eastAsia="Times New Roman"/>
          <w:sz w:val="28"/>
        </w:rPr>
        <w:t xml:space="preserve">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integral indeksining milliy va MHXS hisobotlari asosidagi prognozi</w:t>
      </w:r>
      <w:r>
        <w:rPr>
          <w:rStyle w:val="FootnoteReference"/>
        </w:rPr>
        <w:footnoteReference w:id="3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va hisobot</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 (haqiqiy)</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2027</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Ijobiy 2027</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Salbiy 2027</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Keskin salbiy 2027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«O‘zsanoatqurilishbank» ATB, milliy hisobot</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3,61 (yashil; 2,5 %)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3,61 (yashil; 2,7 %)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3,62 (yashil; 2,5 %)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3,57 (yashil; 3,3 %)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3,49 (yashil; 4,0 %)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«O‘zsanoatqurilishbank» ATB, MHXS hisoboti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2,83 (sariq; 7,5 %)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2,80 (sariq; 8,1 %)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2,83 (sariq; 7,3 %)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2,71 (qizil; 9,7 %)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2,61 (qizil; 11,8 %)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«Mikrokreditbank» ATB, milliy hisobot</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2,90 (sariq; 4,4 %)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2,84 (sariq; 4,8 %)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2,91 (sariq; 4,3 %)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2,72 (qizil; 5,7 %)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2,58 (qizil; 7,0 %)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«Mikrokreditbank» ATB, MHXS hisoboti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2,47 (qizil; 12,3 %)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2,42 (qizil; 13,3 %)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2,49 (qizil; 12,0 %)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2,39 (qizil; 16,1 %)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2,39 (qizil; 19,4 %)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erta ogohlantirish zonasi va muammoli kreditlar (MHXS bo‘yicha – 3-bosqich kreditlari) ulushi keltirilgan.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salbiy ssenariyda 2,71 ballgacha, keskin salbiy ssenariyda esa 2,61 ballgacha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4.2.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4.2.3-rasm. «O‘zsanoatqurilishbank» ATB va «Mikrokreditbank» ATB integral indeksining ssenariylar bo‘yicha 2027-yilga prognozi: milliy va MHXS hisobotlari asosida, ball</w:t>
      </w:r>
      <w:r>
        <w:rPr>
          <w:rStyle w:val="FootnoteReference"/>
        </w:rPr>
        <w:footnoteReference w:id="3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asosidagi indeks barcha ssenariylarda milliy indeksdan past: «O‘zsanoatqurilishbank» ATB da farq 0,78–0,88 ballni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stress-testlarini MHXS 9 bo‘yicha kreditlar bosqichlari asosida o‘tkazish va ularning natijalarini erta ogohlantirish zonalari bilan bog‘lash tavsiya etiladi.</w:t>
      </w:r>
    </w:p>
    <w:p>
      <w:pPr>
        <w:pStyle w:val="BodyText"/>
        <w:spacing w:line="360" w:lineRule="auto" w:before="0" w:after="0"/>
        <w:ind w:firstLine="709"/>
        <w:jc w:val="both"/>
      </w:pPr>
      <w:r>
        <w:rPr>
          <w:rFonts w:ascii="Times New Roman" w:hAnsi="Times New Roman" w:cs="Times New Roman" w:eastAsia="Times New Roman"/>
          <w:sz w:val="28"/>
        </w:rPr>
        <w:t xml:space="preserve">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 Uchinchidan, tahlil davri faqat bitta to‘liq bo‘lmagan iqtisodiy siklni qamraydi, shu sababli sezgirlik koeffitsiyentlari yangi ma’lumotlar to‘planishi bilan qayta baholanishi lozim.</w:t>
      </w:r>
    </w:p>
    <w:p>
      <w:pPr>
        <w:pStyle w:val="BodyText"/>
        <w:spacing w:line="360" w:lineRule="auto" w:before="0" w:after="0"/>
        <w:ind w:firstLine="709"/>
        <w:jc w:val="both"/>
      </w:pPr>
      <w:r>
        <w:rPr>
          <w:rFonts w:ascii="Times New Roman" w:hAnsi="Times New Roman" w:cs="Times New Roman" w:eastAsia="Times New Roman"/>
          <w:sz w:val="28"/>
        </w:rPr>
        <w:t xml:space="preserve">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bookmarkEnd w:id="37"/>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Čihák M. Introduction to Applied Stress Testing: IMF Working Paper WP/07/59. – Washington, DC: International Monetary Fund, 2007.</w:t>
      </w:r>
    </w:p>
  </w:footnote>
  <w:footnote w:id="21">
    <w:p>
      <w:pPr>
        <w:pStyle w:val="FootnoteText"/>
      </w:pPr>
      <w:r>
        <w:rPr>
          <w:rStyle w:val="FootnoteReference"/>
        </w:rPr>
        <w:footnoteRef/>
      </w:r>
      <w:r>
        <w:t xml:space="preserve"> </w:t>
      </w:r>
      <w:r>
        <w:t xml:space="preserve">Sorge M., Virolainen K. A comparative analysis of macro stress-testing methodologies with application to Finland // Journal of Financial Stability. – 2006. – Vol. 2, No. 2. – P. 113–151.</w:t>
      </w:r>
    </w:p>
  </w:footnote>
  <w:footnote w:id="22">
    <w:p>
      <w:pPr>
        <w:pStyle w:val="FootnoteText"/>
      </w:pPr>
      <w:r>
        <w:rPr>
          <w:rStyle w:val="FootnoteReference"/>
        </w:rPr>
        <w:footnoteRef/>
      </w:r>
      <w:r>
        <w:t xml:space="preserve"> </w:t>
      </w:r>
      <w:r>
        <w:t xml:space="preserve">Basel Committee on Banking Supervision. Stress testing principles. – Basel: BIS, October 2018.</w:t>
      </w:r>
    </w:p>
  </w:footnote>
  <w:footnote w:id="23">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24">
    <w:p>
      <w:pPr>
        <w:pStyle w:val="FootnoteText"/>
      </w:pPr>
      <w:r>
        <w:rPr>
          <w:rStyle w:val="FootnoteReference"/>
        </w:rPr>
        <w:footnoteRef/>
      </w:r>
      <w:r>
        <w:t xml:space="preserve"> </w:t>
      </w:r>
      <w:r>
        <w:t xml:space="preserve">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25">
    <w:p>
      <w:pPr>
        <w:pStyle w:val="FootnoteText"/>
      </w:pPr>
      <w:r>
        <w:rPr>
          <w:rStyle w:val="FootnoteReference"/>
        </w:rPr>
        <w:footnoteRef/>
      </w:r>
      <w:r>
        <w:t xml:space="preserve"> </w:t>
      </w:r>
      <w:r>
        <w:t xml:space="preserve">O‘zbekiston Respublikasi Markaziy banki. Statistik byulleten: 2021-yil. – Toshkent, 2022. – 5.1.8a, 5.1.8b-jadvallar; O‘zbekiston Respublikasi Markaziy banki. Statistik byulleten: 2026-yil mart. – Toshkent, 2026. – 1.1, 5.1-jadvallar. – https://cbu.uz/uz/statistics/buleten/</w:t>
      </w:r>
    </w:p>
  </w:footnote>
  <w:footnote w:id="26">
    <w:p>
      <w:pPr>
        <w:pStyle w:val="FootnoteText"/>
      </w:pPr>
      <w:r>
        <w:rPr>
          <w:rStyle w:val="FootnoteReference"/>
        </w:rPr>
        <w:footnoteRef/>
      </w:r>
      <w:r>
        <w:t xml:space="preserve"> </w:t>
      </w:r>
      <w:r>
        <w:t xml:space="preserve">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27">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28">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29">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30">
    <w:p>
      <w:pPr>
        <w:pStyle w:val="FootnoteText"/>
      </w:pPr>
      <w:r>
        <w:rPr>
          <w:rStyle w:val="FootnoteReference"/>
        </w:rPr>
        <w:footnoteRef/>
      </w:r>
      <w:r>
        <w:t xml:space="preserve"> </w:t>
      </w:r>
      <w:r>
        <w:t xml:space="preserve">Basel Committee on Banking Supervision. Stress testing principles. – Basel: BIS, October 2018.</w:t>
      </w:r>
    </w:p>
  </w:footnote>
  <w:footnote w:id="31">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32">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33">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34">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35">
    <w:p>
      <w:pPr>
        <w:pStyle w:val="FootnoteText"/>
      </w:pPr>
      <w:r>
        <w:rPr>
          <w:rStyle w:val="FootnoteReference"/>
        </w:rPr>
        <w:footnoteRef/>
      </w:r>
      <w:r>
        <w:t xml:space="preserve"> </w:t>
      </w:r>
      <w:r>
        <w:t xml:space="preserve">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6">
    <w:p>
      <w:pPr>
        <w:pStyle w:val="FootnoteText"/>
      </w:pPr>
      <w:r>
        <w:rPr>
          <w:rStyle w:val="FootnoteReference"/>
        </w:rPr>
        <w:footnoteRef/>
      </w:r>
      <w:r>
        <w:t xml:space="preserve"> </w:t>
      </w:r>
      <w:r>
        <w:t xml:space="preserve">Tadqiqot natijasida muallif tomonidan 4.2.6-jadval ma’lumotlari asosida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dLbl>
            <c:dLbl>
              <c:idx val="1"/>
              <c:delete val="1"/>
            </c:dLbl>
            <c:dLbl>
              <c:idx val="3"/>
              <c:delete val="1"/>
            </c:dLbl>
            <c:dLbl>
              <c:idx val="4"/>
              <c:delete val="1"/>
            </c:dLbl>
            <c:dLbl>
              <c:idx val="5"/>
              <c:delete val="1"/>
            </c:dLbl>
            <c:dLbl>
              <c:idx val="6"/>
              <c:delete val="1"/>
            </c:dLbl>
            <c:dLbl>
              <c:idx val="8"/>
              <c:delete val="1"/>
            </c:dLbl>
            <c:dLbl>
              <c:idx val="9"/>
              <c:delete val="1"/>
            </c:dLbl>
            <c:dLbl>
              <c:idx val="10"/>
              <c:delete val="1"/>
            </c:dLbl>
            <c:dLbl>
              <c:idx val="12"/>
              <c:delete val="1"/>
            </c:dLbl>
            <c:dLbl>
              <c:idx val="13"/>
              <c:delete val="1"/>
            </c:dLbl>
            <c:dLbl>
              <c:idx val="14"/>
              <c:delete val="1"/>
            </c:dLbl>
            <c:dLbl>
              <c:idx val="16"/>
              <c:delete val="1"/>
            </c:dLbl>
            <c:dLbl>
              <c:idx val="17"/>
              <c:delete val="1"/>
            </c:dLbl>
            <c:dLbl>
              <c:idx val="18"/>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dLbls>
          <c:xVal>
            <c:numRef>
              <c:f>Sheet1!$A$2:$A$33</c:f>
              <c:numCache>
                <c:formatCode>General</c:formatCode>
                <c:ptCount val="32"/>
                <c:pt idx="0">
                  <c:v>2020.25</c:v>
                </c:pt>
                <c:pt idx="1">
                  <c:v>2020.5</c:v>
                </c:pt>
                <c:pt idx="2">
                  <c:v>2020.75</c:v>
                </c:pt>
                <c:pt idx="3">
                  <c:v>2021.0</c:v>
                </c:pt>
                <c:pt idx="4">
                  <c:v>2021.25</c:v>
                </c:pt>
                <c:pt idx="5">
                  <c:v>2021.5</c:v>
                </c:pt>
                <c:pt idx="6">
                  <c:v>2021.75</c:v>
                </c:pt>
                <c:pt idx="7">
                  <c:v>2022.0</c:v>
                </c:pt>
                <c:pt idx="8">
                  <c:v>2022.25</c:v>
                </c:pt>
                <c:pt idx="9">
                  <c:v>2022.5</c:v>
                </c:pt>
                <c:pt idx="10">
                  <c:v>2022.75</c:v>
                </c:pt>
                <c:pt idx="11">
                  <c:v>2023.0</c:v>
                </c:pt>
                <c:pt idx="12">
                  <c:v>2023.25</c:v>
                </c:pt>
                <c:pt idx="13">
                  <c:v>2023.5</c:v>
                </c:pt>
                <c:pt idx="14">
                  <c:v>2023.75</c:v>
                </c:pt>
                <c:pt idx="15">
                  <c:v>2024.0</c:v>
                </c:pt>
                <c:pt idx="16">
                  <c:v>2024.25</c:v>
                </c:pt>
                <c:pt idx="17">
                  <c:v>2024.5</c:v>
                </c:pt>
                <c:pt idx="18">
                  <c:v>2024.75</c:v>
                </c:pt>
                <c:pt idx="19">
                  <c:v>2025.0</c:v>
                </c:pt>
              </c:numCache>
            </c:numRef>
          </c:xVal>
          <c:yVal>
            <c:numRef>
              <c:f>Sheet1!$B$2:$B$33</c:f>
              <c:numCache>
                <c:formatCode>General</c:formatCode>
                <c:ptCount val="32"/>
                <c:pt idx="0">
                  <c:v>3.54</c:v>
                </c:pt>
                <c:pt idx="1">
                  <c:v>5.51</c:v>
                </c:pt>
                <c:pt idx="2">
                  <c:v>5.74</c:v>
                </c:pt>
                <c:pt idx="3">
                  <c:v>5.2</c:v>
                </c:pt>
                <c:pt idx="4">
                  <c:v>4.95</c:v>
                </c:pt>
                <c:pt idx="5">
                  <c:v>4.89</c:v>
                </c:pt>
                <c:pt idx="6">
                  <c:v>4.72</c:v>
                </c:pt>
                <c:pt idx="7">
                  <c:v>3.59</c:v>
                </c:pt>
                <c:pt idx="8">
                  <c:v>3.51</c:v>
                </c:pt>
                <c:pt idx="9">
                  <c:v>3.38</c:v>
                </c:pt>
                <c:pt idx="10">
                  <c:v>3.73</c:v>
                </c:pt>
                <c:pt idx="11">
                  <c:v>3.53</c:v>
                </c:pt>
                <c:pt idx="12">
                  <c:v>4.52</c:v>
                </c:pt>
                <c:pt idx="13">
                  <c:v>4.05</c:v>
                </c:pt>
                <c:pt idx="14">
                  <c:v>4.18</c:v>
                </c:pt>
                <c:pt idx="15">
                  <c:v>3.97</c:v>
                </c:pt>
                <c:pt idx="16">
                  <c:v>4.26</c:v>
                </c:pt>
                <c:pt idx="17">
                  <c:v>3.8</c:v>
                </c:pt>
                <c:pt idx="18">
                  <c:v>3.65</c:v>
                </c:pt>
                <c:pt idx="19">
                  <c:v>2.99</c:v>
                </c:pt>
              </c:numCache>
            </c:numRef>
          </c:yVal>
          <c:smooth val="0"/>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Sheet1!$C$2:$C$33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xVal>
            <c:numRef>
              <c:f>Sheet1!$E$2:$E$33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Sheet1!$G$2:$G$33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s>
          <c:xVal>
            <c:numRef>
              <c:f>Sheet1!$I$2:$I$33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Sheet1!$J$2:$J$33</c:f>
              <c:numCache>
                <c:formatCode>General</c:formatCode>
                <c:ptCount val="32"/>
                <c:pt idx="0">
                  <c:v>2.99</c:v>
                </c:pt>
                <c:pt idx="1">
                  <c:v>3.13</c:v>
                </c:pt>
                <c:pt idx="2">
                  <c:v>3.13</c:v>
                </c:pt>
                <c:pt idx="3">
                  <c:v>3.08</c:v>
                </c:pt>
                <c:pt idx="4">
                  <c:v>3.03</c:v>
                </c:pt>
                <c:pt idx="5">
                  <c:v>3.93</c:v>
                </c:pt>
                <c:pt idx="6">
                  <c:v>4.38</c:v>
                </c:pt>
                <c:pt idx="7">
                  <c:v>4.6</c:v>
                </c:pt>
                <c:pt idx="8">
                  <c:v>4.71</c:v>
                </c:pt>
                <c:pt idx="9">
                  <c:v>4.17</c:v>
                </c:pt>
                <c:pt idx="10">
                  <c:v>3.91</c:v>
                </c:pt>
                <c:pt idx="11">
                  <c:v>3.77</c:v>
                </c:pt>
                <c:pt idx="12">
                  <c:v>3.71</c:v>
                </c:pt>
              </c:numCache>
            </c:numRef>
          </c:yVal>
          <c:smooth val="0"/>
        </c:ser>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6.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16.0</c:v>
                </c:pt>
                <c:pt idx="1">
                  <c:v>15.0</c:v>
                </c:pt>
                <c:pt idx="2">
                  <c:v>17.0</c:v>
                </c:pt>
                <c:pt idx="3">
                  <c:v>14.0</c:v>
                </c:pt>
                <c:pt idx="4">
                  <c:v>12.0</c:v>
                </c:pt>
              </c:numCache>
            </c:numRef>
          </c:val>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9.0</c:v>
                </c:pt>
                <c:pt idx="1">
                  <c:v>10.0</c:v>
                </c:pt>
                <c:pt idx="2">
                  <c:v>8.0</c:v>
                </c:pt>
                <c:pt idx="3">
                  <c:v>9.0</c:v>
                </c:pt>
                <c:pt idx="4">
                  <c:v>9.0</c:v>
                </c:pt>
              </c:numCache>
            </c:numRef>
          </c:val>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0.0</c:v>
                </c:pt>
                <c:pt idx="1">
                  <c:v>0.0</c:v>
                </c:pt>
                <c:pt idx="2">
                  <c:v>0.0</c:v>
                </c:pt>
                <c:pt idx="3">
                  <c:v>2.0</c:v>
                </c:pt>
                <c:pt idx="4">
                  <c:v>4.0</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2.83</c:v>
                </c:pt>
                <c:pt idx="1">
                  <c:v>2.8</c:v>
                </c:pt>
                <c:pt idx="2">
                  <c:v>2.83</c:v>
                </c:pt>
                <c:pt idx="3">
                  <c:v>2.71</c:v>
                </c:pt>
                <c:pt idx="4">
                  <c:v>2.61</c:v>
                </c:pt>
              </c:numCache>
            </c:numRef>
          </c:val>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c:v>
                </c:pt>
                <c:pt idx="1">
                  <c:v>2.42</c:v>
                </c:pt>
                <c:pt idx="2">
                  <c:v>2.49</c:v>
                </c:pt>
                <c:pt idx="3">
                  <c:v>2.39</c:v>
                </c:pt>
                <c:pt idx="4">
                  <c:v>2.39</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2026-10-11T21:03:18Z</dcterms:created>
  <dcterms:modified xsi:type="dcterms:W3CDTF">2026-10-11T21:03:18Z</dcterms:modified>
</cp:coreProperties>
</file>

<file path=docProps/custom.xml><?xml version="1.0" encoding="utf-8"?>
<Properties xmlns="http://schemas.openxmlformats.org/officeDocument/2006/custom-properties" xmlns:vt="http://schemas.openxmlformats.org/officeDocument/2006/docPropsVTypes"/>
</file>