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96</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114</w:t>
      </w:r>
    </w:p>
    <w:p w:rsidR="005603EC" w:rsidRDefault="00AB61AC">
      <w:pPr>
        <w:tabs>
          <w:tab w:val="right" w:leader="dot" w:pos="9354"/>
        </w:tabs>
        <w:spacing w:after="80" w:line="240" w:lineRule="auto"/>
        <w:ind w:left="454"/>
      </w:pPr>
      <w:r>
        <w:rPr>
          <w:sz w:val="26"/>
        </w:rPr>
        <w:t>II bob bo‘yicha xulosalar</w:t>
      </w:r>
      <w:r>
        <w:rPr>
          <w:sz w:val="26"/>
        </w:rPr>
        <w:tab/>
        <w:t>138</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141</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141</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219</w:t>
      </w:r>
    </w:p>
    <w:p w:rsidR="005603EC" w:rsidRDefault="00AB61AC">
      <w:pPr>
        <w:tabs>
          <w:tab w:val="right" w:leader="dot" w:pos="9354"/>
        </w:tabs>
        <w:spacing w:after="80" w:line="240" w:lineRule="auto"/>
        <w:ind w:left="454"/>
      </w:pPr>
      <w:r>
        <w:rPr>
          <w:sz w:val="26"/>
        </w:rPr>
        <w:t>IV bob bo‘yicha xulosalar</w:t>
      </w:r>
      <w:r>
        <w:rPr>
          <w:sz w:val="26"/>
        </w:rPr>
        <w:tab/>
        <w:t>232</w:t>
      </w:r>
    </w:p>
    <w:p w:rsidR="005603EC" w:rsidRDefault="00AB61AC">
      <w:pPr>
        <w:tabs>
          <w:tab w:val="right" w:leader="dot" w:pos="9354"/>
        </w:tabs>
        <w:spacing w:after="80" w:line="240" w:lineRule="auto"/>
      </w:pPr>
      <w:r>
        <w:rPr>
          <w:b/>
          <w:sz w:val="26"/>
        </w:rPr>
        <w:t>XULOSA</w:t>
      </w:r>
      <w:r>
        <w:rPr>
          <w:b/>
          <w:sz w:val="26"/>
        </w:rPr>
        <w:tab/>
        <w:t>235</w:t>
      </w:r>
    </w:p>
    <w:p w:rsidR="005603EC" w:rsidRDefault="00AB61AC">
      <w:pPr>
        <w:tabs>
          <w:tab w:val="right" w:leader="dot" w:pos="9354"/>
        </w:tabs>
        <w:spacing w:after="80" w:line="240" w:lineRule="auto"/>
      </w:pPr>
      <w:r>
        <w:rPr>
          <w:b/>
          <w:sz w:val="26"/>
        </w:rPr>
        <w:t>FOYDALANILGAN ADABIYOTLAR RO‘YXATI</w:t>
      </w:r>
      <w:r>
        <w:rPr>
          <w:b/>
          <w:sz w:val="26"/>
        </w:rPr>
        <w:tab/>
        <w:t>240</w:t>
      </w:r>
    </w:p>
    <w:p w:rsidR="005603EC" w:rsidRDefault="00AB61AC">
      <w:pPr>
        <w:tabs>
          <w:tab w:val="right" w:leader="dot" w:pos="9354"/>
        </w:tabs>
        <w:spacing w:after="80" w:line="240" w:lineRule="auto"/>
      </w:pPr>
      <w:r>
        <w:rPr>
          <w:b/>
          <w:sz w:val="26"/>
        </w:rPr>
        <w:t>ILOVALAR</w:t>
      </w:r>
      <w:r>
        <w:rPr>
          <w:b/>
          <w:sz w:val="26"/>
        </w:rPr>
        <w:tab/>
        <w:t>260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236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color w:val="FF0000"/>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color w:val="FF0000"/>
        </w:rPr>
        <w:t xml:space="preserve">(1.2.5-jadval)</w:t>
      </w:r>
      <w:r>
        <w:t xml:space="preserve">.</w:t>
      </w:r>
    </w:p>
    <w:p w:rsidR="005603EC" w:rsidRDefault="00AB61AC">
      <w:pPr>
        <w:pStyle w:val="af"/>
        <w:keepNext/>
        <w:spacing w:before="120" w:after="0" w:line="360" w:lineRule="auto"/>
        <w:jc w:val="right"/>
      </w:pPr>
      <w:r>
        <w:rPr>
          <w:i/>
          <w:color w:val="FF0000"/>
        </w:rPr>
        <w:t>1.2.5-jadval</w:t>
      </w:r>
    </w:p>
    <w:p w:rsidR="005603EC" w:rsidRDefault="00AB61AC">
      <w:pPr>
        <w:pStyle w:val="af"/>
        <w:keepNext/>
        <w:spacing w:line="240" w:lineRule="auto"/>
        <w:jc w:val="center"/>
      </w:pPr>
      <w:r>
        <w:rPr>
          <w:b/>
          <w:color w:val="FF0000"/>
        </w:rPr>
        <w:t xml:space="preserve">Xalqaro standartlarning moliyaviy barqarorlikni integral baholash bloklari bilan bog‘liqligi</w:t>
      </w:r>
      <w:r>
        <w:rPr>
          <w:rStyle w:val="aff8"/>
          <w:color w:val="FF0000"/>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color w:val="FF0000"/>
                <w:sz w:val="22"/>
              </w:rPr>
              <w:t>Standart / blok</w:t>
            </w:r>
          </w:p>
        </w:tc>
        <w:tc>
          <w:tcPr>
            <w:tcW w:type="dxa" w:w="1531"/>
            <w:vAlign w:val="center"/>
            <w:shd w:val="clear" w:color="auto" w:fill="DEEBF7"/>
          </w:tcPr>
          <w:p>
            <w:pPr>
              <w:spacing w:line="240" w:lineRule="auto" w:before="0" w:after="0"/>
              <w:ind w:firstLine="0"/>
              <w:jc w:val="center"/>
            </w:pPr>
            <w:r>
              <w:rPr>
                <w:b/>
                <w:color w:val="FF0000"/>
                <w:sz w:val="21"/>
              </w:rPr>
              <w:t>Kapital yetarliligi</w:t>
            </w:r>
          </w:p>
        </w:tc>
        <w:tc>
          <w:tcPr>
            <w:tcW w:type="dxa" w:w="1531"/>
            <w:vAlign w:val="center"/>
            <w:shd w:val="clear" w:color="auto" w:fill="DEEBF7"/>
          </w:tcPr>
          <w:p>
            <w:pPr>
              <w:spacing w:line="240" w:lineRule="auto" w:before="0" w:after="0"/>
              <w:ind w:firstLine="0"/>
              <w:jc w:val="center"/>
            </w:pPr>
            <w:r>
              <w:rPr>
                <w:b/>
                <w:color w:val="FF0000"/>
                <w:sz w:val="21"/>
              </w:rPr>
              <w:t>Aktivlar sifati</w:t>
            </w:r>
          </w:p>
        </w:tc>
        <w:tc>
          <w:tcPr>
            <w:tcW w:type="dxa" w:w="1531"/>
            <w:vAlign w:val="center"/>
            <w:shd w:val="clear" w:color="auto" w:fill="DEEBF7"/>
          </w:tcPr>
          <w:p>
            <w:pPr>
              <w:spacing w:line="240" w:lineRule="auto" w:before="0" w:after="0"/>
              <w:ind w:firstLine="0"/>
              <w:jc w:val="center"/>
            </w:pPr>
            <w:r>
              <w:rPr>
                <w:b/>
                <w:color w:val="FF0000"/>
                <w:sz w:val="21"/>
              </w:rPr>
              <w:t>Daromadlilik</w:t>
            </w:r>
          </w:p>
        </w:tc>
        <w:tc>
          <w:tcPr>
            <w:tcW w:type="dxa" w:w="1531"/>
            <w:vAlign w:val="center"/>
            <w:shd w:val="clear" w:color="auto" w:fill="DEEBF7"/>
          </w:tcPr>
          <w:p>
            <w:pPr>
              <w:spacing w:line="240" w:lineRule="auto" w:before="0" w:after="0"/>
              <w:ind w:firstLine="0"/>
              <w:jc w:val="center"/>
            </w:pPr>
            <w:r>
              <w:rPr>
                <w:b/>
                <w:color w:val="FF0000"/>
                <w:sz w:val="21"/>
              </w:rPr>
              <w:t>Likvidlik</w:t>
            </w:r>
          </w:p>
        </w:tc>
        <w:tc>
          <w:tcPr>
            <w:tcW w:type="dxa" w:w="1531"/>
            <w:vAlign w:val="center"/>
            <w:shd w:val="clear" w:color="auto" w:fill="DEEBF7"/>
          </w:tcPr>
          <w:p>
            <w:pPr>
              <w:spacing w:line="240" w:lineRule="auto" w:before="0" w:after="0"/>
              <w:ind w:firstLine="0"/>
              <w:jc w:val="center"/>
            </w:pPr>
            <w:r>
              <w:rPr>
                <w:b/>
                <w:color w:val="FF0000"/>
                <w:sz w:val="21"/>
              </w:rPr>
              <w:t>Bozor (valyuta) riskiga sezgirlik</w:t>
            </w:r>
          </w:p>
        </w:tc>
      </w:tr>
      <w:tr>
        <w:tc>
          <w:tcPr>
            <w:tcW w:type="dxa" w:w="1700"/>
            <w:vAlign w:val="center"/>
            <w:shd w:val="clear" w:color="auto" w:fill="F2F2F2"/>
          </w:tcPr>
          <w:p>
            <w:pPr>
              <w:spacing w:line="240" w:lineRule="auto" w:before="0" w:after="0"/>
              <w:ind w:firstLine="0"/>
              <w:jc w:val="left"/>
            </w:pPr>
            <w:r>
              <w:rPr>
                <w:b/>
                <w:color w:val="FF0000"/>
                <w:sz w:val="22"/>
              </w:rPr>
              <w:t>Bazel III</w:t>
            </w:r>
          </w:p>
        </w:tc>
        <w:tc>
          <w:tcPr>
            <w:tcW w:type="dxa" w:w="1531"/>
            <w:vAlign w:val="center"/>
          </w:tcPr>
          <w:p>
            <w:pPr>
              <w:spacing w:line="240" w:lineRule="auto" w:before="0" w:after="0"/>
              <w:ind w:firstLine="0"/>
              <w:jc w:val="center"/>
            </w:pPr>
            <w:r>
              <w:rPr>
                <w:b w:val="0"/>
                <w:color w:val="FF0000"/>
                <w:sz w:val="20"/>
              </w:rPr>
              <w:t>● CET1 ≥ 4,5%, jami ≥ 8% (+2,5% bufer), leverej ≥ 3%</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 LCR ≥ 100%, NSFR ≥ 100%</w:t>
            </w:r>
          </w:p>
        </w:tc>
        <w:tc>
          <w:tcPr>
            <w:tcW w:type="dxa" w:w="1531"/>
            <w:vAlign w:val="center"/>
          </w:tcPr>
          <w:p>
            <w:pPr>
              <w:spacing w:line="240" w:lineRule="auto" w:before="0" w:after="0"/>
              <w:ind w:firstLine="0"/>
              <w:jc w:val="center"/>
            </w:pPr>
            <w:r>
              <w:rPr>
                <w:b w:val="0"/>
                <w:color w:val="FF0000"/>
                <w:sz w:val="20"/>
              </w:rPr>
              <w:t>○ bozor riski uchun kapital talabi</w:t>
            </w:r>
          </w:p>
        </w:tc>
      </w:tr>
      <w:tr>
        <w:tc>
          <w:tcPr>
            <w:tcW w:type="dxa" w:w="1700"/>
            <w:vAlign w:val="center"/>
            <w:shd w:val="clear" w:color="auto" w:fill="F2F2F2"/>
          </w:tcPr>
          <w:p>
            <w:pPr>
              <w:spacing w:line="240" w:lineRule="auto" w:before="0" w:after="0"/>
              <w:ind w:firstLine="0"/>
              <w:jc w:val="left"/>
            </w:pPr>
            <w:r>
              <w:rPr>
                <w:b/>
                <w:color w:val="FF0000"/>
                <w:sz w:val="22"/>
              </w:rPr>
              <w:t>MHXS 9</w:t>
            </w:r>
          </w:p>
        </w:tc>
        <w:tc>
          <w:tcPr>
            <w:tcW w:type="dxa" w:w="1531"/>
            <w:vAlign w:val="center"/>
          </w:tcPr>
          <w:p>
            <w:pPr>
              <w:spacing w:line="240" w:lineRule="auto" w:before="0" w:after="0"/>
              <w:ind w:firstLine="0"/>
              <w:jc w:val="center"/>
            </w:pPr>
            <w:r>
              <w:rPr>
                <w:b w:val="0"/>
                <w:color w:val="FF0000"/>
                <w:sz w:val="20"/>
              </w:rPr>
              <w:t>○ kutilgan zarar zaxiralari orqali</w:t>
            </w:r>
          </w:p>
        </w:tc>
        <w:tc>
          <w:tcPr>
            <w:tcW w:type="dxa" w:w="1531"/>
            <w:vAlign w:val="center"/>
          </w:tcPr>
          <w:p>
            <w:pPr>
              <w:spacing w:line="240" w:lineRule="auto" w:before="0" w:after="0"/>
              <w:ind w:firstLine="0"/>
              <w:jc w:val="center"/>
            </w:pPr>
            <w:r>
              <w:rPr>
                <w:b w:val="0"/>
                <w:color w:val="FF0000"/>
                <w:sz w:val="20"/>
              </w:rPr>
              <w:t>● kutilgan kredit zararlari, 3 bosqichli tasnif</w:t>
            </w:r>
          </w:p>
        </w:tc>
        <w:tc>
          <w:tcPr>
            <w:tcW w:type="dxa" w:w="1531"/>
            <w:vAlign w:val="center"/>
          </w:tcPr>
          <w:p>
            <w:pPr>
              <w:spacing w:line="240" w:lineRule="auto" w:before="0" w:after="0"/>
              <w:ind w:firstLine="0"/>
              <w:jc w:val="center"/>
            </w:pPr>
            <w:r>
              <w:rPr>
                <w:b w:val="0"/>
                <w:color w:val="FF0000"/>
                <w:sz w:val="20"/>
              </w:rPr>
              <w:t>○ zaxira xarajatlari orqali</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r>
      <w:tr>
        <w:tc>
          <w:tcPr>
            <w:tcW w:type="dxa" w:w="1700"/>
            <w:vAlign w:val="center"/>
            <w:shd w:val="clear" w:color="auto" w:fill="F2F2F2"/>
          </w:tcPr>
          <w:p>
            <w:pPr>
              <w:spacing w:line="240" w:lineRule="auto" w:before="0" w:after="0"/>
              <w:ind w:firstLine="0"/>
              <w:jc w:val="left"/>
            </w:pPr>
            <w:r>
              <w:rPr>
                <w:b/>
                <w:color w:val="FF0000"/>
                <w:sz w:val="22"/>
              </w:rPr>
              <w:t>XVJ moliyaviy barqarorlik ko‘rsatkichlari</w:t>
            </w:r>
          </w:p>
        </w:tc>
        <w:tc>
          <w:tcPr>
            <w:tcW w:type="dxa" w:w="1531"/>
            <w:vAlign w:val="center"/>
          </w:tcPr>
          <w:p>
            <w:pPr>
              <w:spacing w:line="240" w:lineRule="auto" w:before="0" w:after="0"/>
              <w:ind w:firstLine="0"/>
              <w:jc w:val="center"/>
            </w:pPr>
            <w:r>
              <w:rPr>
                <w:b w:val="0"/>
                <w:color w:val="FF0000"/>
                <w:sz w:val="20"/>
              </w:rPr>
              <w:t>● regulyativ kapital / RWA</w:t>
            </w:r>
          </w:p>
        </w:tc>
        <w:tc>
          <w:tcPr>
            <w:tcW w:type="dxa" w:w="1531"/>
            <w:vAlign w:val="center"/>
          </w:tcPr>
          <w:p>
            <w:pPr>
              <w:spacing w:line="240" w:lineRule="auto" w:before="0" w:after="0"/>
              <w:ind w:firstLine="0"/>
              <w:jc w:val="center"/>
            </w:pPr>
            <w:r>
              <w:rPr>
                <w:b w:val="0"/>
                <w:color w:val="FF0000"/>
                <w:sz w:val="20"/>
              </w:rPr>
              <w:t>● muammoli kreditlar / jami kreditlar</w:t>
            </w:r>
          </w:p>
        </w:tc>
        <w:tc>
          <w:tcPr>
            <w:tcW w:type="dxa" w:w="1531"/>
            <w:vAlign w:val="center"/>
          </w:tcPr>
          <w:p>
            <w:pPr>
              <w:spacing w:line="240" w:lineRule="auto" w:before="0" w:after="0"/>
              <w:ind w:firstLine="0"/>
              <w:jc w:val="center"/>
            </w:pPr>
            <w:r>
              <w:rPr>
                <w:b w:val="0"/>
                <w:color w:val="FF0000"/>
                <w:sz w:val="20"/>
              </w:rPr>
              <w:t>● ROA, ROE</w:t>
            </w:r>
          </w:p>
        </w:tc>
        <w:tc>
          <w:tcPr>
            <w:tcW w:type="dxa" w:w="1531"/>
            <w:vAlign w:val="center"/>
          </w:tcPr>
          <w:p>
            <w:pPr>
              <w:spacing w:line="240" w:lineRule="auto" w:before="0" w:after="0"/>
              <w:ind w:firstLine="0"/>
              <w:jc w:val="center"/>
            </w:pPr>
            <w:r>
              <w:rPr>
                <w:b w:val="0"/>
                <w:color w:val="FF0000"/>
                <w:sz w:val="20"/>
              </w:rPr>
              <w:t>● likvid aktivlar / jami aktivlar</w:t>
            </w:r>
          </w:p>
        </w:tc>
        <w:tc>
          <w:tcPr>
            <w:tcW w:type="dxa" w:w="1531"/>
            <w:vAlign w:val="center"/>
          </w:tcPr>
          <w:p>
            <w:pPr>
              <w:spacing w:line="240" w:lineRule="auto" w:before="0" w:after="0"/>
              <w:ind w:firstLine="0"/>
              <w:jc w:val="center"/>
            </w:pPr>
            <w:r>
              <w:rPr>
                <w:b w:val="0"/>
                <w:color w:val="FF0000"/>
                <w:sz w:val="20"/>
              </w:rPr>
              <w:t>● sof ochiq valyuta pozitsiyasi / kapital</w:t>
            </w:r>
          </w:p>
        </w:tc>
      </w:tr>
      <w:tr>
        <w:tc>
          <w:tcPr>
            <w:tcW w:type="dxa" w:w="1700"/>
            <w:vAlign w:val="center"/>
            <w:shd w:val="clear" w:color="auto" w:fill="F2F2F2"/>
          </w:tcPr>
          <w:p>
            <w:pPr>
              <w:spacing w:line="240" w:lineRule="auto" w:before="0" w:after="0"/>
              <w:ind w:firstLine="0"/>
              <w:jc w:val="left"/>
            </w:pPr>
            <w:r>
              <w:rPr>
                <w:b/>
                <w:color w:val="FF0000"/>
                <w:sz w:val="22"/>
              </w:rPr>
              <w:t>CAMELS</w:t>
            </w:r>
          </w:p>
        </w:tc>
        <w:tc>
          <w:tcPr>
            <w:tcW w:type="dxa" w:w="1531"/>
            <w:vAlign w:val="center"/>
          </w:tcPr>
          <w:p>
            <w:pPr>
              <w:spacing w:line="240" w:lineRule="auto" w:before="0" w:after="0"/>
              <w:ind w:firstLine="0"/>
              <w:jc w:val="center"/>
            </w:pPr>
            <w:r>
              <w:rPr>
                <w:b w:val="0"/>
                <w:color w:val="FF0000"/>
                <w:sz w:val="20"/>
              </w:rPr>
              <w:t>● C – kapital</w:t>
            </w:r>
          </w:p>
        </w:tc>
        <w:tc>
          <w:tcPr>
            <w:tcW w:type="dxa" w:w="1531"/>
            <w:vAlign w:val="center"/>
          </w:tcPr>
          <w:p>
            <w:pPr>
              <w:spacing w:line="240" w:lineRule="auto" w:before="0" w:after="0"/>
              <w:ind w:firstLine="0"/>
              <w:jc w:val="center"/>
            </w:pPr>
            <w:r>
              <w:rPr>
                <w:b w:val="0"/>
                <w:color w:val="FF0000"/>
                <w:sz w:val="20"/>
              </w:rPr>
              <w:t>● A – aktivlar sifati</w:t>
            </w:r>
          </w:p>
        </w:tc>
        <w:tc>
          <w:tcPr>
            <w:tcW w:type="dxa" w:w="1531"/>
            <w:vAlign w:val="center"/>
          </w:tcPr>
          <w:p>
            <w:pPr>
              <w:spacing w:line="240" w:lineRule="auto" w:before="0" w:after="0"/>
              <w:ind w:firstLine="0"/>
              <w:jc w:val="center"/>
            </w:pPr>
            <w:r>
              <w:rPr>
                <w:b w:val="0"/>
                <w:color w:val="FF0000"/>
                <w:sz w:val="20"/>
              </w:rPr>
              <w:t>● E – daromadlilik</w:t>
            </w:r>
          </w:p>
        </w:tc>
        <w:tc>
          <w:tcPr>
            <w:tcW w:type="dxa" w:w="1531"/>
            <w:vAlign w:val="center"/>
          </w:tcPr>
          <w:p>
            <w:pPr>
              <w:spacing w:line="240" w:lineRule="auto" w:before="0" w:after="0"/>
              <w:ind w:firstLine="0"/>
              <w:jc w:val="center"/>
            </w:pPr>
            <w:r>
              <w:rPr>
                <w:b w:val="0"/>
                <w:color w:val="FF0000"/>
                <w:sz w:val="20"/>
              </w:rPr>
              <w:t>● L – likvidlik</w:t>
            </w:r>
          </w:p>
        </w:tc>
        <w:tc>
          <w:tcPr>
            <w:tcW w:type="dxa" w:w="1531"/>
            <w:vAlign w:val="center"/>
          </w:tcPr>
          <w:p>
            <w:pPr>
              <w:spacing w:line="240" w:lineRule="auto" w:before="0" w:after="0"/>
              <w:ind w:firstLine="0"/>
              <w:jc w:val="center"/>
            </w:pPr>
            <w:r>
              <w:rPr>
                <w:b w:val="0"/>
                <w:color w:val="FF0000"/>
                <w:sz w:val="20"/>
              </w:rPr>
              <w:t>● S – bozor riskiga sezgirlik</w:t>
            </w:r>
          </w:p>
        </w:tc>
      </w:tr>
      <w:tr>
        <w:tc>
          <w:tcPr>
            <w:tcW w:type="dxa" w:w="1700"/>
            <w:vAlign w:val="center"/>
            <w:shd w:val="clear" w:color="auto" w:fill="F2F2F2"/>
          </w:tcPr>
          <w:p>
            <w:pPr>
              <w:spacing w:line="240" w:lineRule="auto" w:before="0" w:after="0"/>
              <w:ind w:firstLine="0"/>
              <w:jc w:val="left"/>
            </w:pPr>
            <w:r>
              <w:rPr>
                <w:b/>
                <w:color w:val="FF0000"/>
                <w:sz w:val="22"/>
              </w:rPr>
              <w:t>Reyting agentliklari</w:t>
            </w:r>
          </w:p>
        </w:tc>
        <w:tc>
          <w:tcPr>
            <w:tcW w:type="dxa" w:w="1531"/>
            <w:vAlign w:val="center"/>
          </w:tcPr>
          <w:p>
            <w:pPr>
              <w:spacing w:line="240" w:lineRule="auto" w:before="0" w:after="0"/>
              <w:ind w:firstLine="0"/>
              <w:jc w:val="center"/>
            </w:pPr>
            <w:r>
              <w:rPr>
                <w:b w:val="0"/>
                <w:color w:val="FF0000"/>
                <w:sz w:val="20"/>
              </w:rPr>
              <w:t>● kapitallashuv</w:t>
            </w:r>
          </w:p>
        </w:tc>
        <w:tc>
          <w:tcPr>
            <w:tcW w:type="dxa" w:w="1531"/>
            <w:vAlign w:val="center"/>
          </w:tcPr>
          <w:p>
            <w:pPr>
              <w:spacing w:line="240" w:lineRule="auto" w:before="0" w:after="0"/>
              <w:ind w:firstLine="0"/>
              <w:jc w:val="center"/>
            </w:pPr>
            <w:r>
              <w:rPr>
                <w:b w:val="0"/>
                <w:color w:val="FF0000"/>
                <w:sz w:val="20"/>
              </w:rPr>
              <w:t>● aktivlar sifati</w:t>
            </w:r>
          </w:p>
        </w:tc>
        <w:tc>
          <w:tcPr>
            <w:tcW w:type="dxa" w:w="1531"/>
            <w:vAlign w:val="center"/>
          </w:tcPr>
          <w:p>
            <w:pPr>
              <w:spacing w:line="240" w:lineRule="auto" w:before="0" w:after="0"/>
              <w:ind w:firstLine="0"/>
              <w:jc w:val="center"/>
            </w:pPr>
            <w:r>
              <w:rPr>
                <w:b w:val="0"/>
                <w:color w:val="FF0000"/>
                <w:sz w:val="20"/>
              </w:rPr>
              <w:t>● daromadlilik</w:t>
            </w:r>
          </w:p>
        </w:tc>
        <w:tc>
          <w:tcPr>
            <w:tcW w:type="dxa" w:w="1531"/>
            <w:vAlign w:val="center"/>
          </w:tcPr>
          <w:p>
            <w:pPr>
              <w:spacing w:line="240" w:lineRule="auto" w:before="0" w:after="0"/>
              <w:ind w:firstLine="0"/>
              <w:jc w:val="center"/>
            </w:pPr>
            <w:r>
              <w:rPr>
                <w:b w:val="0"/>
                <w:color w:val="FF0000"/>
                <w:sz w:val="20"/>
              </w:rPr>
              <w:t>● moliyalashtirish va likvidlik</w:t>
            </w:r>
          </w:p>
        </w:tc>
        <w:tc>
          <w:tcPr>
            <w:tcW w:type="dxa" w:w="1531"/>
            <w:vAlign w:val="center"/>
          </w:tcPr>
          <w:p>
            <w:pPr>
              <w:spacing w:line="240" w:lineRule="auto" w:before="0" w:after="0"/>
              <w:ind w:firstLine="0"/>
              <w:jc w:val="center"/>
            </w:pPr>
            <w:r>
              <w:rPr>
                <w:b w:val="0"/>
                <w:color w:val="FF0000"/>
                <w:sz w:val="20"/>
              </w:rPr>
              <w:t>● xorijiy valyutadagi likvidlik</w:t>
            </w:r>
          </w:p>
        </w:tc>
      </w:tr>
      <w:tr>
        <w:tc>
          <w:tcPr>
            <w:tcW w:type="dxa" w:w="1700"/>
            <w:vAlign w:val="center"/>
            <w:shd w:val="clear" w:color="auto" w:fill="DEEBF7"/>
          </w:tcPr>
          <w:p>
            <w:pPr>
              <w:spacing w:line="240" w:lineRule="auto" w:before="0" w:after="0"/>
              <w:ind w:firstLine="0"/>
              <w:jc w:val="left"/>
            </w:pPr>
            <w:r>
              <w:rPr>
                <w:b/>
                <w:color w:val="FF0000"/>
                <w:sz w:val="22"/>
              </w:rPr>
              <w:t>Integral bahoga hissasi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MHXS 9 bo‘yicha baholash</w:t>
            </w:r>
          </w:p>
        </w:tc>
        <w:tc>
          <w:tcPr>
            <w:tcW w:type="dxa" w:w="1531"/>
            <w:vAlign w:val="center"/>
            <w:shd w:val="clear" w:color="auto" w:fill="DEEBF7"/>
          </w:tcPr>
          <w:p>
            <w:pPr>
              <w:spacing w:line="240" w:lineRule="auto" w:before="0" w:after="0"/>
              <w:ind w:firstLine="0"/>
              <w:jc w:val="center"/>
            </w:pPr>
            <w:r>
              <w:rPr>
                <w:b/>
                <w:color w:val="FF0000"/>
                <w:sz w:val="20"/>
              </w:rPr>
              <w:t>XVJ va CAMELS ko‘rsatkichlari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XVJ ko‘rsatkichi, dollarlashuvni hisobga olish</w:t>
            </w:r>
          </w:p>
        </w:tc>
      </w:tr>
    </w:tbl>
    <w:p w:rsidR="005603EC" w:rsidRDefault="00AB61AC">
      <w:pPr>
        <w:pStyle w:val="af"/>
        <w:spacing w:line="240" w:lineRule="auto" w:after="240"/>
        <w:jc w:val="both"/>
      </w:pPr>
      <w:r>
        <w:rPr>
          <w:i/>
          <w:color w:val="FF0000"/>
          <w:sz w:val="22"/>
          <w:szCs w:val="22"/>
        </w:rPr>
        <w:t>Izoh: ● – blok uchun asosiy mezon yoki ko‘rsatkich manbai; ○ – bilvosita ta’sir; – – blokni qamramaydi.</w:t>
      </w:r>
    </w:p>
    <w:p w:rsidR="005603EC" w:rsidRDefault="00AB61AC">
      <w:pPr>
        <w:pStyle w:val="af"/>
        <w:spacing w:after="0" w:line="360" w:lineRule="auto"/>
        <w:ind w:firstLine="709"/>
        <w:jc w:val="both"/>
      </w:pPr>
      <w:r>
        <w:rPr>
          <w:color w:val="FF0000"/>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color w:val="FF0000"/>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color w:val="FF0000"/>
                <w:sz w:val="22"/>
              </w:rPr>
              <w:t xml:space="preserve">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