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3.2.2-rasm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2880000"/>
            <wp:effectExtent l="0" t="0" r="0" b="0"/>
            <wp:docPr id="1001" name="3.2.2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020"/>
        <w:gridCol w:w="1020"/>
        <w:gridCol w:w="1020"/>
        <w:gridCol w:w="1020"/>
        <w:gridCol w:w="1020"/>
      </w:tblGrid>
      <w:tr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2"/>
              </w:rPr>
              <w:t>Bank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2"/>
              </w:rPr>
              <w:t>2021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2"/>
              </w:rPr>
              <w:t>2022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2"/>
              </w:rPr>
              <w:t>2023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2"/>
              </w:rPr>
              <w:t>2024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2"/>
              </w:rPr>
              <w:t>2025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70AD47"/>
                <w:sz w:val="20"/>
              </w:rPr>
              <w:t xml:space="preserve">━━ </w:t>
            </w: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“Xalq banki”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2,66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2,71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2,96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3,20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3,38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C000"/>
                <w:sz w:val="20"/>
              </w:rPr>
              <w:t xml:space="preserve">━━ </w:t>
            </w: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“Biznesni rivojlantirish banki”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2,51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2,25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2,03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2,58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3,23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7030A0"/>
                <w:sz w:val="20"/>
              </w:rPr>
              <w:t xml:space="preserve">━━ </w:t>
            </w: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“Ipoteka-bank”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3,32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3,37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2,69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3,13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3,11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2A78D6"/>
                <w:sz w:val="20"/>
              </w:rPr>
              <w:t xml:space="preserve">━━ </w:t>
            </w: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“O‘zsanoatqurilishbank”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2,92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2,81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2,91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2,72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2,81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EB6834"/>
                <w:sz w:val="20"/>
              </w:rPr>
              <w:t xml:space="preserve">━━ </w:t>
            </w: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“Mikrokreditbank”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2,18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2,31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2,22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2,25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2,47</w:t>
            </w:r>
          </w:p>
        </w:tc>
      </w:tr>
      <w:tr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A3A3"/>
                <w:sz w:val="20"/>
              </w:rPr>
              <w:t xml:space="preserve">╍╍ </w:t>
            </w: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“Aloqabank” (tanlanmadan tashqari)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3,01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2,97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3,17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3,10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FF0000"/>
                <w:sz w:val="22"/>
              </w:rPr>
              <w:t>2,78</w:t>
            </w:r>
          </w:p>
        </w:tc>
      </w:tr>
    </w:tbl>
    <w:p>
      <w:r>
        <w:rPr>
          <w:color w:val="FF0000"/>
          <w:sz w:val="22"/>
        </w:rPr>
        <w:t>Izoh: qizil uzuq chiziqlar – I va II sinflar (3,25 ball) hamda II va III sinflar (2,50 ball) chegaralari.</w:t>
      </w:r>
    </w:p>
    <w:p>
      <w:pPr>
        <w:jc w:val="center"/>
      </w:pPr>
      <w:r>
        <w:rPr>
          <w:b/>
        </w:rPr>
        <w:t>3.2.2-rasm. Tanlangan banklarda moliyaviy barqarorlikning integral indeksi, MHXS hisobotlari asosida, 2021–2025-yillar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>
        <c:manualLayout>
          <c:layoutTarget val="inner"/>
          <c:xMode val="edge"/>
          <c:yMode val="edge"/>
          <c:x val="0.11"/>
          <c:y val="0.04"/>
          <c:w val="0.8"/>
          <c:h val="0.84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“Xalq banki”</c:v>
                </c:pt>
              </c:strCache>
            </c:strRef>
          </c:tx>
          <c:spPr>
            <a:ln w="28575">
              <a:solidFill>
                <a:srgbClr val="70AD47"/>
              </a:solidFill>
            </a:ln>
          </c:spPr>
          <c:marker>
            <c:symbol val="circle"/>
            <c:size val="5"/>
            <c:spPr>
              <a:solidFill>
                <a:srgbClr val="70AD47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Sheet1!$B$2:$B$6</c:f>
              <c:numCache>
                <c:formatCode>0.00</c:formatCode>
                <c:ptCount val="5"/>
                <c:pt idx="0">
                  <c:v>2.66</c:v>
                </c:pt>
                <c:pt idx="1">
                  <c:v>2.71</c:v>
                </c:pt>
                <c:pt idx="2">
                  <c:v>2.96</c:v>
                </c:pt>
                <c:pt idx="3">
                  <c:v>3.2</c:v>
                </c:pt>
                <c:pt idx="4">
                  <c:v>3.38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“Biznesni rivojlantirish banki”</c:v>
                </c:pt>
              </c:strCache>
            </c:strRef>
          </c:tx>
          <c:spPr>
            <a:ln w="28575">
              <a:solidFill>
                <a:srgbClr val="FFC000"/>
              </a:solidFill>
            </a:ln>
          </c:spPr>
          <c:marker>
            <c:symbol val="circle"/>
            <c:size val="5"/>
            <c:spPr>
              <a:solidFill>
                <a:srgbClr val="FFC000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Sheet1!$C$2:$C$6</c:f>
              <c:numCache>
                <c:formatCode>0.00</c:formatCode>
                <c:ptCount val="5"/>
                <c:pt idx="0">
                  <c:v>2.51</c:v>
                </c:pt>
                <c:pt idx="1">
                  <c:v>2.25</c:v>
                </c:pt>
                <c:pt idx="2">
                  <c:v>2.03</c:v>
                </c:pt>
                <c:pt idx="3">
                  <c:v>2.58</c:v>
                </c:pt>
                <c:pt idx="4">
                  <c:v>3.23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“Ipoteka-bank”</c:v>
                </c:pt>
              </c:strCache>
            </c:strRef>
          </c:tx>
          <c:spPr>
            <a:ln w="28575">
              <a:solidFill>
                <a:srgbClr val="7030A0"/>
              </a:solidFill>
            </a:ln>
          </c:spPr>
          <c:marker>
            <c:symbol val="circle"/>
            <c:size val="5"/>
            <c:spPr>
              <a:solidFill>
                <a:srgbClr val="7030A0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Sheet1!$D$2:$D$6</c:f>
              <c:numCache>
                <c:formatCode>0.00</c:formatCode>
                <c:ptCount val="5"/>
                <c:pt idx="0">
                  <c:v>3.32</c:v>
                </c:pt>
                <c:pt idx="1">
                  <c:v>3.37</c:v>
                </c:pt>
                <c:pt idx="2">
                  <c:v>2.69</c:v>
                </c:pt>
                <c:pt idx="3">
                  <c:v>3.13</c:v>
                </c:pt>
                <c:pt idx="4">
                  <c:v>3.11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“O‘zsanoatqurilishbank”</c:v>
                </c:pt>
              </c:strCache>
            </c:strRef>
          </c:tx>
          <c:spPr>
            <a:ln w="28575">
              <a:solidFill>
                <a:srgbClr val="2A78D6"/>
              </a:solidFill>
            </a:ln>
          </c:spPr>
          <c:marker>
            <c:symbol val="circle"/>
            <c:size val="5"/>
            <c:spPr>
              <a:solidFill>
                <a:srgbClr val="2A78D6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Sheet1!$E$2:$E$6</c:f>
              <c:numCache>
                <c:formatCode>0.00</c:formatCode>
                <c:ptCount val="5"/>
                <c:pt idx="0">
                  <c:v>2.92</c:v>
                </c:pt>
                <c:pt idx="1">
                  <c:v>2.81</c:v>
                </c:pt>
                <c:pt idx="2">
                  <c:v>2.91</c:v>
                </c:pt>
                <c:pt idx="3">
                  <c:v>2.72</c:v>
                </c:pt>
                <c:pt idx="4">
                  <c:v>2.81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“Mikrokreditbank”</c:v>
                </c:pt>
              </c:strCache>
            </c:strRef>
          </c:tx>
          <c:spPr>
            <a:ln w="28575">
              <a:solidFill>
                <a:srgbClr val="EB6834"/>
              </a:solidFill>
            </a:ln>
          </c:spPr>
          <c:marker>
            <c:symbol val="circle"/>
            <c:size val="5"/>
            <c:spPr>
              <a:solidFill>
                <a:srgbClr val="EB6834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Sheet1!$F$2:$F$6</c:f>
              <c:numCache>
                <c:formatCode>0.00</c:formatCode>
                <c:ptCount val="5"/>
                <c:pt idx="0">
                  <c:v>2.18</c:v>
                </c:pt>
                <c:pt idx="1">
                  <c:v>2.31</c:v>
                </c:pt>
                <c:pt idx="2">
                  <c:v>2.22</c:v>
                </c:pt>
                <c:pt idx="3">
                  <c:v>2.25</c:v>
                </c:pt>
                <c:pt idx="4">
                  <c:v>2.47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“Aloqabank” (tanlanmadan tashqari)</c:v>
                </c:pt>
              </c:strCache>
            </c:strRef>
          </c:tx>
          <c:spPr>
            <a:ln w="28575">
              <a:solidFill>
                <a:srgbClr val="00A3A3"/>
              </a:solidFill>
              <a:prstDash val="dash"/>
            </a:ln>
          </c:spPr>
          <c:marker>
            <c:symbol val="circle"/>
            <c:size val="5"/>
            <c:spPr>
              <a:solidFill>
                <a:srgbClr val="00A3A3"/>
              </a:solidFill>
              <a:ln>
                <a:noFill/>
              </a:ln>
            </c:spPr>
          </c:marker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Sheet1!$G$2:$G$6</c:f>
              <c:numCache>
                <c:formatCode>0.00</c:formatCode>
                <c:ptCount val="5"/>
                <c:pt idx="0">
                  <c:v>3.01</c:v>
                </c:pt>
                <c:pt idx="1">
                  <c:v>2.97</c:v>
                </c:pt>
                <c:pt idx="2">
                  <c:v>3.17</c:v>
                </c:pt>
                <c:pt idx="3">
                  <c:v>3.1</c:v>
                </c:pt>
                <c:pt idx="4">
                  <c:v>2.78</c:v>
                </c:pt>
              </c:numCache>
            </c:numRef>
          </c:val>
          <c:smooth val="0"/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I va II sinflar chegarasi</c:v>
                </c:pt>
              </c:strCache>
            </c:strRef>
          </c:tx>
          <c:spPr>
            <a:ln w="19050">
              <a:solidFill>
                <a:srgbClr val="C00000"/>
              </a:solidFill>
              <a:prstDash val="sysDash"/>
            </a:ln>
          </c:spPr>
          <c:marker>
            <c:symbol val="none"/>
          </c:marker>
          <c:dLbls>
            <c:dLbl>
              <c:idx val="2"/>
              <c:layout>
                <c:manualLayout>
                  <c:x val="0"/>
                  <c:y val="-0.10"/>
                </c:manualLayout>
              </c:layout>
              <c:tx>
                <c:rich>
                  <a:bodyPr wrap="none"/>
                  <a:lstStyle/>
                  <a:p>
                    <a:pPr>
                      <a:defRPr sz="105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rPr>
                      <a:t>I va II sinflar chegarasi (3,25)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Sheet1!$H$2:$H$6</c:f>
              <c:numCache>
                <c:formatCode>0.00</c:formatCode>
                <c:ptCount val="5"/>
                <c:pt idx="0">
                  <c:v>3.25</c:v>
                </c:pt>
                <c:pt idx="1">
                  <c:v>3.25</c:v>
                </c:pt>
                <c:pt idx="2">
                  <c:v>3.25</c:v>
                </c:pt>
                <c:pt idx="3">
                  <c:v>3.25</c:v>
                </c:pt>
                <c:pt idx="4">
                  <c:v>3.25</c:v>
                </c:pt>
              </c:numCache>
            </c:numRef>
          </c:val>
          <c:smooth val="0"/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II va III sinflar chegarasi</c:v>
                </c:pt>
              </c:strCache>
            </c:strRef>
          </c:tx>
          <c:spPr>
            <a:ln w="19050">
              <a:solidFill>
                <a:srgbClr val="C00000"/>
              </a:solidFill>
              <a:prstDash val="sysDash"/>
            </a:ln>
          </c:spPr>
          <c:marker>
            <c:symbol val="none"/>
          </c:marker>
          <c:dLbls>
            <c:dLbl>
              <c:idx val="2"/>
              <c:layout>
                <c:manualLayout>
                  <c:x val="-0.06"/>
                  <c:y val="0"/>
                </c:manualLayout>
              </c:layout>
              <c:tx>
                <c:rich>
                  <a:bodyPr wrap="none"/>
                  <a:lstStyle/>
                  <a:p>
                    <a:pPr>
                      <a:defRPr sz="105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50" b="1">
                        <a:solidFill>
                          <a:srgbClr val="C00000"/>
                        </a:solidFill>
                        <a:latin typeface="Times New Roman"/>
                        <a:cs typeface="Times New Roman"/>
                      </a:rPr>
                      <a:t>II va III sinflar chegarasi (2,50)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Sheet1!$I$2:$I$6</c:f>
              <c:numCache>
                <c:formatCode>0.00</c:formatCode>
                <c:ptCount val="5"/>
                <c:pt idx="0">
                  <c:v>2.5</c:v>
                </c:pt>
                <c:pt idx="1">
                  <c:v>2.5</c:v>
                </c:pt>
                <c:pt idx="2">
                  <c:v>2.5</c:v>
                </c:pt>
                <c:pt idx="3">
                  <c:v>2.5</c:v>
                </c:pt>
                <c:pt idx="4">
                  <c:v>2.5</c:v>
                </c:pt>
              </c:numCache>
            </c:numRef>
          </c:val>
          <c:smooth val="0"/>
        </c:ser>
        <c:marker val="1"/>
        <c:axId val="111"/>
        <c:axId val="222"/>
      </c:line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3.75"/>
          <c:min val="1.75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ball</a:t>
                </a:r>
              </a:p>
            </c:rich>
          </c:tx>
          <c:overlay val="0"/>
        </c:title>
        <c:numFmt formatCode="0.00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0.25"/>
      </c:valAx>
      <c:spPr>
        <a:noFill/>
        <a:ln>
          <a:noFill/>
        </a:ln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