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8bb33230dba9cc73d2a179f2e9c4e2d3e6d1ead"/>
    <w:p>
      <w:pPr>
        <w:pStyle w:val="Heading1"/>
        <w:keepNext/>
        <w:spacing w:line="360" w:lineRule="auto" w:before="240" w:after="120"/>
        <w:ind w:firstLine="0"/>
        <w:jc w:val="center"/>
      </w:pPr>
      <w:r>
        <w:rPr>
          <w:rFonts w:ascii="Times New Roman" w:hAnsi="Times New Roman" w:cs="Times New Roman" w:eastAsia="Times New Roman"/>
          <w:b/>
          <w:i w:val="0"/>
          <w:sz w:val="28"/>
        </w:rPr>
        <w:t xml:space="preserve">Mavzuga yaqin dissertatsiyalar va avtoreferatlar tahlili</w:t>
      </w:r>
    </w:p>
    <w:p>
      <w:pPr>
        <w:pStyle w:val="FirstParagraph"/>
        <w:spacing w:line="360" w:lineRule="auto" w:before="0" w:after="0"/>
        <w:ind w:firstLine="709"/>
        <w:jc w:val="both"/>
      </w:pPr>
      <w:r>
        <w:rPr>
          <w:rFonts w:ascii="Times New Roman" w:hAnsi="Times New Roman" w:cs="Times New Roman" w:eastAsia="Times New Roman"/>
          <w:sz w:val="28"/>
        </w:rPr>
        <w:t xml:space="preserve">Ushbu material «Tijorat banklari moliyaviy barqarorligini xalqaro standartlar asosida baholash metodologiyasini takomillashtirish» mavzusidagi DSc dissertatsiyasi uchun tayyorlandi. Unda O‘zbekiston Milliy kutubxonasi elektron katalogi (natlib.uz), Toshkent davlat iqtisodiyot universiteti elektron kutubxonasi (ebook.tsue.uz) va ZiyoNET portalida (ziyonet.uz) mavjud bo‘lgan, mavzuga eng yaqin dissertatsiya va avtoreferatlar ko‘rib chiqildi.</w:t>
      </w:r>
    </w:p>
    <w:bookmarkStart w:id="20" w:name="qidiruv-natijalari"/>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 Qidiruv natijalari</w:t>
      </w:r>
    </w:p>
    <w:p>
      <w:pPr>
        <w:pStyle w:val="FirstParagraph"/>
        <w:spacing w:line="360" w:lineRule="auto" w:before="0" w:after="0"/>
        <w:ind w:firstLine="709"/>
        <w:jc w:val="both"/>
      </w:pPr>
      <w:r>
        <w:rPr>
          <w:rFonts w:ascii="Times New Roman" w:hAnsi="Times New Roman" w:cs="Times New Roman" w:eastAsia="Times New Roman"/>
          <w:sz w:val="28"/>
        </w:rPr>
        <w:t xml:space="preserve">Milliy kutubxona katalogida «bank» kalit so‘zi bo‘yicha 79 ta dissertatsiya va 387 ta avtoreferat mavjud. Ulardan mavzuga bevosita aloqadorlari quyidagi jadvalda keltirildi.</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510"/>
        <w:gridCol w:w="2041"/>
        <w:gridCol w:w="4139"/>
        <w:gridCol w:w="2664"/>
      </w:tblGrid>
      <w:tr>
        <w:trPr>
          <w:tblHeader w:val="true"/>
          <w:cantSplit/>
          <w:tblHeader/>
        </w:trPr>
        <w:tc>
          <w:tcPr>
            <w:tcW w:type="dxa" w:w="51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 yil, daraja</w:t>
            </w:r>
          </w:p>
        </w:tc>
        <w:tc>
          <w:tcPr>
            <w:tcW w:type="dxa" w:w="413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Mavzu</w:t>
            </w:r>
          </w:p>
        </w:tc>
        <w:tc>
          <w:tcPr>
            <w:tcW w:type="dxa" w:w="266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Matn mavjudligi</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Sattarov O.B., 2018, DSc</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O‘zbekiston Respublikasi bank tizimi barqarorligini ta’minlash metodologiyasini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 (onlayn ko‘ruvchi orqali); ochiq PDF topilmadi</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2</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Xolov N.Q., 2025, DSc</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 barqarorligini mustahkamlash metodologiyasini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faqat muqova va mundarija</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3</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Bozorov R.X., 2020,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 moliyaviy barqarorligini ta’minlashni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faqat muqova va mundarija</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4</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Togayev S.S., 2022,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banklarining moliyaviy barqarorligini ta’minlash yo‘llari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muqova, mundarija va kirish boshi</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5</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Axmedov S.S., 2024,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 barqarorligini ta’minlashning moliyaviy strategiyalari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faqat muqova</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6</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Xidirov M.A., 2026,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 kredit faoliyatini takomillashtirish orqali ularning moliyaviy barqarorligini ta’minlash yo‘llari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ZiyoNET: to‘liq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7</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Gadoyev S.J., 2020,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banklarida likvidlilik riskini boshqarishni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to‘liq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8</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Sheraliyev A.X., 2025,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banklarining rentabelligini ta’minlash yo‘llari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ZiyoNET: to‘liq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9</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Voxidov O.R., 2024,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O‘zbekiston Respublikasi tijorat banklari resurs bazasini mustahkamlash yo‘llari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to‘liq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Sarimov Sh.S., 2025,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banklarining resurs bazasi barqarorligini ta’minlash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ebook.tsue.uz: to‘liq dissertatsiya</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Berdiyarov B.T., 2020, DSc</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O‘zbekiston Respublikasi tijorat banklarining likvidliligi va to‘lov qobiliyatini ta’minlash masalalari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 ochiq PDF topilmadi</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12</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Abdullayev A.A., DSc</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banklarining likvidlilik darajasini oshirish metodologiyasini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Karabayev N.A., 2018, PhD</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 faoliyatini reyting tizimi asosida baholashni takomillashtirish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Mahmudaliyeva Yo.A., 2001, nomzodlik</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Tijorat banklarining moliyaviy barqarorligi va uni baholash</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 (avtoreferat)</w:t>
            </w:r>
          </w:p>
        </w:tc>
      </w:tr>
      <w:tr>
        <w:trPr>
          <w:cantSplit/>
        </w:trPr>
        <w:tc>
          <w:tcPr>
            <w:tcW w:type="dxa" w:w="510"/>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Ermatov M.K., nomzodlik</w:t>
            </w:r>
          </w:p>
        </w:tc>
        <w:tc>
          <w:tcPr>
            <w:tcW w:type="dxa" w:w="4139"/>
          </w:tcPr>
          <w:p>
            <w:pPr>
              <w:pStyle w:val="Compact"/>
              <w:spacing w:line="240" w:lineRule="auto"/>
              <w:ind w:firstLine="0"/>
              <w:jc w:val="left"/>
            </w:pPr>
            <w:r>
              <w:rPr>
                <w:rFonts w:ascii="Times New Roman" w:hAnsi="Times New Roman" w:cs="Times New Roman" w:eastAsia="Times New Roman"/>
                <w:sz w:val="22"/>
              </w:rPr>
              <w:t xml:space="preserve">CAMEL reyting tizimi va bank auditini takomillashtirish muammolari</w:t>
            </w:r>
          </w:p>
        </w:tc>
        <w:tc>
          <w:tcPr>
            <w:tcW w:type="dxa" w:w="2665"/>
          </w:tcPr>
          <w:p>
            <w:pPr>
              <w:pStyle w:val="Compact"/>
              <w:spacing w:line="240" w:lineRule="auto"/>
              <w:ind w:firstLine="0"/>
              <w:jc w:val="left"/>
            </w:pPr>
            <w:r>
              <w:rPr>
                <w:rFonts w:ascii="Times New Roman" w:hAnsi="Times New Roman" w:cs="Times New Roman" w:eastAsia="Times New Roman"/>
                <w:sz w:val="22"/>
              </w:rPr>
              <w:t xml:space="preserve">Milliy kutubxonada (avtoreferat)</w:t>
            </w:r>
          </w:p>
        </w:tc>
      </w:tr>
    </w:tbl>
    <w:p>
      <w:pPr>
        <w:pStyle w:val="BodyText"/>
        <w:spacing w:line="360" w:lineRule="auto" w:before="0" w:after="0"/>
        <w:ind w:firstLine="709"/>
        <w:jc w:val="both"/>
      </w:pPr>
      <w:r>
        <w:rPr>
          <w:rFonts w:ascii="Times New Roman" w:hAnsi="Times New Roman" w:cs="Times New Roman" w:eastAsia="Times New Roman"/>
          <w:sz w:val="28"/>
        </w:rPr>
        <w:t xml:space="preserve">Izoh: Milliy kutubxonadagi to‘liq matnlar faqat sayt ichidagi onlayn ko‘ruvchi orqali ochiladi; ushbu ish muhitidan bu ko‘ruvchiga ulanib bo‘lmadi. Shu sababli 1, 11–15-ishlarning mazmuni nomi va boshqa mualliflarning havolalari asosida baholandi. Ularni kutubxona saytida bevosita ko‘rib chiqish tavsiya etiladi.</w:t>
      </w:r>
    </w:p>
    <w:bookmarkEnd w:id="20"/>
    <w:bookmarkStart w:id="26" w:name="toliq-matni-oqilgan-ishlarning-mazmuni"/>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 To‘liq matni o‘qilgan ishlarning mazmuni</w:t>
      </w:r>
    </w:p>
    <w:bookmarkStart w:id="21" w:name="xidirov-m.a.-2026-phd"/>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2.1. Xidirov M.A. (2026, PhD)</w:t>
      </w:r>
    </w:p>
    <w:p>
      <w:pPr>
        <w:pStyle w:val="FirstParagraph"/>
        <w:spacing w:line="360" w:lineRule="auto" w:before="0" w:after="0"/>
        <w:ind w:firstLine="709"/>
        <w:jc w:val="both"/>
      </w:pPr>
      <w:r>
        <w:rPr>
          <w:rFonts w:ascii="Times New Roman" w:hAnsi="Times New Roman" w:cs="Times New Roman" w:eastAsia="Times New Roman"/>
          <w:sz w:val="28"/>
        </w:rPr>
        <w:t xml:space="preserve">Tadqiqot maqsadi – moliyaviy barqarorlikni ta’minlashga yo‘naltirilgan kredit faoliyatini takomillashtirish. Ilmiy yangiliklari: kredit portfelidagi «substandart» kreditlar ulushini maqbul maksimal chegaradan oshirmasdan boshqarish orqali rentabellikni ta’minlash; davlat ulushi mavjud banklarda depozitlarning aktivlarga nisbatini oshirish; imtiyozli kreditlar ulushi va passivlardagi kredit majburiyatlari o‘rtasidagi mutanosiblik; mijoz va birgalikdagi qarz oluvchilarning kafillik majburiyatlarini hisobga olgan holda kredit yukini hisoblash. Xulosalarda kredit faoliyati samaradorligini «ehtimoliy zararlarni baholash xarajatlari / kreditlar bo‘yicha foizli daromadlar» ko‘rsatkichi bilan o‘lchash taklif etilgan, ICBC va Sberbank tajribasi tahlil qilingan.</w:t>
      </w:r>
    </w:p>
    <w:p>
      <w:pPr>
        <w:pStyle w:val="BodyText"/>
        <w:spacing w:line="360" w:lineRule="auto" w:before="0" w:after="0"/>
        <w:ind w:firstLine="709"/>
        <w:jc w:val="both"/>
      </w:pPr>
      <w:r>
        <w:rPr>
          <w:rFonts w:ascii="Times New Roman" w:hAnsi="Times New Roman" w:cs="Times New Roman" w:eastAsia="Times New Roman"/>
          <w:sz w:val="28"/>
        </w:rPr>
        <w:t xml:space="preserve">Dissertatsiya uchun ahamiyati: 2.2-§ dagi substandart kreditlar ulushining keskin o‘sishi (SQB da 6,2 foizdan 18,4 foizgacha) haqidagi xulosani boshqa muallif ham muammo sifatida qayd etganini ko‘rsatish mumkin. Biroq Xidirov substandart kreditlarni rentabellik nuqtai nazaridan ko‘radi, bizning ishda esa ular MHXS 9 bo‘yicha 2-bosqich bilan solishtiriladi va yashirin kredit riski sifatida baholanadi – bu farqni ta’kidlash lozim.</w:t>
      </w:r>
    </w:p>
    <w:bookmarkEnd w:id="21"/>
    <w:bookmarkStart w:id="22" w:name="gadoyev-s.j.-2020-phd"/>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2.2. Gadoyev S.J. (2020, PhD)</w:t>
      </w:r>
    </w:p>
    <w:p>
      <w:pPr>
        <w:pStyle w:val="FirstParagraph"/>
        <w:spacing w:line="360" w:lineRule="auto" w:before="0" w:after="0"/>
        <w:ind w:firstLine="709"/>
        <w:jc w:val="both"/>
      </w:pPr>
      <w:r>
        <w:rPr>
          <w:rFonts w:ascii="Times New Roman" w:hAnsi="Times New Roman" w:cs="Times New Roman" w:eastAsia="Times New Roman"/>
          <w:sz w:val="28"/>
        </w:rPr>
        <w:t xml:space="preserve">Obyekt – SQB, Asakabank, Qishloq qurilish bank va Turonbank. Ilmiy yangiliklari: muddati o‘tgan kreditlarning chegaraviy darajasi, zaxira talablari va joriy likvidlilik me’yori bilan bog‘liq aktiv-passiv muddatlari mutanosibligi; talab qilib olinadigan depozitlar barqaror qoldig‘ini yuqori likvidli qimmatli qog‘ozlarga yo‘naltirish; lahzali likvidlilik koeffitsiyentining 0,20 dan past bo‘lmasligi. Kirish qismida muallif O‘zbekistonda «Bazel qo‘mitasining kapital va qarz majburiyatlari o‘rtasidagi nisbat bo‘yicha talablari joriy etilmaganini» qayd etgan. Tahlil 2014–2018-yillarni qamrab olgan.</w:t>
      </w:r>
    </w:p>
    <w:p>
      <w:pPr>
        <w:pStyle w:val="BodyText"/>
        <w:spacing w:line="360" w:lineRule="auto" w:before="0" w:after="0"/>
        <w:ind w:firstLine="709"/>
        <w:jc w:val="both"/>
      </w:pPr>
      <w:r>
        <w:rPr>
          <w:rFonts w:ascii="Times New Roman" w:hAnsi="Times New Roman" w:cs="Times New Roman" w:eastAsia="Times New Roman"/>
          <w:sz w:val="28"/>
        </w:rPr>
        <w:t xml:space="preserve">Dissertatsiya uchun ahamiyati: 1.1- yoki 2.1-§ da milliy olimlar ichida likvidlilik masalasi faqat milliy me’yorlar (joriy va lahzali likvidlilik) doirasida o‘rganilganini, LCR va NSFR ning milliy va xalqaro metodikalardagi farqlari esa tadqiq etilmaganini ko‘rsatish uchun foydalanish mumkin.</w:t>
      </w:r>
    </w:p>
    <w:bookmarkEnd w:id="22"/>
    <w:bookmarkStart w:id="23" w:name="sheraliyev-a.x.-2025-phd"/>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2.3. Sheraliyev A.X. (2025, PhD)</w:t>
      </w:r>
    </w:p>
    <w:p>
      <w:pPr>
        <w:pStyle w:val="FirstParagraph"/>
        <w:spacing w:line="360" w:lineRule="auto" w:before="0" w:after="0"/>
        <w:ind w:firstLine="709"/>
        <w:jc w:val="both"/>
      </w:pPr>
      <w:r>
        <w:rPr>
          <w:rFonts w:ascii="Times New Roman" w:hAnsi="Times New Roman" w:cs="Times New Roman" w:eastAsia="Times New Roman"/>
          <w:sz w:val="28"/>
        </w:rPr>
        <w:t xml:space="preserve">Ilmiy yangiliklari: bank biznes-modeli, risk-appetiti va kapital talablarini hisobga olgan holda sof foydaning riskka tortilgan aktivlarga nisbatining «maqsad qiymati»ni belgilash (RoRWA); erta ogohlantirish tizimlari orqali kredit tannarxini kamaytirish; sof foizli marjani oshirish; qo‘shimcha aksiyalar emissiyasi va qarzni kapitalga konvertatsiya qilish orqali birinchi darajali kapitalni ko‘paytirish. Xarajatlar/daromadlar koeffitsiyentining me’yoriy darajasi 0,45 deb taklif etilgan.</w:t>
      </w:r>
    </w:p>
    <w:p>
      <w:pPr>
        <w:pStyle w:val="BodyText"/>
        <w:spacing w:line="360" w:lineRule="auto" w:before="0" w:after="0"/>
        <w:ind w:firstLine="709"/>
        <w:jc w:val="both"/>
      </w:pPr>
      <w:r>
        <w:rPr>
          <w:rFonts w:ascii="Times New Roman" w:hAnsi="Times New Roman" w:cs="Times New Roman" w:eastAsia="Times New Roman"/>
          <w:sz w:val="28"/>
        </w:rPr>
        <w:t xml:space="preserve">Dissertatsiya uchun ahamiyati: 2.2-§ da daromadlilik bo‘yicha (ROA, ROE, xarajatlar/daromadlar) tahlilda solishtirma mezon sifatida foydalanish mumkin; bank tizimida foizsiz xarajatlarning yalpi daromaddagi ulushi 2025-yilda 52,3 foiz bo‘lganini Sheraliyev taklif qilgan 0,45 lik xarajatlar/daromadlar me’yori bilan taqqoslash mumkin (ko‘rsatkichlar ta’rifi bir xil emasligini izohda ko‘rsatgan holda).</w:t>
      </w:r>
    </w:p>
    <w:bookmarkEnd w:id="23"/>
    <w:bookmarkStart w:id="24" w:name="voxidov-o.r.-2024-phd"/>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2.4. Voxidov O.R. (2024, PhD)</w:t>
      </w:r>
    </w:p>
    <w:p>
      <w:pPr>
        <w:pStyle w:val="FirstParagraph"/>
        <w:spacing w:line="360" w:lineRule="auto" w:before="0" w:after="0"/>
        <w:ind w:firstLine="709"/>
        <w:jc w:val="both"/>
      </w:pPr>
      <w:r>
        <w:rPr>
          <w:rFonts w:ascii="Times New Roman" w:hAnsi="Times New Roman" w:cs="Times New Roman" w:eastAsia="Times New Roman"/>
          <w:sz w:val="28"/>
        </w:rPr>
        <w:t xml:space="preserve">Ilmiy yangiliklari: depozit foiz instrumenti ta’sirchanligi orqali barqaror resurslar ulushini oshirish; «yashil obligatsiya» chiqarish; strukturaviy vektorli avtoregressiya (SVAR) modeli; SQB depozitlari bo‘yicha 2027-yilgacha prognoz. Amaliy natijalar: qayta moliyalash stavkasining 1 foizga oshishi SQB qisqa muddatli depozitlari foizini 0,42 foizga, pul bozori stavkasining 1 foizga oshishi esa 0,22 foizga oshiradi.</w:t>
      </w:r>
    </w:p>
    <w:p>
      <w:pPr>
        <w:pStyle w:val="BodyText"/>
        <w:spacing w:line="360" w:lineRule="auto" w:before="0" w:after="0"/>
        <w:ind w:firstLine="709"/>
        <w:jc w:val="both"/>
      </w:pPr>
      <w:r>
        <w:rPr>
          <w:rFonts w:ascii="Times New Roman" w:hAnsi="Times New Roman" w:cs="Times New Roman" w:eastAsia="Times New Roman"/>
          <w:sz w:val="28"/>
        </w:rPr>
        <w:t xml:space="preserve">Dissertatsiya uchun ahamiyati: SQB bo‘yicha boshqa tadqiqot natijasi sifatida, ayniqsa bankning depozitlarga nisbatan kreditlar darajasi yuqoriligi (206,5 foiz) va tashqi qarzlarga bog‘liqligi haqidagi xulosaga qo‘shimcha dalil sifatida keltirish mumkin.</w:t>
      </w:r>
    </w:p>
    <w:bookmarkEnd w:id="24"/>
    <w:bookmarkStart w:id="25" w:name="Xe680365da803832d559f9a070ffbbb8a62340bf"/>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2.5. Sarimov Sh.S. (2025, PhD, to‘liq dissertatsiya)</w:t>
      </w:r>
    </w:p>
    <w:p>
      <w:pPr>
        <w:pStyle w:val="FirstParagraph"/>
        <w:spacing w:line="360" w:lineRule="auto" w:before="0" w:after="0"/>
        <w:ind w:firstLine="709"/>
        <w:jc w:val="both"/>
      </w:pPr>
      <w:r>
        <w:rPr>
          <w:rFonts w:ascii="Times New Roman" w:hAnsi="Times New Roman" w:cs="Times New Roman" w:eastAsia="Times New Roman"/>
          <w:sz w:val="28"/>
        </w:rPr>
        <w:t xml:space="preserve">Ilmiy yangiliklari: resurs bazasi stress-testi uchun boshqa banklarga joylashtirilgan depozitlarning 20 foizi (pessimistik), 25 foizi (kritik) va 30 foizi (katastrofik) qaytarib olinishi ssenariylari; uchta yirik mijoz mablag‘lari olib chiqilishining bir omilli ssenariysi. Amaliyotga joriy etilgan takliflar: birinchi darajali kapital koeffitsiyenti 12,5 foizdan, asosiy kapital koeffitsiyenti 9 foizdan pasayganda risk-appetitning «ogohlantirish» toifasi; likvidlilik me’yoriga 5 foiz punktga yaqinlashganda 3 oylik dinamikani tahlil qilish.</w:t>
      </w:r>
    </w:p>
    <w:p>
      <w:pPr>
        <w:pStyle w:val="BodyText"/>
        <w:spacing w:line="360" w:lineRule="auto" w:before="0" w:after="0"/>
        <w:ind w:firstLine="709"/>
        <w:jc w:val="both"/>
      </w:pPr>
      <w:r>
        <w:rPr>
          <w:rFonts w:ascii="Times New Roman" w:hAnsi="Times New Roman" w:cs="Times New Roman" w:eastAsia="Times New Roman"/>
          <w:sz w:val="28"/>
        </w:rPr>
        <w:t xml:space="preserve">Dissertatsiya uchun ahamiyati: Sarimov boshqa banklardagi depozitlarni stress ssenariysiga kiritgan. Bizning ishda esa 2709-son nizomda boshqa banklardagi depozitlar yuqori likvidli aktivlarga qo‘shilishi (SQB da yuqori likvidli aktivlarning 30,9 foizi) Bazel III dan asosiy farq sifatida aniqlangan. Bu ikki xulosa bir-birini to‘ldiradi va 2.1-§ da birga keltirilishi mumkin. SQB uchun risk-appetit chegaralari (birinchi darajali kapital 12,5 foiz, asosiy kapital 9 foiz) esa 2025-yildagi asosiy kapital koeffitsiyenti 10,2 foiz bo‘lganini baholashda foydali.</w:t>
      </w:r>
    </w:p>
    <w:bookmarkEnd w:id="25"/>
    <w:bookmarkEnd w:id="26"/>
    <w:bookmarkStart w:id="30" w:name="Xae9a684fb22cfb98150fef91bc5424acfa2087d"/>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 To‘liq matni olinmagan, lekin eng yaqin ishlar</w:t>
      </w:r>
    </w:p>
    <w:bookmarkStart w:id="27" w:name="Xbdeb3a0aff1d9a5e8c43a18ef908d336f3dde2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3.1. Xolov N.Q. (2025, DSc) – eng yaqin raqobatchi ish</w:t>
      </w:r>
    </w:p>
    <w:p>
      <w:pPr>
        <w:pStyle w:val="FirstParagraph"/>
        <w:spacing w:line="360" w:lineRule="auto" w:before="0" w:after="0"/>
        <w:ind w:firstLine="709"/>
        <w:jc w:val="both"/>
      </w:pPr>
      <w:r>
        <w:rPr>
          <w:rFonts w:ascii="Times New Roman" w:hAnsi="Times New Roman" w:cs="Times New Roman" w:eastAsia="Times New Roman"/>
          <w:sz w:val="28"/>
        </w:rPr>
        <w:t xml:space="preserve">Mundarijasiga ko‘ra ish to‘rt bobdan iborat: tijorat banklari tizimi barqarorligining nazariy asoslari; barqarorlikni reyting tizimi asosida baholash usullari va xorij tajribasi; barqarorlik reytingiga ta’sir qiluvchi moliyaviy ko‘rsatkichlar va ekonometrik tahlil; Yevropa mamlakatlari tajribasi; reyting tizimi asosida baholashni takomillashtirish va bank tizimi barqarorligini ta’minlash metodologiyasi.</w:t>
      </w:r>
    </w:p>
    <w:p>
      <w:pPr>
        <w:pStyle w:val="BodyText"/>
        <w:spacing w:line="360" w:lineRule="auto" w:before="0" w:after="0"/>
        <w:ind w:firstLine="709"/>
        <w:jc w:val="both"/>
      </w:pPr>
      <w:r>
        <w:rPr>
          <w:rFonts w:ascii="Times New Roman" w:hAnsi="Times New Roman" w:cs="Times New Roman" w:eastAsia="Times New Roman"/>
          <w:sz w:val="28"/>
        </w:rPr>
        <w:t xml:space="preserve">Farqlanish: Xolov ishining asosiy yo‘nalishi – reyting tizimi va ekonometrik baholash. Bizning ishning yangiligi xalqaro standartlar (Bazel III, MHXS 9, XVJ moliyaviy barqarorlik ko‘rsatkichlari) asosida baholash, milliy va xalqaro metodikalar o‘rtasidagi farqlarni miqdoriy aniqlash (sof barqaror moliyalashtirish me’yorining to‘rt varianti, MHXS 9 bosqichlari va rasmiy muammoli kreditlar solishtiruvi) bilan belgilanadi. Ushbu farqni kirish qismida «Muammoning o‘rganilganlik darajasi» bo‘limida aniq yozish zarur.</w:t>
      </w:r>
    </w:p>
    <w:bookmarkEnd w:id="27"/>
    <w:bookmarkStart w:id="28" w:name="sattarov-o.b.-2018-dsc"/>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3.2. Sattarov O.B. (2018, DSc)</w:t>
      </w:r>
    </w:p>
    <w:p>
      <w:pPr>
        <w:pStyle w:val="FirstParagraph"/>
        <w:spacing w:line="360" w:lineRule="auto" w:before="0" w:after="0"/>
        <w:ind w:firstLine="709"/>
        <w:jc w:val="both"/>
      </w:pPr>
      <w:r>
        <w:rPr>
          <w:rFonts w:ascii="Times New Roman" w:hAnsi="Times New Roman" w:cs="Times New Roman" w:eastAsia="Times New Roman"/>
          <w:sz w:val="28"/>
        </w:rPr>
        <w:t xml:space="preserve">Bank tizimi barqarorligini ta’minlash metodologiyasi bo‘yicha birinchi yirik ish. Muallifning 2015-yildagi «Bazel qo‘mitasining bank nazoratiga oid yangi talablari va ularni O‘zbekistonda qo‘llash imkoniyatlari» maqolasi ham mavjud. Bizning ish uchun asosiy farq: Sattarov Bazel III ni joriy etish boshlanishidan oldingi davrni o‘rgangan, bizning ishda esa 2015–2025-yillarda amalga oshirilgan islohotlar natijalari va MHXS 9 ga o‘tish ta’siri tahlil qilinadi.</w:t>
      </w:r>
    </w:p>
    <w:bookmarkEnd w:id="28"/>
    <w:bookmarkStart w:id="29" w:name="X35e5d9cf68c04ccba48b7aada4cc987c5becf70"/>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3.3. Bozorov R.X. (2020, PhD) va Togayev S.S. (2022, PhD)</w:t>
      </w:r>
    </w:p>
    <w:p>
      <w:pPr>
        <w:pStyle w:val="FirstParagraph"/>
        <w:spacing w:line="360" w:lineRule="auto" w:before="0" w:after="0"/>
        <w:ind w:firstLine="709"/>
        <w:jc w:val="both"/>
      </w:pPr>
      <w:r>
        <w:rPr>
          <w:rFonts w:ascii="Times New Roman" w:hAnsi="Times New Roman" w:cs="Times New Roman" w:eastAsia="Times New Roman"/>
          <w:sz w:val="28"/>
        </w:rPr>
        <w:t xml:space="preserve">Har ikki ishda moliyaviy barqarorlikning nazariy asoslari, baholash metodologiyasi, ta’sir etuvchi omillar, xorij tajribasi va ekonometrik tahlil o‘rganilgan. Mundarijalariga ko‘ra ularda xalqaro standartlar alohida yo‘nalish sifatida ajratilmagan.</w:t>
      </w:r>
    </w:p>
    <w:bookmarkEnd w:id="29"/>
    <w:bookmarkEnd w:id="30"/>
    <w:bookmarkStart w:id="31" w:name="dissertatsiya-uchun-xulosa-va-takliflar"/>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 Dissertatsiya uchun xulosa va takliflar</w:t>
      </w:r>
    </w:p>
    <w:p>
      <w:pPr>
        <w:pStyle w:val="FirstParagraph"/>
        <w:spacing w:line="360" w:lineRule="auto" w:before="0" w:after="0"/>
        <w:ind w:firstLine="709"/>
        <w:jc w:val="both"/>
      </w:pPr>
      <w:r>
        <w:rPr>
          <w:rFonts w:ascii="Times New Roman" w:hAnsi="Times New Roman" w:cs="Times New Roman" w:eastAsia="Times New Roman"/>
          <w:sz w:val="28"/>
        </w:rPr>
        <w:t xml:space="preserve">Birinchidan, O‘zbekistonda tijorat banklari moliyaviy barqarorligi bo‘yicha himoya qilingan ishlarning aksariyati barqarorlikni ta’minlash yo‘llari (kredit, depozit, resurs bazasi, rentabellik, likvidlilik) yoki reyting asosida baholash nuqtai nazaridan o‘rganadi. Barqarorlikni xalqaro standartlar asosida baholash, ya’ni milliy hisobot va MHXS, milliy me’yorlar va Bazel III metodikalari o‘rtasidagi farqni miqdoriy aniqlash masalasi alohida tadqiq etilmagan. Bu bizning ishning ilmiy yangiligini asoslashda asosiy dalil bo‘ladi.</w:t>
      </w:r>
    </w:p>
    <w:p>
      <w:pPr>
        <w:pStyle w:val="BodyText"/>
        <w:spacing w:line="360" w:lineRule="auto" w:before="0" w:after="0"/>
        <w:ind w:firstLine="709"/>
        <w:jc w:val="both"/>
      </w:pPr>
      <w:r>
        <w:rPr>
          <w:rFonts w:ascii="Times New Roman" w:hAnsi="Times New Roman" w:cs="Times New Roman" w:eastAsia="Times New Roman"/>
          <w:sz w:val="28"/>
        </w:rPr>
        <w:t xml:space="preserve">Ikkinchidan, 1.1-§ da milliy olimlar qarashlari sifatida Mahmudaliyeva (2001), Sattarov (2018), Bozorov (2020), Togayev (2022), Xolov (2025) va Xidirov (2026) ishlarini qisqacha keltirish, ularning yondashuvlarini «ta’minlash yo‘llari», «reyting asosida baholash» va «xalqaro standartlar asosida baholash» guruhlariga ajratish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Uchinchidan, 2.1- va 2.2-§ larda quyidagi muvofiqliklarni ko‘rsatish mumkin: substandart kreditlar muammosi (Xidirov), boshqa banklardagi depozitlar riski (Sarimov), Bazel talablarining to‘liq joriy etilmaganligi (Gadoyev), SQB depozit bazasi (Voxidov), xarajatlar/daromadlar me’yori (Sheraliyev).</w:t>
      </w:r>
    </w:p>
    <w:p>
      <w:pPr>
        <w:pStyle w:val="BodyText"/>
        <w:spacing w:line="360" w:lineRule="auto" w:before="0" w:after="0"/>
        <w:ind w:firstLine="709"/>
        <w:jc w:val="both"/>
      </w:pPr>
      <w:r>
        <w:rPr>
          <w:rFonts w:ascii="Times New Roman" w:hAnsi="Times New Roman" w:cs="Times New Roman" w:eastAsia="Times New Roman"/>
          <w:sz w:val="28"/>
        </w:rPr>
        <w:t xml:space="preserve">To‘rtinchidan, Xolov N.Q. (2025) ishining to‘liq matnini TDIU axborot-resurs markazidan yoki Milliy kutubxonadan olib, uning metodologiyasi bilan bizning metodologiya o‘rtasidagi farqni aniqroq ko‘rsatish tavsiya etiladi, chunki bu ish mavzu jihatidan eng yaqin va himoyada opponentlar tomonidan albatta solishtiriladi.</w:t>
      </w:r>
    </w:p>
    <w:bookmarkEnd w:id="31"/>
    <w:bookmarkEnd w:id="32"/>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2026-10-11T07:02:38Z</dcterms:created>
  <dcterms:modified xsi:type="dcterms:W3CDTF">2026-10-11T07:02:38Z</dcterms:modified>
</cp:coreProperties>
</file>

<file path=docProps/custom.xml><?xml version="1.0" encoding="utf-8"?>
<Properties xmlns="http://schemas.openxmlformats.org/officeDocument/2006/custom-properties" xmlns:vt="http://schemas.openxmlformats.org/officeDocument/2006/docPropsVTypes"/>
</file>