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01.xml" ContentType="application/vnd.openxmlformats-officedocument.drawingml.chart+xml"/>
  <Override PartName="/word/charts/chart31.xml" ContentType="application/vnd.openxmlformats-officedocument.drawingml.chart+xml"/>
  <Override PartName="/word/charts/chart311.xml" ContentType="application/vnd.openxmlformats-officedocument.drawingml.chart+xml"/>
  <Override PartName="/word/charts/chart312.xml" ContentType="application/vnd.openxmlformats-officedocument.drawingml.chart+xml"/>
  <Override PartName="/word/charts/chart32.xml" ContentType="application/vnd.openxmlformats-officedocument.drawingml.chart+xml"/>
  <Override PartName="/word/charts/chart321.xml" ContentType="application/vnd.openxmlformats-officedocument.drawingml.chart+xml"/>
  <Override PartName="/word/charts/chart322.xml" ContentType="application/vnd.openxmlformats-officedocument.drawingml.chart+xml"/>
  <Override PartName="/word/charts/chart323.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 xml:space="preserve">DENOV TADBIRKORLIK VA PEDAGOGIKA </w:t>
      </w:r>
      <w:r>
        <w:rPr>
          <w:b/>
        </w:rPr>
        <w:t xml:space="preserve">INSTITUTI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jc w:val="both"/>
      </w:pPr>
      <w:r>
        <w:rPr>
          <w:b/>
          <w:sz w:val="26"/>
        </w:rPr>
        <w:t>KIRISH</w:t>
      </w:r>
      <w:r>
        <w:rPr>
          <w:b/>
          <w:sz w:val="26"/>
        </w:rPr>
        <w:tab/>
        <w:t>3</w:t>
      </w:r>
    </w:p>
    <w:p w:rsidR="005603EC" w:rsidRDefault="00AB61AC">
      <w:pPr>
        <w:tabs>
          <w:tab w:val="right" w:leader="dot" w:pos="9354"/>
        </w:tabs>
        <w:spacing w:after="80" w:line="240" w:lineRule="auto"/>
        <w:jc w:val="both"/>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jc w:val="both"/>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jc w:val="both"/>
      </w:pPr>
      <w:r>
        <w:rPr>
          <w:sz w:val="26"/>
        </w:rPr>
        <w:t>1.2-§. Banklar moliyaviy barqarorligini baholashning xalqaro standartlari va metodologik yondashuvlari</w:t>
      </w:r>
      <w:r>
        <w:rPr>
          <w:sz w:val="26"/>
        </w:rPr>
        <w:tab/>
        <w:t>38</w:t>
      </w:r>
    </w:p>
    <w:p w:rsidR="005603EC" w:rsidRDefault="00AB61AC">
      <w:pPr>
        <w:tabs>
          <w:tab w:val="right" w:leader="dot" w:pos="9354"/>
        </w:tabs>
        <w:spacing w:after="80" w:line="240" w:lineRule="auto"/>
        <w:ind w:left="454"/>
        <w:jc w:val="both"/>
      </w:pPr>
      <w:r>
        <w:rPr>
          <w:sz w:val="26"/>
        </w:rPr>
        <w:t>1.3-§. Xorijiy mamlakatlarda banklar moliyaviy barqarorligini tartibga solish va baholash tajribasi</w:t>
      </w:r>
      <w:r>
        <w:rPr>
          <w:sz w:val="26"/>
        </w:rPr>
        <w:tab/>
        <w:t>56</w:t>
      </w:r>
    </w:p>
    <w:p w:rsidR="005603EC" w:rsidRDefault="00AB61AC">
      <w:pPr>
        <w:tabs>
          <w:tab w:val="right" w:leader="dot" w:pos="9354"/>
        </w:tabs>
        <w:spacing w:after="80" w:line="240" w:lineRule="auto"/>
        <w:ind w:left="454"/>
        <w:jc w:val="both"/>
      </w:pPr>
      <w:r>
        <w:rPr>
          <w:sz w:val="26"/>
        </w:rPr>
        <w:t>I bob bo‘yicha xulosalar</w:t>
      </w:r>
      <w:r>
        <w:rPr>
          <w:sz w:val="26"/>
        </w:rPr>
        <w:tab/>
        <w:t>79</w:t>
      </w:r>
    </w:p>
    <w:p w:rsidR="005603EC" w:rsidRDefault="00AB61AC">
      <w:pPr>
        <w:tabs>
          <w:tab w:val="right" w:leader="dot" w:pos="9354"/>
        </w:tabs>
        <w:spacing w:after="80" w:line="240" w:lineRule="auto"/>
        <w:jc w:val="both"/>
      </w:pPr>
      <w:r>
        <w:rPr>
          <w:b/>
          <w:sz w:val="26"/>
        </w:rPr>
        <w:t>II BOB. O‘ZBEKISTON BANK TIZIMIDA MOLIYAVIY BARQARORLIKNI BAHOLASH AMALIYOTINING XALQARO STANDARTLARGA MUVOFIQLIGI TAHLILI</w:t>
      </w:r>
      <w:r>
        <w:rPr>
          <w:b/>
          <w:sz w:val="26"/>
        </w:rPr>
        <w:tab/>
        <w:t>82</w:t>
      </w:r>
    </w:p>
    <w:p w:rsidR="005603EC" w:rsidRDefault="00AB61AC">
      <w:pPr>
        <w:tabs>
          <w:tab w:val="right" w:leader="dot" w:pos="9354"/>
        </w:tabs>
        <w:spacing w:after="80" w:line="240" w:lineRule="auto"/>
        <w:ind w:left="454"/>
        <w:jc w:val="both"/>
      </w:pPr>
      <w:r>
        <w:rPr>
          <w:sz w:val="26"/>
        </w:rPr>
        <w:t xml:space="preserve">2.1-§. </w:t>
      </w:r>
      <w:r>
        <w:rPr>
          <w:sz w:val="26"/>
        </w:rPr>
        <w:t>O‘zbekistonda</w:t>
      </w:r>
      <w:r>
        <w:rPr>
          <w:sz w:val="26"/>
        </w:rPr>
        <w:t xml:space="preserve"> banklar moliyaviy barqarorligini baholashning amaldagi holati va xalqaro standartlarga moslashtirish muammolari</w:t>
      </w:r>
      <w:r>
        <w:rPr>
          <w:sz w:val="26"/>
        </w:rPr>
        <w:tab/>
        <w:t>82</w:t>
      </w:r>
    </w:p>
    <w:p w:rsidR="005603EC" w:rsidRDefault="00AB61AC">
      <w:pPr>
        <w:tabs>
          <w:tab w:val="right" w:leader="dot" w:pos="9354"/>
        </w:tabs>
        <w:spacing w:after="80" w:line="240" w:lineRule="auto"/>
        <w:ind w:left="454"/>
        <w:jc w:val="both"/>
      </w:pPr>
      <w:r>
        <w:rPr>
          <w:sz w:val="26"/>
        </w:rPr>
        <w:t xml:space="preserve">2.2-§. </w:t>
      </w:r>
      <w:r>
        <w:rPr>
          <w:sz w:val="26"/>
        </w:rPr>
        <w:t>O‘zbekiston bank tizimida moliyaviy barqarorlik ko‘rsatkichlari dinamikasining xalqaro standartlar mezonlari bo‘yicha</w:t>
      </w:r>
      <w:r>
        <w:rPr>
          <w:sz w:val="26"/>
        </w:rPr>
        <w:t xml:space="preserve"> tahlili</w:t>
      </w:r>
      <w:r>
        <w:rPr>
          <w:sz w:val="26"/>
        </w:rPr>
        <w:tab/>
        <w:t>94</w:t>
      </w:r>
    </w:p>
    <w:p w:rsidR="005603EC" w:rsidRDefault="00AB61AC">
      <w:pPr>
        <w:tabs>
          <w:tab w:val="right" w:leader="dot" w:pos="9354"/>
        </w:tabs>
        <w:spacing w:after="80" w:line="240" w:lineRule="auto"/>
        <w:ind w:left="454"/>
        <w:jc w:val="both"/>
      </w:pPr>
      <w:r>
        <w:rPr>
          <w:sz w:val="26"/>
        </w:rPr>
        <w:t>2.3-§. Tijorat banklari moliyaviy ko‘rsatkichlarining milliy va MHXS hisobotlari bo‘yicha qiyosiy tahlili</w:t>
      </w:r>
      <w:r>
        <w:rPr>
          <w:sz w:val="26"/>
        </w:rPr>
        <w:tab/>
        <w:t>111</w:t>
      </w:r>
    </w:p>
    <w:p w:rsidR="005603EC" w:rsidRDefault="00AB61AC">
      <w:pPr>
        <w:tabs>
          <w:tab w:val="right" w:leader="dot" w:pos="9354"/>
        </w:tabs>
        <w:spacing w:after="80" w:line="240" w:lineRule="auto"/>
        <w:ind w:left="454"/>
        <w:jc w:val="both"/>
      </w:pPr>
      <w:r>
        <w:rPr>
          <w:sz w:val="26"/>
        </w:rPr>
        <w:t>II bob bo‘yicha xulosalar</w:t>
      </w:r>
      <w:r>
        <w:rPr>
          <w:sz w:val="26"/>
        </w:rPr>
        <w:tab/>
        <w:t>135</w:t>
      </w:r>
    </w:p>
    <w:p w:rsidR="005603EC" w:rsidRDefault="00AB61AC">
      <w:pPr>
        <w:tabs>
          <w:tab w:val="right" w:leader="dot" w:pos="9354"/>
        </w:tabs>
        <w:spacing w:after="80" w:line="240" w:lineRule="auto"/>
        <w:jc w:val="both"/>
      </w:pPr>
      <w:r>
        <w:rPr>
          <w:b/>
          <w:sz w:val="26"/>
        </w:rPr>
        <w:t>III BOB. XALQARO STANDARTLARGA ASOSLANGAN INTEGRAL BAHOLASH METODIKASI VA UNING EKONOMETRIK ASOSLANISHI</w:t>
      </w:r>
      <w:r>
        <w:rPr>
          <w:b/>
          <w:sz w:val="26"/>
        </w:rPr>
        <w:tab/>
        <w:t>138</w:t>
      </w:r>
    </w:p>
    <w:p w:rsidR="005603EC" w:rsidRDefault="00AB61AC">
      <w:pPr>
        <w:tabs>
          <w:tab w:val="right" w:leader="dot" w:pos="9354"/>
        </w:tabs>
        <w:spacing w:after="80" w:line="240" w:lineRule="auto"/>
        <w:ind w:left="454"/>
        <w:jc w:val="both"/>
      </w:pPr>
      <w:r>
        <w:rPr>
          <w:sz w:val="26"/>
        </w:rPr>
        <w:t>3.1-§. Moliyaviy barqarorlikni integral indeks asosida baholashning takomillashtirilgan metodikasi</w:t>
      </w:r>
      <w:r>
        <w:rPr>
          <w:sz w:val="26"/>
        </w:rPr>
        <w:tab/>
        <w:t>138</w:t>
      </w:r>
    </w:p>
    <w:p w:rsidR="005603EC" w:rsidRDefault="00AB61AC">
      <w:pPr>
        <w:tabs>
          <w:tab w:val="right" w:leader="dot" w:pos="9354"/>
        </w:tabs>
        <w:spacing w:after="80" w:line="240" w:lineRule="auto"/>
        <w:ind w:left="454"/>
        <w:jc w:val="both"/>
      </w:pPr>
      <w:r>
        <w:rPr>
          <w:sz w:val="26"/>
        </w:rPr>
        <w:t>3.2-§. Moliyaviy barqarorlik integral indeksining vaznlari va chegaraviy qiymatlarini empirik asoslash</w:t>
      </w:r>
      <w:r>
        <w:rPr>
          <w:sz w:val="26"/>
        </w:rPr>
        <w:tab/>
        <w:t>158</w:t>
      </w:r>
    </w:p>
    <w:p w:rsidR="005603EC" w:rsidRDefault="00AB61AC">
      <w:pPr>
        <w:tabs>
          <w:tab w:val="right" w:leader="dot" w:pos="9354"/>
        </w:tabs>
        <w:spacing w:after="80" w:line="240" w:lineRule="auto"/>
        <w:ind w:left="454"/>
        <w:jc w:val="both"/>
      </w:pPr>
      <w:r>
        <w:rPr>
          <w:sz w:val="26"/>
        </w:rPr>
        <w:t>3.3-§. Tijorat banklari moliyaviy barqarorligiga ta’sir etuvchi omillarning ekonometrik tahlili</w:t>
      </w:r>
      <w:r>
        <w:rPr>
          <w:sz w:val="26"/>
        </w:rPr>
        <w:tab/>
        <w:t>171</w:t>
      </w:r>
    </w:p>
    <w:p w:rsidR="005603EC" w:rsidRDefault="00AB61AC">
      <w:pPr>
        <w:tabs>
          <w:tab w:val="right" w:leader="dot" w:pos="9354"/>
        </w:tabs>
        <w:spacing w:after="80" w:line="240" w:lineRule="auto"/>
        <w:ind w:left="454"/>
        <w:jc w:val="both"/>
      </w:pPr>
      <w:r>
        <w:rPr>
          <w:sz w:val="26"/>
        </w:rPr>
        <w:t>III bob bo‘yicha xulosalar</w:t>
      </w:r>
      <w:r>
        <w:rPr>
          <w:sz w:val="26"/>
        </w:rPr>
        <w:tab/>
        <w:t>190</w:t>
      </w:r>
    </w:p>
    <w:p w:rsidR="005603EC" w:rsidRDefault="00AB61AC">
      <w:pPr>
        <w:tabs>
          <w:tab w:val="right" w:leader="dot" w:pos="9354"/>
        </w:tabs>
        <w:spacing w:after="80" w:line="240" w:lineRule="auto"/>
        <w:jc w:val="both"/>
      </w:pPr>
      <w:r>
        <w:rPr>
          <w:b/>
          <w:sz w:val="26"/>
        </w:rPr>
        <w:t>IV BOB. TIJORAT BANKLARI MOLIYAVIY BARQARORLIGINI BAHOLASH METODOLOGIYASINI TAKOMILLASHTIRISH YO‘NALISHLARI</w:t>
      </w:r>
      <w:r>
        <w:rPr>
          <w:b/>
          <w:sz w:val="26"/>
        </w:rPr>
        <w:tab/>
        <w:t>193</w:t>
      </w:r>
    </w:p>
    <w:p w:rsidR="005603EC" w:rsidRDefault="00AB61AC">
      <w:pPr>
        <w:tabs>
          <w:tab w:val="right" w:leader="dot" w:pos="9354"/>
        </w:tabs>
        <w:spacing w:after="80" w:line="240" w:lineRule="auto"/>
        <w:ind w:left="454"/>
        <w:jc w:val="both"/>
      </w:pPr>
      <w:r>
        <w:rPr>
          <w:sz w:val="26"/>
        </w:rPr>
        <w:t>4.1-§. Banklar moliyaviy barqarorligini erta ogohlantirish tizimini shakllantirish</w:t>
      </w:r>
      <w:r>
        <w:rPr>
          <w:sz w:val="26"/>
        </w:rPr>
        <w:tab/>
        <w:t>193</w:t>
      </w:r>
    </w:p>
    <w:p w:rsidR="005603EC" w:rsidRDefault="00AB61AC">
      <w:pPr>
        <w:tabs>
          <w:tab w:val="right" w:leader="dot" w:pos="9354"/>
        </w:tabs>
        <w:spacing w:after="80" w:line="240" w:lineRule="auto"/>
        <w:ind w:left="454"/>
        <w:jc w:val="both"/>
      </w:pPr>
      <w:r>
        <w:rPr>
          <w:sz w:val="26"/>
        </w:rPr>
        <w:t>4.2-§. Tijorat banklari moliyaviy barqarorligining 2026–2028-yillarga prognozi</w:t>
      </w:r>
      <w:r>
        <w:rPr>
          <w:sz w:val="26"/>
        </w:rPr>
        <w:tab/>
        <w:t>209</w:t>
      </w:r>
    </w:p>
    <w:p w:rsidR="005603EC" w:rsidRDefault="00AB61AC">
      <w:pPr>
        <w:tabs>
          <w:tab w:val="right" w:leader="dot" w:pos="9354"/>
        </w:tabs>
        <w:spacing w:after="80" w:line="240" w:lineRule="auto"/>
        <w:ind w:left="454"/>
        <w:jc w:val="both"/>
      </w:pPr>
      <w:r>
        <w:rPr>
          <w:sz w:val="26"/>
        </w:rPr>
        <w:t>4.3-§. Tijorat banklari moliyaviy barqarorligini baholash tizimini xalqaro standartlarga muvofiqlashtirishning asosiy yo‘nalishlari</w:t>
      </w:r>
      <w:r>
        <w:rPr>
          <w:sz w:val="26"/>
        </w:rPr>
        <w:tab/>
        <w:t>226</w:t>
      </w:r>
    </w:p>
    <w:p w:rsidR="005603EC" w:rsidRDefault="00AB61AC">
      <w:pPr>
        <w:tabs>
          <w:tab w:val="right" w:leader="dot" w:pos="9354"/>
        </w:tabs>
        <w:spacing w:after="80" w:line="240" w:lineRule="auto"/>
        <w:ind w:left="454"/>
        <w:jc w:val="both"/>
      </w:pPr>
      <w:r>
        <w:rPr>
          <w:sz w:val="26"/>
        </w:rPr>
        <w:t>IV bob bo‘yicha xulosalar</w:t>
      </w:r>
      <w:r>
        <w:rPr>
          <w:sz w:val="26"/>
        </w:rPr>
        <w:tab/>
        <w:t>240</w:t>
      </w:r>
    </w:p>
    <w:p w:rsidR="005603EC" w:rsidRDefault="00AB61AC">
      <w:pPr>
        <w:tabs>
          <w:tab w:val="right" w:leader="dot" w:pos="9354"/>
        </w:tabs>
        <w:spacing w:after="80" w:line="240" w:lineRule="auto"/>
        <w:jc w:val="both"/>
      </w:pPr>
      <w:r>
        <w:rPr>
          <w:b/>
          <w:sz w:val="26"/>
        </w:rPr>
        <w:t>XULOSA</w:t>
      </w:r>
      <w:r>
        <w:rPr>
          <w:b/>
          <w:sz w:val="26"/>
        </w:rPr>
        <w:tab/>
        <w:t>243</w:t>
      </w:r>
    </w:p>
    <w:p w:rsidR="005603EC" w:rsidRDefault="00AB61AC">
      <w:pPr>
        <w:tabs>
          <w:tab w:val="right" w:leader="dot" w:pos="9354"/>
        </w:tabs>
        <w:spacing w:after="80" w:line="240" w:lineRule="auto"/>
        <w:jc w:val="both"/>
      </w:pPr>
      <w:r>
        <w:rPr>
          <w:b/>
          <w:sz w:val="26"/>
        </w:rPr>
        <w:t>FOYDALANILGAN ADABIYOTLAR RO‘YXATI</w:t>
      </w:r>
      <w:r>
        <w:rPr>
          <w:b/>
          <w:sz w:val="26"/>
        </w:rPr>
        <w:tab/>
        <w:t>249</w:t>
      </w:r>
    </w:p>
    <w:p w:rsidR="005603EC" w:rsidRDefault="00AB61AC">
      <w:pPr>
        <w:tabs>
          <w:tab w:val="right" w:leader="dot" w:pos="9354"/>
        </w:tabs>
        <w:spacing w:after="80" w:line="240" w:lineRule="auto"/>
        <w:jc w:val="both"/>
      </w:pPr>
      <w:r>
        <w:rPr>
          <w:b/>
          <w:sz w:val="26"/>
        </w:rPr>
        <w:t>ILOVALAR</w:t>
      </w:r>
      <w:r>
        <w:rPr>
          <w:b/>
          <w:sz w:val="26"/>
        </w:rPr>
        <w:tab/>
        <w:t>270</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t xml:space="preserve">. Shu davrda xalqaro standartlarni joriy etish ham davom etdi</w:t>
      </w:r>
      <w:r>
        <w:rPr/>
        <w:t xml:space="preserve">. Jumladan,</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xml:space="preserve">. Bunday sharoitda bank nazorati amaliyotida moliyaviy barqarorlikni Bazel III kapital va likvidlik standartlari, Moliyaviy hisobotning xalqaro standartlari (MHXS) 9 ning </w:t>
      </w:r>
      <w:r>
        <w:rPr/>
        <w:t xml:space="preserve">kutilgan kredit zarar</w:t>
      </w:r>
      <w:r>
        <w:t xml:space="preserve">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w:t>
      </w:r>
      <w:r>
        <w:rPr/>
        <w:t xml:space="preserve">jadal o‘sdi. Xususan, 2026-yil</w:t>
      </w:r>
      <w:r>
        <w:t xml:space="preserve"> 1-yanvar holatiga tijorat banklari aktivlari 924,8 trln so‘mni tashkil etdi, </w:t>
      </w:r>
      <w:r>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t>bo‘lsa-da</w:t>
      </w:r>
      <w:r>
        <w:rPr>
          <w:rStyle w:val="aff8"/>
        </w:rPr>
        <w:footnoteReference w:id="8"/>
      </w:r>
      <w:r>
        <w:t xml:space="preserve">, substandart va muammoli kreditlarning umumiy ulushi 2024-yilda 21 foizga </w:t>
      </w:r>
      <w:r>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w:t>
      </w:r>
      <w:r>
        <w:rPr/>
        <w:t xml:space="preserve">ham buni tasdiqlaydi. Jumladan, 2025-yil yakunida</w:t>
      </w:r>
      <w:r>
        <w:t xml:space="preserve"> “O‘zsanoatqurilishbank” ATB da milliy hisobot bo‘yicha muammoli kreditlar ulushi 2,5 foiz bo‘lgan bo‘lsa, MHXS 9 bo‘yicha qadrsizlangan kreditlar ulushi 7,5 foizni, “Mikrokreditbank” ATB da esa mos ravishda 4,4 va 12,3 foizni </w:t>
      </w:r>
      <w:r>
        <w:lastRenderedPageBreak/>
      </w:r>
      <w:r>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rPr/>
        <w:t xml:space="preserve">Shu munosabat bilan, b</w:t>
      </w:r>
      <w:r>
        <w:t xml:space="preserve">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r>
      <w:r>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 xml:space="preserve">2017-yil 12-sentabrdagi PQ-3270-son “Respublika bank tizimini yanada rivojlantirish va barqarorligini oshirish chora-tadbirlari to‘g‘risida”gi qaror</w:t>
      </w:r>
      <w:r>
        <w:t xml:space="preserve">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r>
      <w:r>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xml:space="preserve">; yirik moliya </w:t>
      </w:r>
      <w:r>
        <w:rPr/>
        <w:t xml:space="preserve">institutlarining</w:t>
      </w:r>
      <w:r>
        <w:t xml:space="preserve">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r>
      <w:r>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 xml:space="preserve">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w:t>
      </w:r>
      <w:r>
        <w:rPr/>
        <w:t xml:space="preserve">kutilgan kredit zarar</w:t>
      </w:r>
      <w:r>
        <w:t xml:space="preserve">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r>
      <w:r>
        <w:t xml:space="preserve">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w:t>
      </w:r>
      <w:r>
        <w:rPr/>
        <w:t xml:space="preserve">Shuningdek, N</w:t>
      </w:r>
      <w:r>
        <w:t xml:space="preserve">.Karabayev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w:t>
      </w:r>
      <w:r>
        <w:rPr/>
        <w:t xml:space="preserve">pedagogika instituti</w:t>
      </w:r>
      <w:r>
        <w:t xml:space="preserve">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w:t>
      </w:r>
      <w:r>
        <w:rPr/>
        <w:t xml:space="preserve"> analogiya (CAMEL tizimi vaznlariga tayanish), statistik verifikatsiya,</w:t>
      </w:r>
      <w:r>
        <w:t xml:space="preserve">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t>usuli asoslangan</w:t>
      </w:r>
      <w:r>
        <w:t xml:space="preserve"> (“O‘zsanoatqurilishbank” ATB misolida metodika farqi 5,4 foiz punktni, hisobot farqi esa </w:t>
      </w:r>
      <w:r>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 xml:space="preserve">O‘zbekiston bank tizimida moliyaviy barqarorlik ko‘rsatkichlari 2021–2025-yillar uchun Xalqaro valyuta jamg‘armasi metodikasi bo‘yicha tizimlashtirilib, rasmiy ko‘rsatkichlar kapital va likvidlik bo‘yicha xalqaro talablardan yuqori bo‘lsa-da, </w:t>
      </w:r>
      <w:r>
        <w:rPr/>
        <w:t xml:space="preserve">bank tizimi </w:t>
      </w:r>
      <w:r>
        <w:t xml:space="preserve">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rPr/>
        <w:t xml:space="preserve"> qayd etilgan</w:t>
      </w:r>
      <w:r>
        <w:rPr/>
        <w:t xml:space="preserve">)</w:t>
      </w:r>
      <w:r>
        <w:t>;</w:t>
      </w:r>
    </w:p>
    <w:p w:rsidR="005603EC" w:rsidRDefault="00AB61AC">
      <w:pPr>
        <w:pStyle w:val="af"/>
        <w:spacing w:after="0" w:line="360" w:lineRule="auto"/>
        <w:ind w:firstLine="709"/>
        <w:jc w:val="both"/>
      </w:pPr>
      <w:r>
        <w:rPr/>
        <w:t xml:space="preserve">sof barqaror moliyalashtirish me’yori hisob-kitobida Bazel III standartida va Markaziy bankning 2709-son nizomining 2025-yil 23-maygacha amal qilgan tahririda barqaror moliyalashtirish manbai sifatida regulyativ kapital </w:t>
      </w:r>
      <w:r>
        <w:rPr/>
        <w:t xml:space="preserve">belgilangani, banklarning prudensial hisobot shaklida esa xususiy kapital olinib, kapitalga kiritiladigan muddatsiz obligatsiyalar va subordinar qarz bir yildan ortiq muddatli majburiyatlar tarkibida hisobga olinishi aniqlanib (kapital instrumentlari ikki marta hisoblanmaganda ikki yondashuv o‘rtasidagi farq tahlil qilingan uchta bankda 1,3 foiz punktdan oshmaydi), Markaziy bank tomonidan o‘rnatiladigan me’yor elementlarida kapital instrumentlarini bir marta – kapital sifatida – hisobga olish tartibini belgilash hamda bu elementlar va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 xml:space="preserve">beshta yirik bank</w:t>
      </w:r>
      <w:r>
        <w:rPr/>
        <w:t xml:space="preserve">ning</w:t>
      </w:r>
      <w:r>
        <w:t xml:space="preserve"> MHXS hisobotlari asosida integral indeks bo‘yicha reyting</w:t>
      </w:r>
      <w:r>
        <w:rPr/>
        <w:t xml:space="preserve">i</w:t>
      </w:r>
      <w:r>
        <w:t xml:space="preserve">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 xml:space="preserve">25 ta tijorat banki bo‘yicha 2021–2025-yillardagi choraklik panel ma’lumotlari asosida </w:t>
      </w:r>
      <w:r>
        <w:rPr/>
        <w:t xml:space="preserve">davlat banklarining integral indeksi boshqa banklarnikidan o‘rtacha 0,69</w:t>
      </w:r>
      <w:r>
        <w:t xml:space="preserve">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r>
      <w:r>
        <w:t xml:space="preserve">2026–2028-yillarga shartli ssenariy prognozi asosida 2020-yildagi kabi keskin iqtisodiy shok takrorlangan taqdirda 2027-yilda </w:t>
      </w:r>
      <w:r>
        <w:rPr/>
        <w:t xml:space="preserve">tanlangan banklar</w:t>
      </w:r>
      <w:r>
        <w:t xml:space="preserve">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w:t>
      </w:r>
      <w:r>
        <w:rPr/>
        <w:t xml:space="preserve">taklifidan</w:t>
      </w:r>
      <w:r>
        <w:t xml:space="preserve">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 xml:space="preserve">likvidlikni qoplash me’yorini Bazel III ga muvofiqlashtirish maqsadida boshqa banklardagi muddatli depozitlarni yuqori likvidli aktivlar tarkibidan chiqarish va majburiyatlar bo‘yicha tabaqalashtirilgan chiqish koeffitsiyentlarini qo‘llash </w:t>
      </w:r>
      <w:r>
        <w:rPr/>
        <w:t xml:space="preserve">taklifidan</w:t>
      </w:r>
      <w:r>
        <w:t xml:space="preserve">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 xml:space="preserve">“yashirin kredit riski koeffitsiyenti” yordamida milliy hisobot asosidagi muammoli kreditlar ko‘rsatkichini MHXS 9 darajasiga keltirib, integral indeksning aktivlar sifati blokini tuzatish </w:t>
      </w:r>
      <w:r>
        <w:rPr/>
        <w:t xml:space="preserve">taklifidan</w:t>
      </w:r>
      <w:r>
        <w:t xml:space="preserve">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 xml:space="preserve">moliyaviy barqarorlik integral indeksi va uning chegaraviy qiymatlari </w:t>
      </w:r>
      <w:r>
        <w:rPr/>
        <w:t xml:space="preserve">taklifidan</w:t>
      </w:r>
      <w:r>
        <w:t xml:space="preserve">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r>
      <w:r>
        <w:t xml:space="preserve">integral indeksga asoslangan uch zonali erta ogohlantirish tizimi va uni stress-test natijalari bilan bog‘lash </w:t>
      </w:r>
      <w:r>
        <w:rPr/>
        <w:t xml:space="preserve">taklifidan</w:t>
      </w:r>
      <w:r>
        <w:t xml:space="preserve">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t xml:space="preserve">245</w:t>
      </w:r>
      <w:r>
        <w:rPr/>
        <w:t xml:space="preserve"> betni</w:t>
      </w:r>
      <w:r>
        <w:t xml:space="preserve"> tashkil etadi, unda 60 dan ortiq jadval va rasm keltirilgan, </w:t>
      </w:r>
      <w:r>
        <w:rPr/>
        <w:t xml:space="preserve">foydalanilgan adabiyotlar ro‘yxati </w:t>
      </w:r>
      <w:r>
        <w:rPr/>
        <w:t xml:space="preserve">208</w:t>
      </w:r>
      <w:r>
        <w:rPr/>
        <w:t xml:space="preserve">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 xml:space="preserve">Biroq “moliyaviy barqarorlik” tushunchasi iqtisodiy adabiyotda ham, me’yoriy hujjatlarda ham hali yagona talqinga ega emas. </w:t>
      </w:r>
      <w:r>
        <w:rPr/>
        <w:t xml:space="preserve">Ayrim</w:t>
      </w:r>
      <w:r>
        <w:t xml:space="preserve">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r>
      <w:r>
        <w:t xml:space="preserve">maqsadga muvofiq. Rus iqtisodiy maktabida bu masalaga alohida e’tibor berilgan. O.I. Lavrushin va I.D. Mamonova G.G. Fetisov yondashuviga tayanib, “barqarorlik” va “stabillik” tushunchalarini </w:t>
      </w:r>
      <w:r>
        <w:rPr/>
        <w:t xml:space="preserve">qat’iy ajratadi. Ularning fikricha, stabillik – statika</w:t>
      </w:r>
      <w:r>
        <w:t xml:space="preserve">,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r>
      <w:r>
        <w:t xml:space="preserve">kelgusidagi beqarorlik manbaiga aylanadi. </w:t>
      </w:r>
      <w:r>
        <w:rPr/>
        <w:t xml:space="preserve">Demak, moliyaviy barqarorlik bu tushunchalarning yig‘indisi emas, balki ularning o‘zaro uyg‘unligi natijasida yuzaga keladigan sifat holatidir. Rasmda, shuningdek, moliyaviy holat muayyan sanadagi statik baho sifatida, rivojlanish esa barqarorlikning dinamik mazmuni sifatida ko‘rsatilgan.</w:t>
      </w:r>
    </w:p>
    <w:p w:rsidR="005603EC" w:rsidRDefault="00AB61AC">
      <w:pPr>
        <w:pStyle w:val="af"/>
        <w:spacing w:after="0" w:line="360" w:lineRule="auto"/>
        <w:ind w:firstLine="709"/>
        <w:jc w:val="both"/>
      </w:pPr>
      <w: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w:t>
      </w:r>
      <w:r>
        <w:rPr/>
        <w:t xml:space="preserve">. Ularning fikricha,</w:t>
      </w:r>
      <w:r>
        <w:t xml:space="preserve">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Muallif</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Ta’rifning asosiy mazmuni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Urg‘u berilgan jihat</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O.I. Lavrushin, I.D. Mamonova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Bankning o‘z moliyasini va boshqa </w:t>
            </w:r>
            <w:r>
              <w:rPr>
                <w:rFonts w:ascii="Times New Roman" w:hAnsi="Times New Roman" w:eastAsia="Times New Roman" w:cs="Times New Roman"/>
                <w:sz w:val="24"/>
                <w:szCs w:val="24"/>
              </w:rPr>
              <w:t xml:space="preserve">subyekt</w:t>
            </w:r>
            <w:r>
              <w:rPr>
                <w:rFonts w:ascii="Times New Roman" w:hAnsi="Times New Roman" w:eastAsia="Times New Roman" w:cs="Times New Roman"/>
                <w:sz w:val="24"/>
                <w:szCs w:val="24"/>
              </w:rPr>
              <w:t xml:space="preserve">lar moliyasini kengaytirilgan asosda takror ishlab chiqarishi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Resurslarning o‘sishi va rivojlanish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O.I. Lavrushin (tahr.)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Ijtimoiy funksiya va institutsional yondashuv</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G.J. Schinasi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Moliya tizimining resurslarni samarali taqsimlash, risklarni baholash va boshqarish hamda shoklarni yutish qobiliyati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Funksiyalarni bajarish va shoklarga chidamlilik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 Mishkin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Axborot oqimining uzilishi natijasida moliya tizimi mablag‘larni samarali yo‘naltira olmay qoladigan holatning yo‘qligi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Axborot asimmetriyasi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J.M. Hendrickson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moliya institutlari tashqi yordamsiz foydalanuvchilarda yuqori ishonch uyg‘otadigan holat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Ishonch va mustaqillik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A.V. Thakor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Sog‘lom tizim inqirozdan butunlay himoyalangan tizim emas; unda alohida banklar davlat yordamisiz bankrot bo‘lishi mumkin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Tizim darajasidagi sog‘lomlik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G.G. Fetisov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Muvozanat va majburiyatlarni bajarish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I.V. Larionova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 tizimi stabilligi – ichki va tashqi ta’sirlarga qarshi turish, vaqt davomida barqaror muvozanat va ishonchlilikni saqlash qobiliyati; barqarorlik – undan torroq, statik tushuncha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Stabillik: muvozanat va ishonchlilik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 Houben, J. Kakes, G. Schinasi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Resurslarni samarali taqsimlash, risklarni boshqarish va shoklarni yutish qobiliyati ko‘p o‘lchovli “barqarorlik yo‘lagi” doirasida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Mezoniy chegaralar (yo‘lak)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O.B. Sattarov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Dinamika va rivojlanish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I.G. Sadikov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va bozor mavqei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 Madaminov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Endogen va ekzogen shoklarni yutib, faoliyatni to‘xtatmasdan muvozanatni tiklash salohiyatini aks ettiruvchi dinamik xususiyat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Shoklarga bardoshlilik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N.H. Sharipova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r>
      <w:r>
        <w:t>barqarorlikni aktiv va passivlar muvozanati bilan emas, aynan shu resurslarning barqaror o‘sishi bilan bog‘lash kerakligini ta’kidlaydi</w:t>
      </w:r>
      <w:r>
        <w:rPr>
          <w:rStyle w:val="aff8"/>
        </w:rPr>
        <w:footnoteReference w:id="57"/>
      </w:r>
      <w:r>
        <w:t xml:space="preserve">. </w:t>
      </w:r>
      <w:r>
        <w:rPr/>
        <w:t xml:space="preserve">O.I. Lavrushin tahriridagi m</w:t>
      </w:r>
      <w:r>
        <w:t xml:space="preserve">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xml:space="preserve">. </w:t>
      </w:r>
      <w:r>
        <w:rPr/>
        <w:t xml:space="preserve">I.V. Larionova esa bank tizimi stabilligini ichki va tashqi ta’sirlarga qarshi turish, vaqt davomida barqaror muvozanat va ishonchlilikni saqlash qobiliyati sifatida ta’riflab, barqarorlikni undan torroq, muayyan sanadagi statik tushuncha deb hisoblaydi</w:t>
      </w:r>
      <w:r>
        <w:rPr>
          <w:rStyle w:val="aff8"/>
        </w:rPr>
        <w:footnoteReference w:id="60"/>
      </w:r>
      <w:r>
        <w:rPr/>
        <w:t xml:space="preserve">. V.V. Ivanov</w:t>
      </w:r>
      <w:r>
        <w:t xml:space="preserve"> </w:t>
      </w:r>
      <w:r>
        <w:rPr/>
        <w:t xml:space="preserve">uni bank</w:t>
      </w:r>
      <w:r>
        <w:t xml:space="preserve"> faoliyatining o‘rta va uzoq muddatli istiqboldagi barqarorligi sifatida ta’riflaydi</w:t>
      </w:r>
      <w:r>
        <w:rPr>
          <w:rStyle w:val="aff8"/>
        </w:rPr>
        <w:footnoteReference w:id="61"/>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2"/>
      </w:r>
      <w:r>
        <w:t xml:space="preserve">. Bu fikr </w:t>
      </w:r>
      <w:r>
        <w:rPr/>
        <w:t xml:space="preserve">muhim xulosaga olib keladi. Unga ko‘ra, me’yoriy ko‘rsatkichlar</w:t>
      </w:r>
      <w:r>
        <w:t xml:space="preserve"> </w:t>
      </w:r>
      <w:r>
        <w:lastRenderedPageBreak/>
      </w:r>
      <w:r>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3"/>
      </w:r>
      <w:r>
        <w:t>. F.S. Mishkin esa beqarorlikdan kelib chiqib, uni axborot oqimining keskin uzilishi natijasida moliya tizimi mablag‘larni eng samarali investitsiya imkoniyatlariga yo‘naltira olmay qoladigan holat sifatida izohlaydi</w:t>
      </w:r>
      <w:r>
        <w:rPr>
          <w:rStyle w:val="aff8"/>
        </w:rPr>
        <w:footnoteReference w:id="64"/>
      </w:r>
      <w:r>
        <w:t xml:space="preserve">. J.M. Hendrickson ta’rifida esa asosiy o‘rinni ishonch egallaydi</w:t>
      </w:r>
      <w:r>
        <w:rPr/>
        <w:t xml:space="preserve">. M</w:t>
      </w:r>
      <w:r>
        <w:t xml:space="preserve">uallif fikricha, beqarorlikning kaliti iste’molchilar ishonchining kutilmaganda keskin yo‘qolishidir. U yana bir </w:t>
      </w:r>
      <w:r>
        <w:rPr/>
        <w:t xml:space="preserve">muhim fikrni ilgari suradi. Uning ta’kidlashicha, bank inqirozi</w:t>
      </w:r>
      <w:r>
        <w:t xml:space="preserve"> har doim moliyaviy beqarorlikka olib keladi, biroq moliyaviy beqarorlik bank inqirozisiz ham yuzaga kelishi mumkin</w:t>
      </w:r>
      <w:r>
        <w:rPr>
          <w:rStyle w:val="aff8"/>
        </w:rPr>
        <w:footnoteReference w:id="65"/>
      </w:r>
      <w:r>
        <w:t>.</w:t>
      </w:r>
    </w:p>
    <w:p w:rsidR="005603EC" w:rsidRDefault="00AB61AC">
      <w:pPr>
        <w:pStyle w:val="af"/>
        <w:spacing w:after="0" w:line="360" w:lineRule="auto"/>
        <w:ind w:firstLine="709"/>
        <w:jc w:val="both"/>
      </w:pPr>
      <w:r>
        <w:t xml:space="preserve">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w:t>
      </w:r>
      <w:r>
        <w:rPr/>
        <w:t xml:space="preserve">ko‘rsatadi. Masalan, foiz spredlari</w:t>
      </w:r>
      <w:r>
        <w:t xml:space="preserve"> tebranuvchanligi va bank tizimi kapitalining ayrim kombinatsiyalari barqarorlikka mos keladi, boshqalari esa bu yo‘lakdan tashqarida bo‘ladi</w:t>
      </w:r>
      <w:r>
        <w:rPr>
          <w:rStyle w:val="aff8"/>
        </w:rPr>
        <w:footnoteReference w:id="66"/>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7"/>
      </w:r>
      <w:r>
        <w:t xml:space="preserve">. M. Čihák </w:t>
      </w:r>
      <w:r>
        <w:lastRenderedPageBreak/>
      </w:r>
      <w:r>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8"/>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9"/>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70"/>
      </w:r>
      <w:r>
        <w:t>.</w:t>
      </w:r>
    </w:p>
    <w:p w:rsidR="005603EC" w:rsidRDefault="00AB61AC">
      <w:pPr>
        <w:pStyle w:val="af"/>
        <w:spacing w:after="0" w:line="360" w:lineRule="auto"/>
        <w:ind w:firstLine="709"/>
        <w:jc w:val="both"/>
      </w:pPr>
      <w:r>
        <w:t xml:space="preserve">Keyingi yillardagi tadqiqotlarda ta’riflarning urg‘usi sezilarli darajada o‘zgargan. I.G. Sadikov ta’rifida bozor mavqei va daromadlilik birinchi o‘ringa chiqadi</w:t>
      </w:r>
      <w:r>
        <w:rPr/>
        <w:t xml:space="preserve">. M</w:t>
      </w:r>
      <w:r>
        <w:t xml:space="preserve">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1"/>
      </w:r>
      <w:r>
        <w:t xml:space="preserve">. B.A. Madaminov esa barqarorlikni likvidlik va to‘lovga qobiliyatlilik bilan tenglashtiruvchi yondashuvni statik deb tanqid qilib, uni bankning nafaqat muayyan vaqtda majburiyatlarni </w:t>
      </w:r>
      <w:r>
        <w:lastRenderedPageBreak/>
      </w:r>
      <w:r>
        <w:t>bajarish, balki endogen va ekzogen shoklarni yutib, faoliyatni to‘xtatmasdan muvozanatni tiklash salohiyatini aks ettiruvchi dinamik xususiyat sifatida belgilaydi</w:t>
      </w:r>
      <w:r>
        <w:rPr>
          <w:rStyle w:val="aff8"/>
        </w:rPr>
        <w:footnoteReference w:id="72"/>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3"/>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4"/>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r>
      <w:r>
        <w:t xml:space="preserve">kutilmagan shoklar va bozor tebranishlari yuzaga kelganda zararlarni yutib, o‘z holatini tiklay olish qobiliyati. Uchinchisi – funksional mezon, ya’ni stress sharoitida ham iqtisodiyotni kreditlash va to‘lovlarni amalga oshirish funksiyalarini yo‘qotmaslik. </w:t>
      </w:r>
      <w:r>
        <w:rPr/>
        <w:t xml:space="preserve">A. Crockett ham</w:t>
      </w:r>
      <w:r>
        <w:t xml:space="preserve">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5"/>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 xml:space="preserve">A. Crockett)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 xml:space="preserve">A. Crockett)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6"/>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r>
      <w:r>
        <w:t xml:space="preserve">esa uni o‘lchash imkoniyatini ko‘rsatadi. </w:t>
      </w:r>
      <w:r>
        <w:rPr/>
        <w:t xml:space="preserve">Rasmning quyi qismida esa ushbu yondashuvlarning sintezi – daraja, dinamika va muvozanatni birlashtiruvchi integral yondashuv ko‘rsatilgan bo‘lib, u tadqiqotda ishlab chiqilgan baholash metodikasiga asos qilib olindi. Ta’kidlash lozimki, aynan to‘rtinchi yondashuv Bazel qo‘mitasi</w:t>
      </w:r>
      <w:r>
        <w:t xml:space="preserve"> standartlari va Xalqaro valyuta jamg‘armasining moliyaviy barqarorlik ko‘rsatkichlari tizimiga asos bo‘lgan. Biroq u ham alohida olinganda </w:t>
      </w:r>
      <w:r>
        <w:rPr/>
        <w:t xml:space="preserve">yetarli emas, chunki kapital va likvidlik</w:t>
      </w:r>
      <w:r>
        <w:t xml:space="preserve">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7"/>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8"/>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9"/>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80"/>
      </w:r>
      <w:r>
        <w:t xml:space="preserve">. E’tiborli jihati shundaki, mualliflar inqirozdan keyingi bir martalik o‘sishni barqarorlik belgisi deb hisoblamaydi, keskin o‘sishni esa xavfli deb biladi. </w:t>
      </w:r>
      <w:r>
        <w:rPr/>
        <w:t xml:space="preserve">Bu fikrning baholash metodikasi uchun ahamiyati shundaki, ko‘rsatkichning</w:t>
      </w:r>
      <w:r>
        <w:t xml:space="preserve">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1"/>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2"/>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3"/>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4"/>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5"/>
      </w:r>
      <w:r>
        <w:rPr/>
        <w:t xml:space="preserve">, foiz stavkasi riski esa </w:t>
      </w:r>
      <w:r>
        <w:rPr/>
        <w:t xml:space="preserve">banklarning 25 foizi</w:t>
      </w:r>
      <w:r>
        <w:rPr/>
        <w:t xml:space="preserve">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6"/>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7"/>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8"/>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9"/>
      </w:r>
      <w:r>
        <w:t>. Ana shu nazariy asosda moliyaviy barqarorlikni tushuntiruvchi bir nechta konseptual modellar shakllangan.</w:t>
      </w:r>
    </w:p>
    <w:p w:rsidR="005603EC" w:rsidRDefault="00AB61AC">
      <w:pPr>
        <w:pStyle w:val="af"/>
        <w:spacing w:after="0" w:line="360" w:lineRule="auto"/>
        <w:ind w:firstLine="709"/>
        <w:jc w:val="both"/>
      </w:pPr>
      <w:r>
        <w:t xml:space="preserve">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w:t>
      </w:r>
      <w:r>
        <w:rPr/>
        <w:t xml:space="preserve">bankni zaif qiladi, chunki omonatchilar</w:t>
      </w:r>
      <w:r>
        <w:t xml:space="preserve"> boshqalar mablag‘ini qaytarib olishidan qo‘rqsa, bank sog‘lom bo‘lgan taqdirda ham ommaviy mablag‘ talab qilish yuz berishi mumkin</w:t>
      </w:r>
      <w:r>
        <w:rPr>
          <w:rStyle w:val="aff8"/>
        </w:rPr>
        <w:footnoteReference w:id="90"/>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1"/>
      </w:r>
      <w:r>
        <w:t xml:space="preserve">. </w:t>
      </w:r>
      <w:r>
        <w:rPr/>
        <w:t xml:space="preserve">Ushbu model likvidlik va moliyalashtirish barqarorligini</w:t>
      </w:r>
      <w:r>
        <w:t xml:space="preserve">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w:t>
      </w:r>
      <w:r>
        <w:rPr/>
        <w:t xml:space="preserve">H.P. Minskyning</w:t>
      </w:r>
      <w:r>
        <w:t xml:space="preserve"> moliyaviy beqarorlik gipotezasi. Unga ko‘ra, iqtisodiy barqarorlikning uzoq davom etishi o‘z-o‘zidan </w:t>
      </w:r>
      <w:r>
        <w:rPr/>
        <w:t xml:space="preserve">beqarorlikni keltirib chiqaradi. Buning sababi shundaki, muvaffaqiyatli yillar</w:t>
      </w:r>
      <w:r>
        <w:t xml:space="preserve"> bank va qarz oluvchilarning riskka moyilligini oshiradi, natijada moliyalashtirish tuzilmasi daromadi qarz va foizlarni to‘liq qoplaydigan “himoyalangan” moliyalashtirishdan faqat foizlarni qoplaydigan </w:t>
      </w:r>
      <w:r>
        <w:lastRenderedPageBreak/>
      </w:r>
      <w:r>
        <w:t>“spekulyativ” va hatto foizlarni ham yangi qarz hisobidan to‘laydigan “Ponzi” moliyalashtirishiga siljiydi</w:t>
      </w:r>
      <w:r>
        <w:rPr>
          <w:rStyle w:val="aff8"/>
        </w:rPr>
        <w:footnoteReference w:id="92"/>
      </w:r>
      <w:r>
        <w:t xml:space="preserve">. J.M. Hendrickson ham bank inqirozining to‘rt elementi sifatida tashqi shok va optimizmni, </w:t>
      </w:r>
      <w:r>
        <w:rPr/>
        <w:t xml:space="preserve">Minsky ta’riflagan</w:t>
      </w:r>
      <w:r>
        <w:t xml:space="preserve"> kredit kengayishini, ishonchning yo‘qolishini va banklarning ommaviy inqiroziga o‘tishni ko‘rsatadi</w:t>
      </w:r>
      <w:r>
        <w:rPr>
          <w:rStyle w:val="aff8"/>
        </w:rPr>
        <w:footnoteReference w:id="93"/>
      </w:r>
      <w:r>
        <w:t xml:space="preserve">. A.V. Thakor esa bu jarayonni yanada </w:t>
      </w:r>
      <w:r>
        <w:rPr/>
        <w:t xml:space="preserve">aniqroq ifodalaydi. Uning fikricha, uzoq muvaffaqiyat</w:t>
      </w:r>
      <w:r>
        <w:t xml:space="preserve"> bankirlar mahoratiga bo‘lgan ishonchni oshiradi, shok kelganda esa moliyalashtirish to‘xtaydi va “likvidlik inqiroziga o‘xshagan, aslida to‘lov qobiliyati inqirozi” yuzaga keladi</w:t>
      </w:r>
      <w:r>
        <w:rPr>
          <w:rStyle w:val="aff8"/>
        </w:rPr>
        <w:footnoteReference w:id="94"/>
      </w:r>
      <w:r>
        <w:t xml:space="preserve">. </w:t>
      </w:r>
      <w:r>
        <w:rPr/>
        <w:t xml:space="preserve">Minsky</w:t>
      </w:r>
      <w:r>
        <w:t xml:space="preserve">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5"/>
      </w:r>
      <w:r>
        <w:t xml:space="preserve">. Ushbu mantiqni R. Merton tomonidan ishlab chiqilgan tarkibiy model </w:t>
      </w:r>
      <w:r>
        <w:rPr/>
        <w:t xml:space="preserve">miqdoriy shaklga keltiradi. Unga ko‘ra, kompaniya aktivlarining</w:t>
      </w:r>
      <w:r>
        <w:t xml:space="preserve"> qiymati majburiyatlardan pastga tushganda defolt yuz beradi, demak, defoltgacha bo‘lgan masofa kapital zaxirasi va aktivlar qiymatining o‘zgaruvchanligiga bog‘liq</w:t>
      </w:r>
      <w:r>
        <w:rPr>
          <w:rStyle w:val="aff8"/>
        </w:rPr>
        <w:footnoteReference w:id="96"/>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7"/>
      </w:r>
      <w:r>
        <w:t xml:space="preserve">, bank faoliyatiga J.H. Boyd va S.L. Graham tomonidan </w:t>
      </w:r>
      <w:r>
        <w:lastRenderedPageBreak/>
      </w:r>
      <w:r>
        <w:t>tatbiq etilgan</w:t>
      </w:r>
      <w:r>
        <w:rPr>
          <w:rStyle w:val="aff8"/>
        </w:rPr>
        <w:footnoteReference w:id="98"/>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9"/>
      </w:r>
    </w:p>
    <w:p w:rsidR="005603EC" w:rsidRDefault="00AB61AC">
      <w:pPr>
        <w:pStyle w:val="af"/>
        <w:spacing w:after="0" w:line="360" w:lineRule="auto"/>
        <w:ind w:firstLine="709"/>
        <w:jc w:val="both"/>
      </w:pPr>
      <w:r>
        <w:rPr/>
        <w:t xml:space="preserve">Rasmda aks ettirilganidek, m</w:t>
      </w:r>
      <w:r>
        <w:rPr/>
        <w:t xml:space="preserve">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100"/>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 xml:space="preserve">Beshinchi guruh modellar alohida bankdan butun tizimga o‘tadi. C. Borio makroprudensial yondashuvni asoslab, tizimli riskning ikki o‘lchovini ajratgan: vaqt o‘lchovida risk moliyaviy </w:t>
      </w:r>
      <w:r>
        <w:rPr/>
        <w:t xml:space="preserve">sikl</w:t>
      </w:r>
      <w:r>
        <w:t xml:space="preserve"> davomida to‘planib boradi (prosiklik), kesim o‘lchovida esa banklarning o‘zaro bog‘liqligi va bir xil risklarga duch kelishi orqali yuzaga keladi</w:t>
      </w:r>
      <w:r>
        <w:rPr>
          <w:rStyle w:val="aff8"/>
        </w:rPr>
        <w:footnoteReference w:id="101"/>
      </w:r>
      <w:r>
        <w:t>. Keyinchalik bu yondashuv asosida T. Adrian va M. Brunnermeier taklif etgan CoVaR kabi bozor ma’lumotlariga asoslangan tizimli risk ko‘rsatkichlari ishlab chiqildi</w:t>
      </w:r>
      <w:r>
        <w:rPr>
          <w:rStyle w:val="aff8"/>
        </w:rPr>
        <w:footnoteReference w:id="102"/>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3"/>
      </w:r>
      <w:r>
        <w:t xml:space="preserve">.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w:t>
      </w:r>
      <w:r>
        <w:rPr/>
        <w:t xml:space="preserve">cheklanganligini ko‘rsatdi. Ma’lum bo‘ldiki, har bir bank</w:t>
      </w:r>
      <w:r>
        <w:t xml:space="preserve">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w:t>
      </w:r>
      <w:r>
        <w:rPr/>
        <w:t xml:space="preserve">siklning</w:t>
      </w:r>
      <w:r>
        <w:t xml:space="preserve">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r>
      <w:r>
        <w:t xml:space="preserve">davr hisobotlari bo‘yicha baholangan bo‘lsa, Bazel III standartlari va Moliyaviy hisobotning xalqaro standartlari (MHXS) 9 bu yondashuvni tubdan o‘zgartirdi. Xususan, MHXS 9 da zarar yuz bergandan keyin zaxira yaratish o‘rniga kredit berilgan kundanoq </w:t>
      </w:r>
      <w:r>
        <w:rPr/>
        <w:t xml:space="preserve">kutilgan kredit zarar</w:t>
      </w:r>
      <w:r>
        <w:t xml:space="preserve">larini baholab, ular uchun oldindan zaxira shakllantirish talab qilinadi</w:t>
      </w:r>
      <w:r>
        <w:rPr>
          <w:rStyle w:val="aff8"/>
        </w:rPr>
        <w:footnoteReference w:id="104"/>
      </w:r>
      <w:r>
        <w:t xml:space="preserve">. Stress-testlar ham xuddi shu </w:t>
      </w:r>
      <w:r>
        <w:rPr/>
        <w:t xml:space="preserve">mantiqqa asoslanadi, ya’ni ular bankning</w:t>
      </w:r>
      <w:r>
        <w:t xml:space="preserve">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Model</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g‘oyasi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ko‘rsatkichi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Baholash metodikasi uchun xulosa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yaratish va ommaviy mablag‘ talab qilish modeli (Diamond–Dybvig, Diamond–Rajan)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Muddatlar transformatsiyasi bankni ishonch yo‘qolishiga zaif qiladi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 aktivlar, barqaror moliyalashtirish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Likvidlik va moliyalashtirish alohida blok sifatida baholanadi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Moliyaviy beqarorlik gipotezasi (Minsky)</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Uzoq barqarorlik riskka moyillikni oshiradi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Kredit o‘sishi, qarz yuki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Ko‘rsatkichlarning dinamikasi va kredit o‘sishi kuzatiladi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Kapital-bufer va tarkibiy model (Tarullo, Merton)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kutilmagan yo‘qotishlarni qoplaydi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defoltgacha masofa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Kapital zaxirasi regulyativ minimumga nisbatan baholanadi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Z-score modeli (Roy, Boyd–Graham)</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To‘lovga qobiliyatsizlikkacha bo‘lgan masofa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Kapital/aktivlar, ROA va uning o‘zgaruvchanligi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Buxgalteriya ma’lumotlari asosida integral baho va bashorat</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Makroprudensial modellar (Borio, Adrian–Brunnermeier)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risk vaqt va kesim o‘lchovida to‘planadi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gepi, CoVaR, o‘zaro bog‘liqlik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 va makro baholash uyg‘unlashtiriladi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Kelajakka yo‘naltirilgan risk modeli (Bazel III, MHXS 9)</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Zararlar yuz berishidan oldin baholanadi va qoplanadi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Kutilgan kredit zararlari, stress-test natijalari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Baholashga prognoz va stress elementlari kiritiladi</w:t>
            </w:r>
          </w:p>
        </w:tc>
      </w:tr>
    </w:tbl>
    <w:p w:rsidR="005603EC" w:rsidRDefault="00AB61AC">
      <w:pPr>
        <w:pStyle w:val="af"/>
        <w:spacing w:after="0" w:line="360" w:lineRule="auto"/>
        <w:ind w:firstLine="709"/>
        <w:jc w:val="both"/>
      </w:pPr>
      <w:r>
        <w:t xml:space="preserve">Jadvaldan ko‘rinib turibdiki, har bir model moliyaviy barqarorlikning muayyan bir tomonini tushuntiradi va shunga mos ravishda baholash metodikasiga o‘z talabini qo‘yadi. Likvidlik modeli likvidlik blokini, kapital-bufer modeli kapital blokini, </w:t>
      </w:r>
      <w:r>
        <w:rPr/>
        <w:t xml:space="preserve">Minsky gipotezasi dinamik tahlilni</w:t>
      </w:r>
      <w:r>
        <w:t xml:space="preserve">,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spacing w:after="0" w:line="360" w:lineRule="auto"/>
        <w:ind w:firstLine="709"/>
        <w:jc w:val="both"/>
      </w:pPr>
      <w:r>
        <w:t xml:space="preserve">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w:t>
      </w:r>
      <w:r>
        <w:rPr/>
        <w:t xml:space="preserve">barqarorlikni, bir tomondan,</w:t>
      </w:r>
      <w:r>
        <w:t xml:space="preserve"> miqdoriy o‘lchanadigan, ikkinchi </w:t>
      </w:r>
      <w:r>
        <w:rPr/>
        <w:t xml:space="preserve">tomondan,</w:t>
      </w:r>
      <w:r>
        <w:t xml:space="preserve"> dinamik va tizimli tushuncha sifatida qarash imkonini beradi.</w:t>
      </w:r>
      <w:r>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6"/>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r>
      <w:r>
        <w:t xml:space="preserve">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w:t>
      </w:r>
      <w:r>
        <w:rPr/>
        <w:t xml:space="preserve">Bu,</w:t>
      </w:r>
      <w:r>
        <w:t xml:space="preserve">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 xml:space="preserve">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w:t>
      </w:r>
      <w:r>
        <w:rPr/>
        <w:t xml:space="preserve">ko‘rsatkichlar</w:t>
      </w:r>
      <w:r>
        <w:t xml:space="preserve">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7"/>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8"/>
      </w:r>
      <w:r>
        <w:t>. T.F. Cargill esa banklar orqali bilvosita moliyalashni G. Akerlofning “limonlar” muammosiga bozorning o‘zi topgan yechim sifatida baholaydi</w:t>
      </w:r>
      <w:r>
        <w:rPr>
          <w:rStyle w:val="aff8"/>
        </w:rPr>
        <w:footnoteReference w:id="109"/>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10"/>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1"/>
      </w:r>
      <w:r>
        <w:t xml:space="preserve">. Bu qoida baholash metodikasi uchun </w:t>
      </w:r>
      <w:r>
        <w:rPr/>
        <w:t xml:space="preserve">muhim xulosa beradi. Ya’ni kapital ko‘rsatkichini</w:t>
      </w:r>
      <w:r>
        <w:t xml:space="preserve"> baholashda regulyativ minimumning bajarilishi yetarli emas, bank minimumdan qanchalik yuqori zaxiraga ega ekani ham hisobga olinishi lozim. Nihoyat, bank inqirozining xarajati bankning o‘zi bilan cheklanmaydi</w:t>
      </w:r>
      <w:r>
        <w:rPr/>
        <w:t xml:space="preserve">, u butun tizimga tarqalishi mumkin. Shu sababli</w:t>
      </w:r>
      <w:r>
        <w:t xml:space="preserve"> O.N. Afanasyeva va S.E. Dubova tizimli riskning kesim o‘lchovini, ya’ni konsentratsiya va o‘zaro bog‘liqlikni hamda vaqt o‘lchovini, ya’ni protsiklik va leverejni ajratadi</w:t>
      </w:r>
      <w:r>
        <w:rPr>
          <w:rStyle w:val="aff8"/>
        </w:rPr>
        <w:footnoteReference w:id="112"/>
      </w:r>
      <w:r>
        <w:t xml:space="preserve">. Bu ajratish moliyaviy barqarorlikni alohida bank va bank tizimi darajasida baholash uchun nazariy asos </w:t>
      </w:r>
      <w:r>
        <w:lastRenderedPageBreak/>
      </w:r>
      <w:r>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Nazariy asos</w:t>
            </w:r>
          </w:p>
        </w:tc>
        <w:tc>
          <w:tcPr>
            <w:tcW w:w="317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Mohiyati</w:t>
            </w:r>
          </w:p>
        </w:tc>
        <w:tc>
          <w:tcPr>
            <w:tcW w:w="391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Baholash metodikasi uchun xulosa</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Axborot asimmetriyasi</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aktivlari sifatini tashqaridan aniqlash qiyin</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 shartnomasining zaifligi</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Ishonch yo‘qolsa, ommaviy mablag‘ talab qilish yuz berishi mumkin</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Kapitalning bufer funksiyasi</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kutilmagan yo‘qotishlarni qoplaydi, ammo uning narxi bor</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risk va tashqi ta’sir</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Bitta bank inqirozi butun tizimga tarqalishi mumkin</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4"/>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5"/>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6"/>
      </w:r>
      <w:r>
        <w:t>, A.M. Karminskiyning ekonometrik modellarida esa kapitalning aktivlarga nisbati va kreditlar ulushi bank barqarorligiga optimal oraliq orqali ta’sir qilishi aniqlangan</w:t>
      </w:r>
      <w:r>
        <w:rPr>
          <w:rStyle w:val="aff8"/>
        </w:rPr>
        <w:footnoteReference w:id="117"/>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8"/>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9"/>
      </w:r>
      <w:r>
        <w:t xml:space="preserve">. T.M. Karaliyev va I.F. Sayfiddinov O‘zbekistonda qo‘llanadigan CAMEL tizimida qiyosiy baholash yo‘qligini va aktivlar hamda likvidlik bloklari o‘rtasidagi </w:t>
      </w:r>
      <w:r>
        <w:lastRenderedPageBreak/>
      </w:r>
      <w:r>
        <w:t>ziddiyat hal qilinmaganini qayd etadi</w:t>
      </w:r>
      <w:r>
        <w:rPr>
          <w:rStyle w:val="aff8"/>
        </w:rPr>
        <w:footnoteReference w:id="120"/>
      </w:r>
      <w:r>
        <w:t>. Karminskiy esa reyting sifati kutilgan va haqiqiy natijalarning mos kelishi bilan belgilanishini, ya’ni baholash metodikasining o‘zi ham tarixiy ma’lumotlar asosida tekshirilishi lozimligini ta’kidlaydi</w:t>
      </w:r>
      <w:r>
        <w:rPr>
          <w:rStyle w:val="aff8"/>
        </w:rPr>
        <w:footnoteReference w:id="121"/>
      </w:r>
      <w:r>
        <w:t xml:space="preserve">. Bu tamoyillar ayrim hollarda o‘zaro </w:t>
      </w:r>
      <w:r>
        <w:rPr/>
        <w:t xml:space="preserve">ziddiyatga kirishadi. Masalan, formallashtirish talabi</w:t>
      </w:r>
      <w:r>
        <w:t xml:space="preserve">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2"/>
      </w:r>
      <w:r>
        <w:t>. Lavrushin va Mamonova modellarni maqsadi, yig‘ma bahoni shakllantirish usuli, o‘rganish usuli va shaffofligi bo‘yicha tasniflaydi</w:t>
      </w:r>
      <w:r>
        <w:rPr>
          <w:rStyle w:val="aff8"/>
        </w:rPr>
        <w:footnoteReference w:id="123"/>
      </w:r>
      <w:r>
        <w:t>, M. Modina esa kredit riskini o‘lchash yondashuvlarini bir chekkasida iqtisodiy-statistik, ikkinchi chekkasida ekspert yondashuvi turgan uzluksiz shkala sifatida tasavvur qiladi</w:t>
      </w:r>
      <w:r>
        <w:rPr>
          <w:rStyle w:val="aff8"/>
        </w:rPr>
        <w:footnoteReference w:id="124"/>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Yondashuv</w:t>
            </w:r>
          </w:p>
        </w:tc>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Namunalar</w:t>
            </w:r>
          </w:p>
        </w:tc>
        <w:tc>
          <w:tcPr>
            <w:tcW w:w="243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Afzalliklari</w:t>
            </w:r>
          </w:p>
        </w:tc>
        <w:tc>
          <w:tcPr>
            <w:tcW w:w="272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Kamchiliklari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Koeffitsiyentli (normativ)</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 normativlari, XVJ moliyaviy barqarorlik ko‘rsatkichlari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Sodda, normativlar bilan bevosita bog‘liq</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tarqoq, yagona xulosa yo‘q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Reyting (komponentli)</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CAMELS, Rossiya Bankining 4336-U ko‘rsatmasi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Kompleks, xalqaro e’tirof etilgan</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Subyekt</w:t>
            </w:r>
            <w:r>
              <w:rPr>
                <w:rFonts w:ascii="Times New Roman" w:hAnsi="Times New Roman" w:eastAsia="Times New Roman" w:cs="Times New Roman"/>
                <w:sz w:val="24"/>
                <w:szCs w:val="24"/>
              </w:rPr>
              <w:t xml:space="preserve">iv, natijalar yopiq, vaznlar asoslanmagan</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Risklarga yo‘naltirilgan</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RATE (Buyuk Britaniya), SREP (Yevropa Ittifoqi)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Nazorat resurslarini riskka qarab taqsimlaydi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Ichki axborot va yuqori malaka talab qiladi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Statistik (ekonometrik)</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SEER (avval FIMS),</w:t>
            </w:r>
            <w:r>
              <w:rPr>
                <w:rFonts w:ascii="Times New Roman" w:hAnsi="Times New Roman" w:eastAsia="Times New Roman" w:cs="Times New Roman"/>
                <w:sz w:val="24"/>
                <w:szCs w:val="24"/>
              </w:rPr>
              <w:t xml:space="preserve"> logit va probit modellar, Z-score</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Obyektiv, bashorat kuchi o‘lchanadi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Uzoq tarix va bankrotlik holatlari talab qilinadi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Bozor indikatorlariga asoslangan</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Kredit-defolt svoplari spredlari, aksiya narxlari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Kelajakka yo‘naltirilgan, tezkor</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6"/>
      </w:r>
      <w:r>
        <w:t xml:space="preserve">. Koeffitsiyentli yondashuv normativlar bilan bog‘liq bo‘lsa-da, ko‘rsatkichlarni yagona bahoga keltirmaydi</w:t>
      </w:r>
      <w:r>
        <w:rPr/>
        <w:t xml:space="preserve">. M</w:t>
      </w:r>
      <w:r>
        <w:t xml:space="preserve">asalan, B.T. Berdiyarov Xalqaro valyuta jamg‘armasining 24 ta ko‘rsatkichi asosida milliy baholash tizimini shakllantirishni taklif etgan, ammo ular integral bahoga birlashtirilmagan</w:t>
      </w:r>
      <w:r>
        <w:rPr>
          <w:rStyle w:val="aff8"/>
        </w:rPr>
        <w:footnoteReference w:id="127"/>
      </w:r>
      <w:r>
        <w:t>. Statistik yondashuvning eng sodda va samarali vositasi bo‘lgan Z-score ko‘rsatkichi distressga uchragan banklarning 75 foizini to‘g‘ri aniqlaydi</w:t>
      </w:r>
      <w:r>
        <w:rPr>
          <w:rStyle w:val="aff8"/>
        </w:rPr>
        <w:footnoteReference w:id="128"/>
      </w:r>
      <w:r>
        <w:t>, biroq u uzoq tarixiy ma’lumotlarni talab qiladi, Karminskiy esa defoltlar ulushi taxminan 1 foiz bo‘lganda tanlanmada nomutanosiblik yuzaga kelishini ko‘rsatadi</w:t>
      </w:r>
      <w:r>
        <w:rPr>
          <w:rStyle w:val="aff8"/>
        </w:rPr>
        <w:footnoteReference w:id="129"/>
      </w:r>
      <w:r>
        <w:t>. Bozor indikatorlari faqat aksiyalari birjada savdo qilinadigan banklar uchun qo‘llanishi mumkinligi</w:t>
      </w:r>
      <w:r>
        <w:rPr>
          <w:rStyle w:val="aff8"/>
        </w:rPr>
        <w:footnoteReference w:id="130"/>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w:t>
      </w:r>
      <w:r>
        <w:rPr/>
        <w:t xml:space="preserve">Yuqoridagilardan kelib chiqib aytish mumkinki</w:t>
      </w:r>
      <w:r>
        <w:t xml:space="preserve">, </w:t>
      </w:r>
      <w:r>
        <w:lastRenderedPageBreak/>
      </w:r>
      <w:r>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 xml:space="preserve">Integral baholashning eng munozarali masalasi ko‘rsatkichlarga vazn berishdir. Lavrushin va Mamonova vazn koeffitsiyentlarini belgilash eng </w:t>
      </w:r>
      <w:r>
        <w:rPr/>
        <w:t xml:space="preserve">subyekt</w:t>
      </w:r>
      <w:r>
        <w:t xml:space="preserve">iv masalalardan biri ekanini, ammo hozircha boshqa usul topilmaganini tan oladi</w:t>
      </w:r>
      <w:r>
        <w:rPr>
          <w:rStyle w:val="aff8"/>
        </w:rPr>
        <w:footnoteReference w:id="131"/>
      </w:r>
      <w:r>
        <w:t>, Lavrushin tahriridagi monografiyada esa Rossiyadagi to‘qqizta reyting metodikasida vaznlar ko‘pincha ekspert yo‘li bilan aniqlanishi yoki umuman tushuntirilmasligi ko‘rsatilgan</w:t>
      </w:r>
      <w:r>
        <w:rPr>
          <w:rStyle w:val="aff8"/>
        </w:rPr>
        <w:footnoteReference w:id="132"/>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3"/>
      </w:r>
      <w:r>
        <w:t>, L. Izzi, G. Oricchio va L. Vitale esa vaznlarni regressiya koeffitsiyentlaridan hisoblab, rivojlanayotgan mamlakatlar banklari uchun miqdoriy modulga 80 foiz, sifat moduliga 20 foiz vazn beradi</w:t>
      </w:r>
      <w:r>
        <w:rPr>
          <w:rStyle w:val="aff8"/>
        </w:rPr>
        <w:footnoteReference w:id="134"/>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5"/>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spacing w:after="0" w:line="360" w:lineRule="auto"/>
        <w:ind w:firstLine="709"/>
        <w:jc w:val="both"/>
      </w:pPr>
      <w:r>
        <w:rPr/>
        <w:t xml:space="preserve">1.2.1-rasmdan </w:t>
      </w:r>
      <w:r>
        <w:t xml:space="preserve">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r>
      <w:r>
        <w:t>ichki modellari bir xil kreditlar uchun minus 30 foizdan plyus 190 foizgacha farq qiladigan kapital talabini bergan</w:t>
      </w:r>
      <w:r>
        <w:rPr>
          <w:rStyle w:val="aff8"/>
        </w:rPr>
        <w:footnoteReference w:id="139"/>
      </w:r>
      <w:r>
        <w:t>.</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 xml:space="preserve">birinchi darajali kapital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(2010–2017)</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 birinchi darajali kapital ≥ 6%; konservatsiya va kontrsiklik buferlar; leverej ≥ 3%; LCR, NSFR ≥ 100%; quyi chegara 72,5% (2017)</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 xml:space="preserve">birinchi darajali kapital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(2010–2017)</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 birinchi darajali kapital ≥ 6%; konservatsiya va kontrsiklik buferlar; leverej ≥ 3%; LCR, NSFR ≥ 100%; quyi chegara 72,5% (2017)</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40"/>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1"/>
      </w:r>
      <w:r>
        <w:t>, Modina esa yangi kelishuvning ikki maqsadini – alohida banklarning stressga chidamliligini oshirish va protsiklikni cheklashni ajratadi</w:t>
      </w:r>
      <w:r>
        <w:rPr>
          <w:rStyle w:val="aff8"/>
        </w:rPr>
        <w:footnoteReference w:id="142"/>
      </w:r>
      <w:r>
        <w:t xml:space="preserve">. Bazel III kapital talablarini ham miqdor, ham sifat </w:t>
      </w:r>
      <w:r>
        <w:rPr/>
        <w:t xml:space="preserve">jihatidan kuchaytirdi. Jumladan, birinchi darajali</w:t>
      </w:r>
      <w:r>
        <w:rPr/>
        <w:t xml:space="preserve"> asosiy kapital talabi 2 foizdan 4,5 foizga</w:t>
      </w:r>
      <w:r>
        <w:t xml:space="preserve">, birinchi darajali kapital talabi 4 foizdan 6 foizga oshirildi, bunga qo‘shimcha ravishda </w:t>
      </w:r>
      <w:r>
        <w:rPr/>
        <w:t xml:space="preserve">2,5 foizlik kapitalni saqlash (konservatsiya) buferi va 0–2,5 foizlik</w:t>
      </w:r>
      <w:r>
        <w:t xml:space="preserve"> kontrsiklik bufer joriy etildi</w:t>
      </w:r>
      <w:r>
        <w:rPr>
          <w:rStyle w:val="aff8"/>
        </w:rPr>
        <w:footnoteReference w:id="143"/>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4"/>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r>
      <w:r>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5"/>
      </w:r>
      <w:r>
        <w:t xml:space="preserve">. Konservatsiya buferining o‘ziga xos jihati shundaki, u to‘g‘ridan-to‘g‘ri majburiy minimum emas, balki bank xatti-harakatini cheklovchi </w:t>
      </w:r>
      <w:r>
        <w:rPr/>
        <w:t xml:space="preserve">mexanizm hisoblanadi. Xususan, asosiy kapital</w:t>
      </w:r>
      <w:r>
        <w:t xml:space="preserve"> buferni hisobga olgan holda 7 foizdan past bo‘lsa, bank foydaning bir qismini dividend sifatida taqsimlay olmaydi</w:t>
      </w:r>
      <w:r>
        <w:rPr>
          <w:rStyle w:val="aff8"/>
        </w:rPr>
        <w:footnoteReference w:id="146"/>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7"/>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w:t>
      </w:r>
      <w:r>
        <w:rPr/>
        <w:t xml:space="preserve"> Asosiy kapital 7 foizdan yuqori bo‘lganda esa foydani taqsimlashga cheklov qo‘llanmaydi. Shuni ta’kidlash joizki, ushbu shkala kontrsiklik bufer nolga teng bo‘lgan holat uchun keltirilgan bo‘lib, kontrsiklik bufer joriy etilganda har bir oraliq bufer miqdoriga mutanosib ravishda kengayadi.</w:t>
      </w:r>
      <w:r>
        <w:t xml:space="preserve"> Bu shkala moliyaviy barqarorlikni baholash metodikasi uchun muhim metodologik namuna bo‘lib, kapital ko‘rsatkichini “bajarilgan – bajarilmagan” ikkilik mezoni bilan emas, balki minimumdan qanchalik yuqori ekaniga qarab bir necha pog‘onada baholash </w:t>
      </w:r>
      <w:r>
        <w:lastRenderedPageBreak/>
      </w:r>
      <w:r>
        <w:t xml:space="preserve">mumkinligini ko‘rsatadi. Kontrsiklik bufer esa makroprudensial vosita sifatida kredit/YaIM nisbatining uzoq muddatli trenddan </w:t>
      </w:r>
      <w:r>
        <w:rPr/>
        <w:t xml:space="preserve">og‘ishiga bog‘lanadi. Bunda og‘ish 2 foiz punktdan</w:t>
      </w:r>
      <w:r>
        <w:t xml:space="preserve"> past bo‘lsa bufer nolga teng, 10 foiz punktdan yuqori bo‘lsa 2,5 foizga teng bo‘ladi, Afanasyeva va Dubova esa kredit/YaIM nisbatining yiliga 2–3 foizga oshishi ortiqcha kreditlash xavfidan dalolat berishini ta’kidlaydi</w:t>
      </w:r>
      <w:r>
        <w:rPr>
          <w:rStyle w:val="aff8"/>
        </w:rPr>
        <w:footnoteReference w:id="148"/>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9"/>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50"/>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1"/>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Moddalar</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Koeffitsiyent, %</w:t>
            </w:r>
          </w:p>
        </w:tc>
        <w:tc>
          <w:tcPr>
            <w:tcW w:w="334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Likvidlikni qoplash me’yori: yuqori sifatli likvid aktivlar</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1-daraja: naqd pul, markaziy bankdagi zaxiralar, nol risk vaznli davlat qimmatli qog‘ozlari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Cheklovsiz, diskontsiz</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2A-daraja: 20 foiz risk vaznli qimmatli qog‘ozlar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w:t>
            </w:r>
          </w:p>
        </w:tc>
        <w:tc>
          <w:tcPr>
            <w:tcW w:w="334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likvid aktivlarning 40 foizidan oshmaydi</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2B-daraja: korporativ obligatsiyalar, aksiyalar va boshqalar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50–75</w:t>
            </w:r>
          </w:p>
        </w:tc>
        <w:tc>
          <w:tcPr>
            <w:tcW w:w="334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Likvidlikni qoplash me’yori: pul chiqimi koeffitsiyentlari</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334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Sug‘urtalangan, operatsion bog‘liq</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Kamroq 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va undan yuqori</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Nomoliyaviy korporatsiyalarning operatsion bo‘lmagan mablag‘lari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334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Sug‘urtalanmagan qismi</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Moliya institutlarining operatsion bo‘lmagan mablag‘lari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Sof barqaror moliyalashtirish me’yori: mavjud barqaror moliyalashtirish</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va muddati bir yildan ortiq majburiyatlar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Kamroq 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Nomoliyaviy korporatsiyalarning bir yilgacha mablag‘lari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Sof barqaror moliyalashtirish me’yori: talab qilinadigan barqaror moliyalashtirish</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1-daraja likvid aktivlar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0–5</w:t>
            </w:r>
          </w:p>
        </w:tc>
        <w:tc>
          <w:tcPr>
            <w:tcW w:w="3345" w:type="dxa"/>
          </w:tcPr>
          <w:p w:rsidR="005603EC" w:rsidRDefault="005603E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 yilgacha muddatli chakana va kichik biznes kreditlari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Risk vazni 35 foizgacha bo‘lgan ipoteka kreditlari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Boshqa ishlaydigan kreditlar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w:t>
      </w:r>
      <w:r>
        <w:rPr/>
        <w:t xml:space="preserve">keng tabaqalashtiradi. Bunda, ayniqsa, moliya</w:t>
      </w:r>
      <w:r>
        <w:t xml:space="preserve">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w:t>
      </w:r>
      <w:r>
        <w:rPr/>
        <w:t xml:space="preserve">Shuni ham qayd etish lozimki, B</w:t>
      </w:r>
      <w:r>
        <w:t xml:space="preserve">azel qo‘mitasi 2017-yilda yakuniy islohotlar to‘plamini qabul qilib, standartlashtirilgan yondashuvlarni qayta ko‘rib chiqdi va ichki modellar asosida hisoblangan riskka tortilgan aktivlarning standartlashtirilgan </w:t>
      </w:r>
      <w:r>
        <w:lastRenderedPageBreak/>
      </w:r>
      <w:r>
        <w:t>yondashuv bo‘yicha qiymatining kamida 72,5 foizini tashkil etishini talab qiluvchi quyi chegara joriy etdi</w:t>
      </w:r>
      <w:r>
        <w:rPr>
          <w:rStyle w:val="aff8"/>
        </w:rPr>
        <w:footnoteReference w:id="153"/>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4"/>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5"/>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6"/>
      </w:r>
      <w:r>
        <w:t>. N.E. Sokolinskaya bu o‘zgarishni yuzaga kelgan zararlarga asoslangan yondashuv o‘rniga prognoz yondashuvining kiritilishi deb tavsiflaydi</w:t>
      </w:r>
      <w:r>
        <w:rPr>
          <w:rStyle w:val="aff8"/>
        </w:rPr>
        <w:footnoteReference w:id="157"/>
      </w:r>
      <w:r>
        <w:t>. Standartga ko‘ra, moliyaviy aktivlar kredit sifatining o‘zgarishiga qarab uch bosqichga ajratiladi</w:t>
      </w:r>
      <w:r>
        <w:rPr>
          <w:rStyle w:val="aff8"/>
        </w:rPr>
        <w:footnoteReference w:id="158"/>
      </w:r>
      <w:r>
        <w:t xml:space="preserve"> (1.2.4-rasm).</w:t>
      </w:r>
    </w:p>
    <w:p w:rsidR="005603EC" w:rsidRDefault="00AB61AC">
      <w:pPr>
        <w:pStyle w:val="af"/>
        <w:spacing w:after="0" w:line="360" w:lineRule="auto"/>
        <w:ind w:firstLine="709"/>
        <w:jc w:val="both"/>
      </w:pPr>
      <w:r>
        <w:rPr/>
        <w:t xml:space="preserve">1.2.4-rasmdan </w:t>
      </w:r>
      <w:r>
        <w:t xml:space="preserve">ko‘rinib turibdiki, </w:t>
      </w:r>
      <w:r>
        <w:rPr/>
        <w:t xml:space="preserve">MHXS 9 kutilgan kredit zararlarini muammo yuzaga kelgandan keyin emas, balki aktiv tan olingan kundan boshlab (1-bosqichda 12 oylik) aks ettiradi, kredit riski sezilarli oshgan paytdan, ya’ni 2-bosqichdan boshlab esa butun muddat uchun zaxira talab qiladi.</w:t>
      </w:r>
      <w:r>
        <w:t xml:space="preserve"> Bu xususiyat moliyaviy barqarorlikni baholash uchun ikki jihatdan muhim. Birinchidan, u aktivlar sifati ko‘rsatkichlarini, xususan, zaxiralar bilan qoplanish darajasini ishonchliroq qiladi</w:t>
      </w:r>
      <w:r>
        <w:rPr/>
        <w:t xml:space="preserve">. Masalan, </w:t>
      </w:r>
      <w:r>
        <w:rPr/>
        <w:t xml:space="preserve">N.E. Sokolinskaya hisob-kitobiga ko‘ra, MHXS 9 ga o‘tishda garovdan olingan aktivlar defolt deb hisoblansa, bitta Rossiya banki misolida zaxiralar kredit portfelining 19,1 foiziga yetib, deyarli ikki barobar </w:t>
      </w:r>
      <w:r>
        <w:rPr/>
        <w:t xml:space="preserve">oshadi</w:t>
      </w:r>
      <w:r>
        <w:rPr>
          <w:rStyle w:val="aff8"/>
        </w:rPr>
        <w:footnoteReference w:id="159"/>
      </w:r>
      <w:r>
        <w:rPr/>
        <w:t xml:space="preserve">. Ikkinchidan, milliy</w:t>
      </w:r>
      <w:r>
        <w:t xml:space="preserve"> hisobot va MHXS bo‘yicha hisoblangan ko‘rsatkichlar farqi bankning haqiqiy holatini aniqlashda qo‘shimcha axborot manbai bo‘ladi</w:t>
      </w:r>
      <w:r>
        <w:rPr/>
        <w:t xml:space="preserve">. Jumladan, N.E. Sokolinskaya</w:t>
      </w:r>
      <w:r>
        <w:t xml:space="preserve">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r>
      <w:r>
        <w:t>javob bermasligi ko‘rsatilgan</w:t>
      </w:r>
      <w:r>
        <w:rPr>
          <w:rStyle w:val="aff8"/>
        </w:rPr>
        <w:footnoteReference w:id="161"/>
      </w:r>
      <w:r>
        <w:t>. O‘zbekiston banklari misolida bu farq ikkinchi bobda tahlil qilinadi.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 oshgan aktivlar (30 kundan ortiq kechikish)</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qadrsizlangan aktivlar (90 kundan ortiq kechikish – defolt)</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 oshgan aktivlar (30 kundan ortiq kechikish)</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qadrsizlangan aktivlar (90 kundan ortiq kechikish – defolt)</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62"/>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3"/>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4"/>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5"/>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Mezon</w:t>
            </w:r>
          </w:p>
        </w:tc>
        <w:tc>
          <w:tcPr>
            <w:tcW w:w="153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9</w:t>
            </w:r>
          </w:p>
        </w:tc>
        <w:tc>
          <w:tcPr>
            <w:tcW w:w="164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XVJ moliyaviy barqarorlik ko‘rsatkichlari</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CAMELS</w:t>
            </w:r>
          </w:p>
        </w:tc>
        <w:tc>
          <w:tcPr>
            <w:tcW w:w="164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Reyting agentliklari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maqsad</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Minimal prudensial talablar</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zararlarini to‘g‘ri aks ettirish</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Sektor barqarorligini kuzatish</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Nazorat reytingi</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Investorlarga axborot</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darajasi</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 va tizim</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 sektori</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Qamraydigan bloklar</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Kapital, leverej, likvidlik</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64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aktivlar, daromad, likvidlik, bozor riski</w:t>
            </w:r>
          </w:p>
        </w:tc>
        <w:tc>
          <w:tcPr>
            <w:tcW w:w="158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aktivlar, boshqaruv, daromad, likvidlik, bozor riski</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Biznes va moliyaviy profil</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Mezoniy qiymatlar</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(minimumlar)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 (tamoyillar)</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(ballar)</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Ichki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Yagona integral baho</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(1–5)</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(reyting)</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Natijaning oshkoraligi</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Normativlar ochiq</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Yopiq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cheklovi</w:t>
            </w:r>
          </w:p>
        </w:tc>
        <w:tc>
          <w:tcPr>
            <w:tcW w:w="153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va daromadlilikni qamramaydi</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Faqat kredit zararlari (qadrsizlanish); o‘zi baholash tizimi emas</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baho yo‘q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Subyekt</w:t>
            </w:r>
            <w:r>
              <w:rPr>
                <w:rFonts w:ascii="Times New Roman" w:hAnsi="Times New Roman" w:eastAsia="Times New Roman" w:cs="Times New Roman"/>
                <w:sz w:val="24"/>
                <w:szCs w:val="24"/>
              </w:rPr>
              <w:t xml:space="preserve">iv, yopiq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Hamma banklarni qamramaydi</w:t>
            </w:r>
          </w:p>
        </w:tc>
      </w:tr>
    </w:tbl>
    <w:p w:rsidR="005603EC" w:rsidRDefault="00AB61AC">
      <w:pPr>
        <w:pStyle w:val="af"/>
        <w:spacing w:after="0" w:line="360" w:lineRule="auto"/>
        <w:ind w:firstLine="709"/>
        <w:jc w:val="both"/>
      </w:pPr>
      <w:r>
        <w:t xml:space="preserve">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w:t>
      </w:r>
      <w:r>
        <w:rPr/>
        <w:t xml:space="preserve">subyekt</w:t>
      </w:r>
      <w:r>
        <w:t xml:space="preserve">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7"/>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spacing w:after="0" w:line="360" w:lineRule="auto"/>
        <w:ind w:firstLine="709"/>
        <w:jc w:val="both"/>
      </w:pPr>
      <w:r>
        <w:rPr/>
        <w:t xml:space="preserve">1.2.5-jadvaldan </w:t>
      </w:r>
      <w:r>
        <w:rPr/>
        <w:t xml:space="preserve">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r>
        <w:rPr/>
        <w:t xml:space="preserve"> Bu esa O‘zbekiston sharoitida valyuta riskiga sezgirlikni integral bahoning alohida bloki sifatida ajratish zarurligini ko‘rsatadi.</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Standart / blok</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Kapital yetarliligi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Aktivlar sifati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Daromadlilik</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Likvidlik</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Bozor (valyuta) riskiga sezgirlik</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CET1 ≥ 4,5%, jami ≥ 8% (+2,5% bufer), leverej ≥ 3%</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LCR ≥ 100%, NSFR ≥ 100%</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bozor riski uchun kapital talabi</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MHXS 9</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kutilgan zarar zaxiralari orqali</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kutilgan kredit zararlari, 3 bosqichli tasnif</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zaxira xarajatlari orqali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XVJ moliyaviy barqarorlik ko‘rsatkichlari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regulyativ kapital / RWA</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muammoli kreditlar / jami kreditlar</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ROA, ROE</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likvid aktivlar / jami aktivlar</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sof ochiq valyuta pozitsiyasi / kapital</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CAMELS</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C – kapital</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A – aktivlar sifati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E – daromadlilik</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L – likvidlik</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S – bozor riskiga sezgirlik</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Reyting agentliklari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kapitallashuv</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aktivlar sifati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daromadlilik</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moliyalashtirish va likvidlik</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xorijiy valyutadagi likvidlik</w:t>
            </w:r>
          </w:p>
        </w:tc>
      </w:tr>
      <w:tr>
        <w:tc>
          <w:tcPr>
            <w:tcW w:type="dxa" w:w="1700"/>
            <w:vAlign w:val="center"/>
            <w:shd w:val="clear" w:color="auto" w:fill="DEEBF7"/>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Integral bahoga hissasi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 mezonlari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9 bo‘yicha baholash</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XVJ va CAMELS ko‘rsatkichlari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 mezonlari</w:t>
            </w:r>
          </w:p>
        </w:tc>
        <w:tc>
          <w:tcPr>
            <w:tcW w:type="dxa" w:w="1531"/>
            <w:vAlign w:val="center"/>
            <w:shd w:val="clear" w:color="auto" w:fill="DEEBF7"/>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w:t>
      </w:r>
      <w:r>
        <w:rPr/>
        <w:t xml:space="preserve"> hamda</w:t>
      </w:r>
      <w:r>
        <w:t xml:space="preserve">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70"/>
      </w:r>
      <w:r>
        <w:t>. Ushbu toifalar va ularga mansub milliy tizimlar 1.3.1-rasmda umumlashtirildi.</w:t>
      </w:r>
    </w:p>
    <w:p w:rsidR="005603EC" w:rsidRDefault="00AB61AC">
      <w:pPr>
        <w:pStyle w:val="af"/>
        <w:spacing w:after="0" w:line="360" w:lineRule="auto"/>
        <w:ind w:firstLine="709"/>
        <w:jc w:val="both"/>
      </w:pPr>
      <w:r>
        <w:rPr/>
        <w:t xml:space="preserve">1.3.1-rasmdagi tasnifdan ko‘rinib</w:t>
      </w:r>
      <w:r>
        <w:t xml:space="preserve">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1"/>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Mamlakat</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Tizim (joriy etilgan yili)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Turi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xususiyatlari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CAMEL (1978–1979)</w:t>
            </w:r>
            <w:r>
              <w:rPr>
                <w:rFonts w:ascii="Times New Roman" w:hAnsi="Times New Roman" w:eastAsia="Times New Roman" w:cs="Times New Roman"/>
                <w:sz w:val="24"/>
                <w:szCs w:val="24"/>
              </w:rPr>
              <w:t xml:space="preserve">, CAMELS (1997)</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Reyting</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SEER (1993, avval FIMS), SCOR (1995)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Statistik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Buyuk Britaniya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RATE (1998–2013)</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Risklarni kompleks baholash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Germaniya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BAKIS (1997)</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Koeffitsiyentlar va guruhlab tahlil</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47 ko‘rsatkich, teng vaznlar; guruh o‘rtachasi bilan taqqoslash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Fransiya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ORAP (1997), SAABA (1997)</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Reyting va statistik-ekspert model</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Italiya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PATROL (1993)</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Reyting</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Niderlandiya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RAST (1999)</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Risklarni kompleks baholash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w:t>
      </w:r>
      <w:r>
        <w:rPr/>
        <w:t xml:space="preserve">. Masalan,</w:t>
      </w:r>
      <w:r>
        <w:t xml:space="preserve"> 1929–1933-yillarda taxminan 10 ming bank, 2009-yilning o‘zida esa 140 bank inqirozga uchragan</w:t>
      </w:r>
      <w:r>
        <w:rPr>
          <w:rStyle w:val="aff8"/>
        </w:rPr>
        <w:footnoteReference w:id="173"/>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4"/>
      </w:r>
      <w:r>
        <w:t xml:space="preserve">. Har bir komponent 1 (eng yaxshi) dan 5 (eng yomon) gacha baholanadi. Ta’kidlash lozimki, </w:t>
      </w:r>
      <w:r>
        <w:lastRenderedPageBreak/>
      </w:r>
      <w:r>
        <w:t xml:space="preserve">T.F. Cargill fikricha, yig‘ma ball komponentlarning oddiy o‘rtachasi emas, balki tekshiruv guruhining umumiy bahosidir</w:t>
      </w:r>
      <w:r>
        <w:rPr/>
        <w:t xml:space="preserve">. Bunda</w:t>
      </w:r>
      <w:r>
        <w:t xml:space="preserve"> 3, 4 yoki 5 ball olgan bank “muammoli banklar” ro‘yxatiga kiritiladi, ballarning o‘zi esa omonatchilar orasida vahima chiqarmaslik uchun oshkor qilinmaydi</w:t>
      </w:r>
      <w:r>
        <w:rPr>
          <w:rStyle w:val="aff8"/>
        </w:rPr>
        <w:footnoteReference w:id="175"/>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6"/>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7"/>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8"/>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9"/>
      </w:r>
      <w:r>
        <w:t xml:space="preserve">. </w:t>
      </w:r>
      <w:r>
        <w:rPr/>
        <w:t xml:space="preserve">Fikrimiz</w:t>
      </w:r>
      <w:r>
        <w:t xml:space="preserve">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80"/>
      </w:r>
      <w:r>
        <w:rPr/>
        <w:t xml:space="preserve">.</w:t>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1"/>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2"/>
      </w:r>
      <w:r>
        <w:rPr/>
        <w:t xml:space="preserve">. Rasm ma’lumotlari shuni ko‘rsatadiki, modellarni baholashda foydalanilmagan keyingi davrda eng yaxshi natijani tasodifiy o‘rmon </w:t>
      </w:r>
      <w:r>
        <w:rPr/>
        <w:t xml:space="preserve">usuli bergan. Xususan, u zaif banklarning</w:t>
      </w:r>
      <w:r>
        <w:rPr/>
        <w:t xml:space="preserve">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3"/>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4"/>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 xml:space="preserve">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w:t>
      </w:r>
      <w:r>
        <w:rPr/>
        <w:t xml:space="preserve">ta’rifini yumshatdi, ya’ni endi bitta</w:t>
      </w:r>
      <w:r>
        <w:t xml:space="preserve"> komponent bo‘yicha qoniqarsiz baho bankni bu toifadan chiqarib yubormaydi</w:t>
      </w:r>
      <w:r>
        <w:rPr>
          <w:rStyle w:val="aff8"/>
        </w:rPr>
        <w:footnoteReference w:id="185"/>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6"/>
      </w:r>
      <w:r>
        <w:t>.</w:t>
      </w:r>
      <w:r>
        <w:rPr/>
        <w:t xml:space="preserve"> Federal rezerv tizimining nazorat bo‘yicha rais </w:t>
      </w:r>
      <w:r>
        <w:rPr/>
        <w:lastRenderedPageBreak/>
      </w:r>
      <w:r>
        <w:rPr/>
        <w:t>o‘rinbosari M. Bowman bu o‘zgarishni nazoratning shaffoflik, miqdoriy omillar va bashorat qilinuvchanlik tomon qat’iy burilishi deb baholagan, taklif bo‘yicha fikrlar esa 2026-yil 17-avgustgacha qabul qilinadi</w:t>
      </w:r>
      <w:r>
        <w:rPr>
          <w:rStyle w:val="aff8"/>
        </w:rPr>
        <w:footnoteReference w:id="187"/>
      </w:r>
      <w:r>
        <w:rPr/>
        <w:t>.</w:t>
      </w:r>
      <w:r>
        <w:t xml:space="preserve"> </w:t>
      </w:r>
      <w:r>
        <w:rPr/>
        <w:t xml:space="preserve">Stress-testlar ham isloh qilindi. Jumladan, 2026-yil</w:t>
      </w:r>
      <w:r>
        <w:t xml:space="preserve"> sentabrida qabul qilingan qoidalarga ko‘ra, ssenariylar va modellar har yili jamoatchilik muhokamasiga qo‘yiladi, stress-test asosidagi kapital buferi esa ikki yillik natijalarning o‘rtachasi bo‘yicha belgilanadi</w:t>
      </w:r>
      <w:r>
        <w:rPr>
          <w:rStyle w:val="aff8"/>
        </w:rPr>
        <w:footnoteReference w:id="188"/>
      </w:r>
      <w:r>
        <w:t xml:space="preserve">. Nihoyat, 2026-yil martida Bazel III ning yakuniy standartlarini joriy etish bo‘yicha qayta ishlangan takliflar e’lon qilindi</w:t>
      </w:r>
      <w:r>
        <w:rPr/>
        <w:t xml:space="preserve">. Bu taklif</w:t>
      </w:r>
      <w:r>
        <w:t xml:space="preserve">lar faqat eng yirik banklarga tatbiq etilishi va umumiy kapital talablarini biroz pasaytirishi kutilmoqda</w:t>
      </w:r>
      <w:r>
        <w:rPr>
          <w:rStyle w:val="aff8"/>
        </w:rPr>
        <w:footnoteReference w:id="189"/>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 xml:space="preserve">Shu bilan birga, AQSh tajribasi tartibga solish maqsadlari o‘rtasidagi ziddiyatni ham namoyon etadi. J.M. Hendrickson qayd etishicha, kam daromadli aholini kreditlashni talab qiluvchi CRA qonuni bank kapitaliga qo‘yiladigan </w:t>
      </w:r>
      <w:r>
        <w:rPr/>
        <w:t xml:space="preserve">talablarga zid keladi, chunki tavakkalchilik</w:t>
      </w:r>
      <w:r>
        <w:t xml:space="preserve"> bilan kreditlash CRA reytingini yaxshilaydi, ammo CAMELS reytingini yomonlashtiradi</w:t>
      </w:r>
      <w:r>
        <w:rPr/>
        <w:t xml:space="preserve">. Muallif ma’lumotiga ko‘ra,</w:t>
      </w:r>
      <w:r>
        <w:t xml:space="preserve"> 1993–2007-yillarda 3,5 trln dollardan ortiq CRA kreditlari berilgan</w:t>
      </w:r>
      <w:r>
        <w:rPr>
          <w:rStyle w:val="aff8"/>
        </w:rPr>
        <w:footnoteReference w:id="190"/>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1"/>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2"/>
      </w:r>
      <w:r>
        <w:rPr>
          <w:rStyle w:val="aff8"/>
        </w:rPr>
        <w:footnoteReference w:id="193"/>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4"/>
      </w:r>
      <w:r>
        <w:rPr/>
        <w:t xml:space="preserve"> (1.3.4-rasm).</w:t>
      </w:r>
      <w:r>
        <w:lastRenderedPageBreak/>
      </w:r>
    </w:p>
    <w:p w:rsidR="005603EC" w:rsidRDefault="00AB61AC">
      <w:pPr>
        <w:pStyle w:val="af"/>
        <w:spacing w:after="0" w:line="360" w:lineRule="auto"/>
        <w:ind w:firstLine="709"/>
        <w:jc w:val="both"/>
      </w:pPr>
      <w:r>
        <w:rPr/>
        <w:t xml:space="preserve">1.3.4-rasmdan </w:t>
      </w:r>
      <w:r>
        <w:rPr/>
        <w:t xml:space="preserve">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5"/>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6"/>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w:t>
      </w:r>
      <w:r>
        <w:rPr/>
        <w:t xml:space="preserve">o‘z ichiga oladi. Ulardan 19 tasi</w:t>
      </w:r>
      <w:r>
        <w:lastRenderedPageBreak/>
      </w:r>
      <w:r>
        <w:t xml:space="preserve"> kredit riski, 16 tasi bozor riski, 2 tasi likvidlik, 10 tasi rentabellik bilan bog‘liq. Barcha ko‘rsatkichlar teng vaznda olinadi va bank ko‘rsatkichlari o‘xshash banklar guruhining o‘rtachasi bilan taqqoslanadi</w:t>
      </w:r>
      <w:r>
        <w:rPr>
          <w:rStyle w:val="aff8"/>
        </w:rPr>
        <w:footnoteReference w:id="197"/>
      </w:r>
      <w:r>
        <w:t xml:space="preserve">. Teng vaznlar baholovchining </w:t>
      </w:r>
      <w:r>
        <w:rPr/>
        <w:t xml:space="preserve">subyekt</w:t>
      </w:r>
      <w:r>
        <w:t xml:space="preserve">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8"/>
      </w:r>
      <w:r>
        <w:t>. Italiyada esa 1993-yildan PATROL tizimi masofaviy nazorat va reyting baholash uchun ishlatiladi</w:t>
      </w:r>
      <w:r>
        <w:rPr>
          <w:rStyle w:val="aff8"/>
        </w:rPr>
        <w:footnoteReference w:id="199"/>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200"/>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r>
      <w:r>
        <w:t xml:space="preserve">Yevropa tizimli risklar kengashi amalga oshiradi</w:t>
      </w:r>
      <w:r>
        <w:rPr/>
        <w:t xml:space="preserve">, Yevropa bank boshqarmasi esa</w:t>
      </w:r>
      <w:r>
        <w:t xml:space="preserve"> yagona qoidalar va ma’lumotlar bazasini ta’minlaydi</w:t>
      </w:r>
      <w:r>
        <w:rPr>
          <w:rStyle w:val="aff8"/>
        </w:rPr>
        <w:footnoteReference w:id="201"/>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2"/>
      </w:r>
      <w:r>
        <w:t xml:space="preserve">. Iqtisodiy tanazzul davrida ular o‘rtasidagi </w:t>
      </w:r>
      <w:r>
        <w:rPr/>
        <w:t xml:space="preserve">ziddiyat kuchayadi, chunki makroprudensial siyosat</w:t>
      </w:r>
      <w:r>
        <w:t xml:space="preserve">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3"/>
      </w:r>
      <w:r>
        <w:t>. Bu banklar har bir milliy bank sektori aktivlarining kamida 50 foizini qamrab oladi</w:t>
      </w:r>
      <w:r>
        <w:rPr>
          <w:rStyle w:val="aff8"/>
        </w:rPr>
        <w:footnoteReference w:id="204"/>
      </w:r>
      <w:r>
        <w:t>. Indikatorlar to‘rt blokka – kapital yetarliligi, aktivlar sifati, rentabellik va balans tuzilmasiga ajratilgan bo‘lib, ular asosida 11 ta risk omilini aks ettiruvchi “risklar paneli” shakllantiriladi</w:t>
      </w:r>
      <w:r>
        <w:rPr>
          <w:rStyle w:val="aff8"/>
        </w:rPr>
        <w:footnoteReference w:id="205"/>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r>
      <w:r>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6"/>
      </w:r>
      <w:r>
        <w:t xml:space="preserve">. </w:t>
      </w:r>
      <w:r>
        <w:rPr/>
        <w:t xml:space="preserve">E. Gualandri va M. Noera</w:t>
      </w:r>
      <w:r>
        <w:t xml:space="preserve"> eng maqbul yondashuv sifatida qat’iy bazaviy qoidani va unga qo‘shiladigan, vaziyatga qarab o‘zgartiriladigan diskretsion vositalarni ko‘rsatadi</w:t>
      </w:r>
      <w:r>
        <w:rPr>
          <w:rStyle w:val="aff8"/>
        </w:rPr>
        <w:footnoteReference w:id="207"/>
      </w:r>
      <w:r>
        <w:t>.</w:t>
      </w:r>
    </w:p>
    <w:p w:rsidR="005603EC" w:rsidRDefault="00AB61AC">
      <w:pPr>
        <w:pStyle w:val="af"/>
        <w:spacing w:after="0" w:line="360" w:lineRule="auto"/>
        <w:ind w:firstLine="709"/>
        <w:jc w:val="both"/>
      </w:pPr>
      <w:r>
        <w:t xml:space="preserve">Yevropa Ittifoqida Bazel III ning yakuniy standartlarini joriy etish ham so‘nggi yillarda nihoyasiga yetmoqda. 2025-yil 1-yanvardan kapital talablari bo‘yicha yangi reglament (CRR3) amalga kirdi</w:t>
      </w:r>
      <w:r>
        <w:rPr/>
        <w:t xml:space="preserve">. U</w:t>
      </w:r>
      <w:r>
        <w:t xml:space="preserve">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8"/>
      </w:r>
      <w:r>
        <w:t>. Buyuk Britaniyada bu standartlar 2027-yil 1-yanvardan kuchga kiradi</w:t>
      </w:r>
      <w:r>
        <w:rPr>
          <w:rStyle w:val="aff8"/>
        </w:rPr>
        <w:footnoteReference w:id="209"/>
      </w:r>
      <w:r>
        <w:t xml:space="preserve">. Nazorat stress-testlari ham </w:t>
      </w:r>
      <w:r>
        <w:rPr/>
        <w:t xml:space="preserve">muntazam davom etmoqda. Masalan, Yevropa bank</w:t>
      </w:r>
      <w:r>
        <w:t xml:space="preserve">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10"/>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Yil</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Hujjat</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15-3-3/668-son xat</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CAMEL ga asoslangan, 4 parametr</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1997</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457-son xat</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766-U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Asoslangan mulohaza tamoyili joriy etildi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2004</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1379-U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2008</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2005-U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guruh; 12 oylik prognoz; strategik risk bloki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2017</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4336-U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2025</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qisqa muddatli likvidlik normativi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7302-U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4336-U ko‘rsatmaga o‘zgartirishlar (2026-yil </w:t>
            </w:r>
            <w:r>
              <w:rPr>
                <w:rFonts w:ascii="Times New Roman" w:hAnsi="Times New Roman" w:eastAsia="Times New Roman" w:cs="Times New Roman"/>
                <w:sz w:val="24"/>
                <w:szCs w:val="24"/>
              </w:rPr>
              <w:t xml:space="preserve">1-oktabrdan</w:t>
            </w:r>
            <w:r>
              <w:rPr>
                <w:rFonts w:ascii="Times New Roman" w:hAnsi="Times New Roman" w:eastAsia="Times New Roman" w:cs="Times New Roman"/>
                <w:sz w:val="24"/>
                <w:szCs w:val="24"/>
              </w:rPr>
              <w:t xml:space="preserve">):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 xml:space="preserve">Jadvaldan ko‘rinib turibdiki, Rossiya tizimi dastlab AQShning CAMEL tizimidan andoza olib, keyinchalik uni o‘z ehtiyojlariga moslashtirgan. Ayniqsa, 2004-yildagi 1379-U ko‘rsatma </w:t>
      </w:r>
      <w:r>
        <w:rPr/>
        <w:t xml:space="preserve">burilish nuqtasi bo‘ldi, chunki omonatlarni</w:t>
      </w:r>
      <w:r>
        <w:t xml:space="preserve"> sug‘urtalash tizimiga qabul qilish uchun banklarni ochiq mezonlar asosida saralash zarurati ballik shkala, vaznlar va yig‘ma ballning paydo bo‘lishiga olib keldi. 1997-yilgi baholash natijalari esa o‘sha davrdagi vaziyat qanchalik og‘ir </w:t>
      </w:r>
      <w:r>
        <w:rPr/>
        <w:t xml:space="preserve">bo‘lganini ko‘rsatadi. O‘shanda banklarning 40</w:t>
      </w:r>
      <w:r>
        <w:t xml:space="preserve"> foizdan ortig‘i muammoli deb topilgan.</w:t>
      </w:r>
    </w:p>
    <w:p w:rsidR="005603EC" w:rsidRDefault="00AB61AC">
      <w:pPr>
        <w:pStyle w:val="af"/>
        <w:spacing w:after="0" w:line="360" w:lineRule="auto"/>
        <w:ind w:firstLine="709"/>
        <w:jc w:val="both"/>
      </w:pPr>
      <w:r>
        <w:rPr/>
        <w:t xml:space="preserve">Xususan, 2</w:t>
      </w:r>
      <w:r>
        <w:t xml:space="preserve">005-U ko‘rsatmaga asoslangan tizimda kapital, aktivlar, daromadlilik, likvidlik va boshqaruv sifati guruhlari bo‘yicha ko‘rsatkichlar 1–4 ballik shkalada </w:t>
      </w:r>
      <w:r>
        <w:lastRenderedPageBreak/>
      </w:r>
      <w:r>
        <w:t>baholanadi va har biriga vazn beriladi. Masalan, N1 kapital yetarliligi normativi bo‘yicha 1 ball olish uchun kamida 14 foiz talab qilinadi, uning vazni esa 3 ga teng</w:t>
      </w:r>
      <w:r>
        <w:rPr>
          <w:rStyle w:val="aff8"/>
        </w:rPr>
        <w:footnoteReference w:id="212"/>
      </w:r>
      <w:r>
        <w:t xml:space="preserve">.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w:t>
      </w:r>
      <w:r>
        <w:rPr/>
        <w:t xml:space="preserve">subyekt</w:t>
      </w:r>
      <w:r>
        <w:t xml:space="preserve">ivlikni ko‘rsatadi</w:t>
      </w:r>
      <w:r>
        <w:rPr>
          <w:rStyle w:val="aff8"/>
        </w:rPr>
        <w:footnoteReference w:id="213"/>
      </w:r>
      <w:r>
        <w:t>. Bundan tashqari, komponentlar bir-biri bilan bog‘lanmagan holda baholanadi, holbuki amalda kapital, likvidlik va aktivlar sifati o‘zaro chambarchas bog‘liq</w:t>
      </w:r>
      <w:r>
        <w:rPr>
          <w:rStyle w:val="aff8"/>
        </w:rPr>
        <w:footnoteReference w:id="214"/>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5"/>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6"/>
      </w:r>
    </w:p>
    <w:p w:rsidR="005603EC" w:rsidRDefault="00AB61AC">
      <w:pPr>
        <w:pStyle w:val="af"/>
        <w:spacing w:after="0" w:line="360" w:lineRule="auto"/>
        <w:ind w:firstLine="709"/>
        <w:jc w:val="both"/>
      </w:pPr>
      <w:r>
        <w:t xml:space="preserve">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w:t>
      </w:r>
      <w:r>
        <w:rPr/>
        <w:t xml:space="preserve">. Bundan tashqari,</w:t>
      </w:r>
      <w:r>
        <w:t xml:space="preserve"> yuqori sifatli likvid aktivlarning 19 toifasidan mahalliy bozorda faqat 4 tasi mavjud edi</w:t>
      </w:r>
      <w:r>
        <w:rPr>
          <w:rStyle w:val="aff8"/>
        </w:rPr>
        <w:footnoteReference w:id="217"/>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w:t>
      </w:r>
      <w:r>
        <w:rPr/>
        <w:t xml:space="preserve">1-martdan boshlandi. Bunda normativning</w:t>
      </w:r>
      <w:r>
        <w:t xml:space="preserve">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w:t>
      </w:r>
      <w:r>
        <w:rPr/>
        <w:t xml:space="preserve">. Biroq</w:t>
      </w:r>
      <w:r>
        <w:rPr/>
        <w:t xml:space="preserve"> 2024-yil dekabrida jadval o‘zgartirilib, 60 foizlik bosqich yarim yilga surildi</w:t>
      </w:r>
      <w:r>
        <w:rPr>
          <w:rStyle w:val="aff8"/>
        </w:rPr>
        <w:footnoteReference w:id="218"/>
      </w:r>
      <w:r>
        <w:rPr/>
        <w:t xml:space="preserve"/>
      </w:r>
      <w:r>
        <w:rPr>
          <w:rStyle w:val="aff8"/>
        </w:rPr>
        <w:footnoteReference w:id="219"/>
      </w:r>
      <w:r>
        <w:rPr/>
        <w:t xml:space="preserve">.</w:t>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w:t>
      </w:r>
      <w:r>
        <w:rPr/>
        <w:t xml:space="preserve">. U</w:t>
      </w:r>
      <w:r>
        <w:t xml:space="preserve">ning minimal darajasi 2025-yilda 80 foiz, 2026-yil 1-yanvardan 100 foiz etib belgilandi</w:t>
      </w:r>
      <w:r>
        <w:rPr>
          <w:rStyle w:val="aff8"/>
        </w:rPr>
        <w:footnoteReference w:id="220"/>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1"/>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2"/>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3"/>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4"/>
      </w:r>
      <w:r>
        <w:t xml:space="preserve">. Bu arxitektura AQSh Federal rezerv tizimi nazorat stress-testlarining mantig‘iga ancha yaqin (1.3.6-rasm). So‘nggi yillarda makroprudensial vositalar ham </w:t>
      </w:r>
      <w:r>
        <w:rPr/>
        <w:t xml:space="preserve">faol qo‘llanmoqda. Xususan, Rossiya banki</w:t>
      </w:r>
      <w:r>
        <w:t xml:space="preserve"> 2024-yil noyabrida birinchi marta kontrsiklik buferning musbat darajasini belgilab, uni 2025-yil 1-fevraldan 0,25 foiz, 1-iyuldan 0,5 foiz qilib o‘rnatdi</w:t>
      </w:r>
      <w:r>
        <w:rPr>
          <w:rStyle w:val="aff8"/>
        </w:rPr>
        <w:footnoteReference w:id="225"/>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6"/>
      </w:r>
    </w:p>
    <w:p w:rsidR="005603EC" w:rsidRDefault="00AB61AC">
      <w:pPr>
        <w:pStyle w:val="af"/>
        <w:spacing w:after="0" w:line="360" w:lineRule="auto"/>
        <w:ind w:firstLine="709"/>
        <w:jc w:val="both"/>
      </w:pPr>
      <w:r>
        <w:lastRenderedPageBreak/>
      </w:r>
      <w:r>
        <w:rPr/>
        <w:t xml:space="preserve">Makroprudensial monitoringning muhim yo‘nalishlaridan biri tizimli ahamiyatli banklarni aniqlash hisoblanadi. T</w:t>
      </w:r>
      <w:r>
        <w:t xml:space="preserve">izimli ahamiyatli kredit tashkilotlarini aniqlashda Rossiya banki 3737-U ko‘rsatmasiga tayanadi</w:t>
      </w:r>
      <w:r>
        <w:rPr>
          <w:rStyle w:val="aff8"/>
        </w:rPr>
        <w:footnoteReference w:id="227"/>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8"/>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9"/>
      </w:r>
      <w: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w:t>
      </w:r>
      <w:r>
        <w:rPr/>
        <w:t xml:space="preserve">edi va 2011-yil iyunidan boshlab bu ko‘rsatkich har kuni monitoring qilingan</w:t>
      </w:r>
      <w:r>
        <w:rPr/>
        <w:t xml:space="preserve">. I</w:t>
      </w:r>
      <w:r>
        <w:t xml:space="preserve">nqirozdan keyin esa kutilgan zararlar bo‘yicha 2,5 foizlik zaxira normativi joriy etilgan</w:t>
      </w:r>
      <w:r>
        <w:rPr>
          <w:rStyle w:val="aff8"/>
        </w:rPr>
        <w:footnoteReference w:id="230"/>
      </w:r>
      <w:r>
        <w:t>. Keyinchalik, 2015-yilda kreditlarning depozitlarga nisbati bo‘yicha qat’iy cheklov qonundan chiqarilib, monitoring ko‘rsatkichiga aylantirildi</w:t>
      </w:r>
      <w:r>
        <w:rPr>
          <w:rStyle w:val="aff8"/>
        </w:rPr>
        <w:footnoteReference w:id="231"/>
      </w:r>
      <w:r>
        <w:t>. Tizimli ahamiyatli banklarga yuqori kapital talablari qo‘yilgan: asosiy kapital 8,5 foiz, birinchi darajali kapital 9,5 foiz, jami kapital 11,5 foiz</w:t>
      </w:r>
      <w:r>
        <w:rPr>
          <w:rStyle w:val="aff8"/>
        </w:rPr>
        <w:footnoteReference w:id="232"/>
      </w:r>
      <w:r>
        <w:t xml:space="preserve">. 2024-yil 1-yanvardan esa tijorat banklari kapitalini boshqarish bo‘yicha yangi </w:t>
      </w:r>
      <w:r>
        <w:lastRenderedPageBreak/>
      </w:r>
      <w:r>
        <w:t xml:space="preserve">qoidalar kuchga kirdi. </w:t>
      </w:r>
      <w:r>
        <w:rPr/>
        <w:t xml:space="preserve">Ularga</w:t>
      </w:r>
      <w:r>
        <w:t xml:space="preserve">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3"/>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 xml:space="preserve">Biroq Xitoy tajribasi rasmiy ko‘rsatkichlarning ishonchliligi muammosini ham ochiq namoyon etadi. Bu muammo ilmiy adabiyotda </w:t>
      </w:r>
      <w:r>
        <w:rPr/>
        <w:t xml:space="preserve">ancha oldin qayd etilgan. Masalan, 2010-yillarning</w:t>
      </w:r>
      <w:r>
        <w:t xml:space="preserve"> o‘rtalarida rasmiy ma’lumotlarda muammoli kreditlar ulushi 1,5 foiz deb e’lon qilingan bo‘lsa-da, mustaqil baholarga ko‘ra u 8–12 foizni tashkil etgan</w:t>
      </w:r>
      <w:r>
        <w:rPr>
          <w:rStyle w:val="aff8"/>
        </w:rPr>
        <w:footnoteReference w:id="234"/>
      </w:r>
      <w:r>
        <w:t>. XVJ esa 2016-yilda Xitoy kompaniyalariga berilgan tijorat kreditlarining 15,5 foizi “risk ostida” ekanini va ular bo‘yicha potensial yo‘qotishlar YaIMning qariyb 7 foiziga teng bo‘lishi mumkinligini baholagan</w:t>
      </w:r>
      <w:r>
        <w:rPr>
          <w:rStyle w:val="aff8"/>
        </w:rPr>
        <w:footnoteReference w:id="235"/>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6"/>
      </w:r>
      <w:r>
        <w:rPr/>
        <w:t xml:space="preserve">. Biroq ularning yonida “alohida e’tibor talab qiluvchi” kreditlar ham bor bo‘lib, ularning ulushi shu yillarda 2,2–2,3 foiz atrofida saqlanib kelmoqda</w:t>
      </w:r>
      <w:r>
        <w:rPr/>
        <w:t xml:space="preserve">. Ikkala toifa qo‘shilganda es</w:t>
      </w:r>
      <w:r>
        <w:rPr/>
        <w:t xml:space="preserve">a 2025-yil oxirida muammoli aktivlar ulushi 3,7 foizga </w:t>
      </w:r>
      <w:r>
        <w:rPr/>
        <w:t xml:space="preserve">yetadi</w:t>
      </w:r>
      <w:r>
        <w:rPr>
          <w:rStyle w:val="aff8"/>
        </w:rPr>
        <w:footnoteReference w:id="237"/>
      </w:r>
      <w:r>
        <w:rPr/>
        <w:t xml:space="preserve">. B. Charoenwong, M. Miao</w:t>
      </w:r>
      <w:r>
        <w:t xml:space="preserve"> va T. Ruan esa banklar muammoli kreditlarni o‘zlariga bog‘liq tomonlarga “sotib”, ularning riskini amalda </w:t>
      </w:r>
      <w:r>
        <w:rPr/>
        <w:t xml:space="preserve">o‘zlarida</w:t>
      </w:r>
      <w:r>
        <w:t xml:space="preserve"> qoldirayotganini aniqlagan. Mualliflar fikricha, shunday yashirin kreditlar hisobga </w:t>
      </w:r>
      <w:r>
        <w:lastRenderedPageBreak/>
      </w:r>
      <w:r>
        <w:t>olinsa, Xitoyda muammoli kreditlarning haqiqiy hajmi rasmiy ko‘rsatkichdan 2–3 barobar ko‘p bo‘ladi</w:t>
      </w:r>
      <w:r>
        <w:rPr>
          <w:rStyle w:val="aff8"/>
        </w:rPr>
        <w:footnoteReference w:id="238"/>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9"/>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40"/>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1"/>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2"/>
      </w:r>
      <w:r>
        <w:t>. Braziliyada Bazel III dan oldin kapital yetarliligiga talab 11 foiz bo‘lib, talab qilib olinguncha depozitlar bo‘yicha majburiy zaxira normasi 45 foizgacha yetgan</w:t>
      </w:r>
      <w:r>
        <w:rPr>
          <w:rStyle w:val="aff8"/>
        </w:rPr>
        <w:footnoteReference w:id="243"/>
      </w:r>
      <w:r>
        <w:t>. Rossiyada esa BRIKS mamlakatlari orasida eng yuqori muddati o‘tgan qarzlar ulushi (8,35 foiz) qayd etilgan</w:t>
      </w:r>
      <w:r>
        <w:rPr>
          <w:rStyle w:val="aff8"/>
        </w:rPr>
        <w:footnoteReference w:id="244"/>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Mamlakat / tizim</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Tajriba</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O‘zbekiston uchun xulosa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 – PCA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Kapitalning pog‘onali chegaralari aniq nazorat choralari bilan bog‘langan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AQSh – FIMS; Yevropa Ittifoqi – EBA modellari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 – stress-testlar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Natijalar ommaga e’lon qilinadi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Buyuk Britaniya – RATE, PRA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Nazorat intensivligi bankning tizimga ta’siri toifasi va faol aralashuv tizimining bosqichiga bog‘langan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Germaniya – BAKIS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 vaznlar, guruh o‘rtachasi bilan taqqoslash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Qiyosiy (peer) baholashni joriy etish</w:t>
            </w:r>
            <w:r>
              <w:rPr>
                <w:rFonts w:ascii="Times New Roman" w:hAnsi="Times New Roman" w:eastAsia="Times New Roman" w:cs="Times New Roman"/>
                <w:sz w:val="24"/>
                <w:szCs w:val="24"/>
              </w:rPr>
              <w:t xml:space="preserve">, kredit riskiga ortiqcha urg‘u bermaslik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Yevropa Ittifoqi – EBA KRI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 ma’lumotlar bazasi, risklar paneli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Banklar ko‘rsatkichlarini ochiq e’lon qilish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Yevropa Ittifoqi – ESRB</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Qat’iy baza va diskretsion makroprudensial vositalar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 va makroprudensial baholashni uyg‘unlashtirish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Rossiya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 vaznli 1–4 ballik tizim; dinamika va prognoz yo‘qligi tanqid qilingan</w:t>
            </w:r>
            <w:r>
              <w:rPr>
                <w:rFonts w:ascii="Times New Roman" w:hAnsi="Times New Roman" w:eastAsia="Times New Roman" w:cs="Times New Roman"/>
                <w:sz w:val="24"/>
                <w:szCs w:val="24"/>
              </w:rPr>
              <w:t xml:space="preserve">; 2025-yildan tizimli banklar uchun Bazel LCR o‘rniga milliy normativ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 vaznli integral baholashga dinamik va prognoz elementlarini qo‘shish</w:t>
            </w:r>
            <w:r>
              <w:rPr>
                <w:rFonts w:ascii="Times New Roman" w:hAnsi="Times New Roman" w:eastAsia="Times New Roman" w:cs="Times New Roman"/>
                <w:sz w:val="24"/>
                <w:szCs w:val="24"/>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Xitoy</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Rasmiy NPL bilan haqiqiy risk o‘rtasida katta tafovut</w:t>
            </w:r>
            <w:r>
              <w:rPr>
                <w:rFonts w:ascii="Times New Roman" w:hAnsi="Times New Roman" w:eastAsia="Times New Roman" w:cs="Times New Roman"/>
                <w:sz w:val="24"/>
                <w:szCs w:val="24"/>
              </w:rPr>
              <w:t xml:space="preserve">; 2024-yildan banklar hajmiga qarab proporsional talablar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sifatini MHXS 9 bo‘yicha va mustaqil baholash; davlat banklariga alohida e’tibor</w:t>
            </w:r>
            <w:r>
              <w:rPr>
                <w:rFonts w:ascii="Times New Roman" w:hAnsi="Times New Roman" w:eastAsia="Times New Roman" w:cs="Times New Roman"/>
                <w:sz w:val="24"/>
                <w:szCs w:val="24"/>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r>
      <w:r>
        <w:t xml:space="preserve">rasmiy ko‘rsatkichlar haqiqiy riskni </w:t>
      </w:r>
      <w:r>
        <w:rPr/>
        <w:t xml:space="preserve">kamaytirib</w:t>
      </w:r>
      <w:r>
        <w:t xml:space="preserve"> ko‘rsatishi mumkinligidan dalolat beradi. Davlat banklari ulushi hamon yuqori bo‘lgan O‘zbekiston uchun bu xulosa ayniqsa muhimdir.</w:t>
      </w:r>
    </w:p>
    <w:p w:rsidR="005603EC" w:rsidRDefault="00AB61AC">
      <w:pPr>
        <w:pStyle w:val="af"/>
        <w:spacing w:after="0" w:line="360" w:lineRule="auto"/>
        <w:ind w:firstLine="709"/>
        <w:jc w:val="both"/>
      </w:pPr>
      <w:r>
        <w:t xml:space="preserve">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w:t>
      </w:r>
      <w:r>
        <w:rPr/>
        <w:t xml:space="preserve">Bu,</w:t>
      </w:r>
      <w:r>
        <w:t xml:space="preserve">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r>
      <w:r>
        <w:t xml:space="preserve">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w:t>
      </w:r>
      <w:r>
        <w:rPr/>
        <w:t xml:space="preserve">kamaytirib</w:t>
      </w:r>
      <w:r>
        <w:t xml:space="preserve">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spacing w:after="0" w:line="360" w:lineRule="auto"/>
        <w:ind w:firstLine="709"/>
        <w:jc w:val="both"/>
      </w:pPr>
      <w:r>
        <w:rPr/>
        <w:t xml:space="preserve">2.1.1-rasmdan </w:t>
      </w:r>
      <w:r>
        <w:t xml:space="preserve">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7"/>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r>
      <w:r>
        <w:t>nizom 2026-yil 1-yanvardan o‘z kuchini yo‘qotdi</w:t>
      </w:r>
      <w:r>
        <w:rPr>
          <w:rStyle w:val="aff8"/>
        </w:rPr>
        <w:footnoteReference w:id="248"/>
      </w:r>
      <w:r>
        <w:t xml:space="preserve">. Shu bilan Bazel III ning makroprudensial elementlari – kapital buferlari </w:t>
      </w:r>
      <w:r>
        <w:rPr/>
        <w:t xml:space="preserve">– ham</w:t>
      </w:r>
      <w:r>
        <w:t xml:space="preserve"> joriy etildi.</w:t>
      </w:r>
    </w:p>
    <w:p w:rsidR="005603EC" w:rsidRDefault="00AB61AC">
      <w:pPr>
        <w:pStyle w:val="FirstParagraph"/>
        <w:spacing w:after="0" w:line="360" w:lineRule="auto"/>
        <w:ind w:firstLine="709"/>
        <w:jc w:val="both"/>
      </w:pPr>
      <w:r>
        <w:rPr/>
        <w:t xml:space="preserve">Mazkur me’yoriy baza asosida O</w:t>
      </w:r>
      <w:r>
        <w:t xml:space="preserve">‘zbekistonda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9"/>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5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Talab</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 minimumi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Izoh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asosiy kapital (CET1) monandligi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8% (2025-yilgacha); ≥ 4,5% + buferlar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4,5%</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 darajali kapital monandligi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10% (2025-yilgacha); ≥ 6% + buferlar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6%</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Regulyativ kapital monandligi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13% (2025-yilgacha); ≥ 8% + buferlar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2025-yilgacha </w:t>
            </w:r>
            <w:r>
              <w:rPr>
                <w:rFonts w:ascii="Times New Roman" w:hAnsi="Times New Roman" w:eastAsia="Times New Roman" w:cs="Times New Roman"/>
                <w:sz w:val="24"/>
                <w:szCs w:val="24"/>
              </w:rPr>
              <w:t xml:space="preserve">3 foizlik</w:t>
            </w:r>
            <w:r>
              <w:rPr>
                <w:rFonts w:ascii="Times New Roman" w:hAnsi="Times New Roman" w:eastAsia="Times New Roman" w:cs="Times New Roman"/>
                <w:sz w:val="24"/>
                <w:szCs w:val="24"/>
              </w:rPr>
              <w:t xml:space="preserve">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Leverej koeffitsiyenti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6% (2025-yilgacha); ≥ 3%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2026-yildan Bazel III minimumiga tenglashtirildi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 saqlash buferi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(CET1 hisobidan)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2026-yil 1-yanvardan (2025-yilgacha – 3%, I darajali kapital tarkibida)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Kontrsiklik bufer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2026-yil 1-yanvardan</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ahamiyatli banklar buferi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(G-SIB)</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ta bank uchun</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2018-yildan to‘liq</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100% (2025-yil 23-maygacha)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Yuqori likvid aktivlar / jami aktivlar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prudensial me’yor</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Joriy likvidlik</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normativ</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Lahzali likvidlik</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w:t>
      </w:r>
      <w:r>
        <w:rPr/>
        <w:t xml:space="preserve">me’yorlar bo‘yicha</w:t>
      </w:r>
      <w:r>
        <w:rPr>
          <w:rStyle w:val="aff8"/>
        </w:rPr>
        <w:footnoteReference w:id="251"/>
      </w:r>
      <w:r>
        <w:rPr/>
        <w:t>, 2026-yildan amal qiladigan talablar va buferlar esa Markaziy bankning moliyaviy barqarorlik sharhi bo‘yicha keltirildi</w:t>
      </w:r>
      <w:r>
        <w:rPr>
          <w:rStyle w:val="aff8"/>
        </w:rPr>
        <w:footnoteReference w:id="252"/>
      </w:r>
      <w:r>
        <w:rPr/>
        <w:t>. 2026-yildan minimal talablar Bazel III darajasiga tushirilib, ularning ustiga buferlar qo‘shilganligi sababli buferlar bilan birga umumiy talab CET1 bo‘yicha 8,5 foizni, tizimli ahamiyatga molik banklar uchun 9,5 foizni tashkil etadi.</w:t>
      </w:r>
      <w:r>
        <w:t xml:space="preserve"> </w:t>
      </w:r>
      <w:r>
        <w:rPr/>
        <w:t xml:space="preserve">Shuni ta’kidlash joizki, B</w:t>
      </w:r>
      <w:r>
        <w:t xml:space="preserve">.T. Berdiyarov aynan shu milliy likvidlik normativlarini XVJ ning moliyaviy barqarorlik ko‘rsatkichlari bilan birgalikda baholash tizimiga kiritishni taklif etgan edi</w:t>
      </w:r>
      <w:r>
        <w:rPr>
          <w:rStyle w:val="aff8"/>
        </w:rPr>
        <w:footnoteReference w:id="253"/>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4"/>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5"/>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6"/>
      </w:r>
      <w:r>
        <w:t xml:space="preserve">. Yo‘l xaritasida ham avtomatik reyting tuzatishlarini muntazam tekshirish va ularning asoslanganligini ta’minlash uchun alohida “sifat nazorati” bo‘linmasini tashkil etish ko‘zda tutilgani bu muammo hali </w:t>
      </w:r>
      <w:r>
        <w:rPr/>
        <w:t xml:space="preserve">ham dolzarb ekan</w:t>
      </w:r>
      <w:r>
        <w:t xml:space="preserve">ini ko‘rsatadi</w:t>
      </w:r>
      <w:r>
        <w:rPr>
          <w:rStyle w:val="aff8"/>
        </w:rPr>
        <w:footnoteReference w:id="257"/>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8"/>
      </w:r>
      <w:r>
        <w:t xml:space="preserve">. 2023-yildan boshlab tizimli ahamiyatga molik banklar har yili aniqlanadi</w:t>
      </w:r>
      <w:r>
        <w:rPr/>
        <w:t xml:space="preserve">. Xususan,</w:t>
      </w:r>
      <w:r>
        <w:t xml:space="preserve"> 2026-yil uchun ro‘yxatga yetti bank – O‘zmilliybank, Agrobank, O‘zsanoatqurilishbank, Xalq banki, Ipoteka-bank, Kapitalbank va Asakabank </w:t>
      </w:r>
      <w:r>
        <w:rPr/>
        <w:t xml:space="preserve">– kiritilgan</w:t>
      </w:r>
      <w:r>
        <w:rPr>
          <w:rStyle w:val="aff8"/>
        </w:rPr>
        <w:footnoteReference w:id="259"/>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w:t>
      </w:r>
      <w:r>
        <w:rPr/>
        <w:t xml:space="preserve">barqaror holatda. Jumladan, 2021–2025-yillarda</w:t>
      </w:r>
      <w:r>
        <w:rPr/>
        <w:t xml:space="preserve"> kapital monandligi 13 foizlik regulyativ minimumdan barqaror yuqori bo‘lgan</w:t>
      </w:r>
      <w:r>
        <w:rPr>
          <w:rStyle w:val="aff8"/>
        </w:rPr>
        <w:footnoteReference w:id="260"/>
      </w:r>
      <w:r>
        <w:rPr/>
        <w:t xml:space="preserve">, 2025-yil oxirida esa 18,3 foizga yetgan</w:t>
      </w:r>
      <w:r>
        <w:lastRenderedPageBreak/>
      </w:r>
      <w:r>
        <w:rPr>
          <w:rStyle w:val="aff8"/>
        </w:rPr>
        <w:footnoteReference w:id="261"/>
      </w:r>
      <w:r>
        <w:t xml:space="preserve">. </w:t>
      </w:r>
      <w:r>
        <w:rPr/>
        <w:t xml:space="preserve">Rasmiy muammoli kreditlar ulushi ham</w:t>
      </w:r>
      <w:r>
        <w:t xml:space="preserve"> 2021-yil oxiridagi 5,2 foizdan 2025-yil oxirida 3,0 foizgacha kamaygan</w:t>
      </w:r>
      <w:r>
        <w:rPr>
          <w:rStyle w:val="aff8"/>
        </w:rPr>
        <w:footnoteReference w:id="262"/>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3"/>
      </w:r>
      <w:r>
        <w:t>. 2025-yil birinchi yarmi bo‘yicha sharhda bu ko‘rsatkichlar mos ravishda 6,1 va 8,4 foiz, leverej koeffitsiyenti esa 5,3 foiz deb baholangan edi</w:t>
      </w:r>
      <w:r>
        <w:rPr>
          <w:rStyle w:val="aff8"/>
        </w:rPr>
        <w:footnoteReference w:id="264"/>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5"/>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rPr/>
        <w:t xml:space="preserve">Biroq rasmiy ko‘rsatkichlarning yuqoriligi xalqaro standartlarga to‘liq muvofiqlikni anglatmaydi. X</w:t>
      </w:r>
      <w:r>
        <w:t xml:space="preserve">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6"/>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Soha</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Xalqaro talab</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O‘zbekistondagi holat (FSAP)</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Yo‘l xaritasidagi chora</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Muddat</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ta’rifi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instrumentlari yo‘qotishni qoplash qobiliyatiga ega bo‘lishi kerak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va II darajali kapital tarkibi va mezonlarini takomillashtirish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Risk bo‘yicha tortilgan aktivlar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metodikasi bo‘yicha kredit, operatsion va bozor risklarini hisoblash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Ayrim jihatlarda Bazel metodikasidan chetlanish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Ayrim kredit, operatsion va bozor risklarini hisoblash tartibini takomillashtirish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buferlari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Saqlash, kontrsiklik va tizimli banklar buferlari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banklar aniqlangan, ammo ularga bufer qo‘llanmagan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Uchala bufer joriy etildi (2025–2026)</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2025–2026-y.</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2-ustun (ICAAP, SREP)</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talabi bank risk profiliga moslashtiriladi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2-ustun metodikasi yo‘q</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banklarda ICAAP ni majburiy joriy etish; foiz riski asosida 2-ustunni joriy etish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2026–2028-y.; ICAAP – 2027-y. III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va restrukturizatsiya qilingan aktivlarning Bazel ta’riflari; MHXS 9</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Aktivlar sifati to‘g‘risida hisobotlarda </w:t>
            </w:r>
            <w:r>
              <w:rPr>
                <w:rFonts w:ascii="Times New Roman" w:hAnsi="Times New Roman" w:eastAsia="Times New Roman" w:cs="Times New Roman"/>
                <w:sz w:val="24"/>
                <w:szCs w:val="24"/>
              </w:rPr>
              <w:t xml:space="preserve">kamaytirib</w:t>
            </w:r>
            <w:r>
              <w:rPr>
                <w:rFonts w:ascii="Times New Roman" w:hAnsi="Times New Roman" w:eastAsia="Times New Roman" w:cs="Times New Roman"/>
                <w:sz w:val="24"/>
                <w:szCs w:val="24"/>
              </w:rPr>
              <w:t xml:space="preserve"> ko‘rsatish holatlari, </w:t>
            </w:r>
            <w:r>
              <w:rPr>
                <w:rFonts w:ascii="Times New Roman" w:hAnsi="Times New Roman" w:eastAsia="Times New Roman" w:cs="Times New Roman"/>
                <w:sz w:val="24"/>
                <w:szCs w:val="24"/>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 ta’rifini kengaytirish, MHXS 9 ning 3-bosqichini to‘liq qamrash, “forborne exposures” ta’rifini joriy etish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va NSFR elementlari Bazel III ga to‘liq mos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Ayrim elementlar va koeffitsiyentlar Bazel III dan farq qiladi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va NSFR elementlarini to‘liq moslashtirish, 2026-yil 1-yanvardan monitoring</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3-ustun (oshkoralik)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Moliyaviy va nazorat hisobotlarini oshkor qilish bo‘yicha minimal talablar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Minimal talablar belgilanmagan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Oshkoralik bo‘yicha minimal talablar nizomini ishlab chiqish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2027-y.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Konsolidatsiyalangan nazorat</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guruhlari, shu jumladan nobank ona kompaniyalar ustidan nazorat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Huquqiy asos to‘liq emas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Qonunga o‘zgartirish; konsolidatsiyalangan nazorat nizomi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2027-y. II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aralashuv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ogohlantirish tizimi va tezkor tuzatuvchi choralar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Mavjud emas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ogohlantirish tizimi (EWS) va tezkor tuzatuvchi choralar (PCA) tizimini joriy etish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 – 2027-y.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Banklarni sanatsiya qilish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Sanatsiya rejimi, sanatsiya rejalari va jamg‘armasi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Shakllanish bosqichida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Sanatsiya tizimini yaratish; tizimli banklar uchun birinchi sanatsiya rejalari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8"/>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9"/>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w:t>
      </w:r>
      <w:r>
        <w:rPr/>
        <w:t xml:space="preserve">. B</w:t>
      </w:r>
      <w:r>
        <w:t xml:space="preserve">unda </w:t>
      </w:r>
      <w:r>
        <w:rPr/>
        <w:t xml:space="preserve">kamaytirib</w:t>
      </w:r>
      <w:r>
        <w:t xml:space="preserve"> ko‘rsatish holatlari ko‘proq uchraydigan imtiyozli va yo‘naltirilgan kreditlarga alohida e’tibor qaratish kerakligi ta’kidlangan</w:t>
      </w:r>
      <w:r>
        <w:rPr>
          <w:rStyle w:val="aff8"/>
        </w:rPr>
        <w:footnoteReference w:id="270"/>
      </w:r>
      <w:r>
        <w:t xml:space="preserve">. Yo‘l xaritasida bu muammoning </w:t>
      </w:r>
      <w:r>
        <w:rPr/>
        <w:t xml:space="preserve">aniq sabablari ham ko‘rsatilgan. Xususan, amaldagi tartibda</w:t>
      </w:r>
      <w:r>
        <w:t xml:space="preserve">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1"/>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2"/>
      </w:r>
      <w:r>
        <w:t>. Hukumat va Markaziy bank barcha tijorat banklarini MHXS ga to‘liq o‘tkazishni maqsad qilib qo‘ygan</w:t>
      </w:r>
      <w:r>
        <w:rPr>
          <w:rStyle w:val="aff8"/>
        </w:rPr>
        <w:footnoteReference w:id="273"/>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4"/>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5"/>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w:t>
      </w:r>
      <w:r>
        <w:rPr/>
        <w:t xml:space="preserve">. Shu sababli</w:t>
      </w:r>
      <w:r>
        <w:t xml:space="preserve"> ularni joriy etish yo‘l xaritasida alohida vazifa sifatida belgilangan</w:t>
      </w:r>
      <w:r>
        <w:rPr>
          <w:rStyle w:val="aff8"/>
        </w:rPr>
        <w:footnoteReference w:id="276"/>
      </w:r>
      <w:r>
        <w:t>. To‘lov qobiliyati bo‘yicha makro stress-test MHXS 9 asosidagi muammoli kreditlar ma’lumotlari to‘liq shakllangandan keyingina shu ma’lumotlarga tayanadigan bo‘ladi</w:t>
      </w:r>
      <w:r>
        <w:rPr>
          <w:rStyle w:val="aff8"/>
        </w:rPr>
        <w:footnoteReference w:id="277"/>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rPr/>
        <w:t xml:space="preserve">Mazkur muammolarni bartaraf etishga qaratilgan i</w:t>
      </w:r>
      <w:r>
        <w:t xml:space="preserve">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r>
      <w:r>
        <w:t>choragida yakunlanishi rejalashtirilgan</w:t>
      </w:r>
      <w:r>
        <w:rPr>
          <w:rStyle w:val="aff8"/>
        </w:rPr>
        <w:footnoteReference w:id="278"/>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rPr/>
        <w:t xml:space="preserve">Shuningdek, b</w:t>
      </w:r>
      <w:r>
        <w:t xml:space="preserve">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 xml:space="preserve">Oldingi paragrafda O‘zbekistonda banklar moliyaviy barqarorligini baholash tizimining tuzilishi va uni xalqaro standartlarga moslashtirish muammolari ko‘rib chiqildi. Endi ushbu tizim natijalarini, ya’ni bank tizimi va alohida banklarning moliyaviy barqarorlik </w:t>
      </w:r>
      <w:r>
        <w:rPr/>
        <w:t xml:space="preserve">ko‘rsatkichlarini,</w:t>
      </w:r>
      <w:r>
        <w:t xml:space="preserve">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9"/>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80"/>
      </w:r>
      <w:r>
        <w:rPr>
          <w:rStyle w:val="aff8"/>
        </w:rPr>
        <w:footnoteReference w:id="281"/>
      </w:r>
      <w:r>
        <w:t xml:space="preserve">. Bu banklarning </w:t>
      </w:r>
      <w:r>
        <w:rPr/>
        <w:t xml:space="preserve">tanlanishi tasodifiy emas, chunki birinchisi</w:t>
      </w:r>
      <w:r>
        <w:t xml:space="preserve">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2"/>
      </w:r>
      <w:r>
        <w:t>. 2023-yil oxirida bank tizimi aktivlari yalpi ichki mahsulotning 55 foiziga, kreditlar esa 40 foiziga teng bo‘lgan</w:t>
      </w:r>
      <w:r>
        <w:rPr>
          <w:rStyle w:val="aff8"/>
        </w:rPr>
        <w:footnoteReference w:id="283"/>
      </w:r>
      <w:r>
        <w:t>, 2026-yil 1-yanvar holatiga esa tijorat banklari aktivlari 924,8 trln so‘mni, kreditlari 604 trln so‘mni tashkil etgan</w:t>
      </w:r>
      <w:r>
        <w:rPr>
          <w:rStyle w:val="aff8"/>
        </w:rPr>
        <w:footnoteReference w:id="284"/>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5"/>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6"/>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r>
      <w:r>
        <w:t xml:space="preserve">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w:t>
      </w:r>
      <w:r>
        <w:rPr/>
        <w:t xml:space="preserve">kamaytirib</w:t>
      </w:r>
      <w:r>
        <w:t xml:space="preserve"> ko‘rsatish holatlari ko‘proq uchraydi</w:t>
      </w:r>
      <w:r>
        <w:rPr>
          <w:rStyle w:val="aff8"/>
        </w:rPr>
        <w:footnoteReference w:id="287"/>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Kapital yetarliligi</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kapital monandligi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asosiy kapital (CET1) monandligi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kapitalning jami aktivlarga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Aktivlar sifati</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jami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shundan, davlat ulushi mavjud banklarda</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shundan, boshqa banklarda</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va muammoli kreditlar ulushi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Maxsus zaxiralarning muammoli kreditlarga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Zaxiralar chegirilgan muammoli kreditlarning kapitalga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Daromadlilik</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rentabelligi (soliq to‘lagunga qadar)</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rentabelligi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Likvidlik va moliyalashtirish tuzilmasi</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Likvidlikni qoplash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189,6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barqaror moliyalashtirish me’yori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111,8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Yuqori likvid aktivlarning jami aktivlarga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Mijozlar depozitlarining jami kreditlarga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Xorijiy valyutadagi kreditlar ulushi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 xml:space="preserve">Jadval ma’lumotlari bank tizimining umumiy holatini </w:t>
      </w:r>
      <w:r>
        <w:rPr/>
        <w:t xml:space="preserve">ijobiy baholash imkonini beradi, chunki kapital va likvidlik</w:t>
      </w:r>
      <w:r>
        <w:t xml:space="preserve">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9"/>
      </w:r>
      <w:r>
        <w:t xml:space="preserve"> (2.2.2-rasm).</w:t>
      </w:r>
    </w:p>
    <w:p w:rsidR="005603EC" w:rsidRDefault="00AB61AC">
      <w:pPr>
        <w:pStyle w:val="af"/>
        <w:spacing w:after="0" w:line="360" w:lineRule="auto"/>
        <w:ind w:firstLine="709"/>
        <w:jc w:val="both"/>
      </w:pPr>
      <w:r>
        <w:rPr/>
        <w:t xml:space="preserve">2.2.2-rasmdan </w:t>
      </w:r>
      <w:r>
        <w:rPr/>
        <w:t xml:space="preserve">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w:t>
      </w:r>
      <w:r>
        <w:rPr/>
        <w:t xml:space="preserve">bu ko‘rsatkichlar yuqori, chunki Bazel III da</w:t>
      </w:r>
      <w:r>
        <w:t xml:space="preserve"> jami kapital uchun 8 foiz, konservatsiya buferi bilan 10,5 foiz, asosiy kapital uchun esa 4,5 foiz minimum belgilangan</w:t>
      </w:r>
      <w:r>
        <w:rPr>
          <w:rStyle w:val="aff8"/>
        </w:rPr>
        <w:footnoteReference w:id="290"/>
      </w:r>
      <w:r>
        <w:t xml:space="preserve">. CAMELS tizimida eng yuqori, ya’ni </w:t>
      </w:r>
      <w:r>
        <w:rPr/>
        <w:t xml:space="preserve">1-reyting,</w:t>
      </w:r>
      <w:r>
        <w:t xml:space="preserve"> kapital koeffitsiyentlari 4 va 8 foizlik chegaralardan ancha yuqori bo‘lganda beriladi</w:t>
      </w:r>
      <w:r>
        <w:rPr>
          <w:rStyle w:val="aff8"/>
        </w:rPr>
        <w:footnoteReference w:id="291"/>
      </w:r>
      <w:r>
        <w:t xml:space="preserve">. Shu bilan birga, uch jihat bu bahoni ehtiyotkorlik bilan qabul qilishni talab qiladi. Birinchidan, 2.1-paragrafda ko‘rsatilganidek, kapital ta’rifi </w:t>
      </w:r>
      <w:r>
        <w:rPr/>
        <w:t xml:space="preserve">Bazel III ga to‘liq mos emas, chunki II darajali</w:t>
      </w:r>
      <w:r>
        <w:t xml:space="preserve">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4"/>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95"/>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6"/>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7"/>
      </w:r>
      <w:r>
        <w:t>, 2023-yil oxirida 19,5 foizni (shundan substandart kreditlar 16 foiz, muammoli kreditlar 3,5 foiz)</w:t>
      </w:r>
      <w:r>
        <w:rPr>
          <w:rStyle w:val="aff8"/>
        </w:rPr>
        <w:footnoteReference w:id="298"/>
      </w:r>
      <w:r>
        <w:t>, 2024-yilda 21 foizni tashkil etgan va faqat 2025-yilda 15 foizgacha kamaygan</w:t>
      </w:r>
      <w:r>
        <w:rPr>
          <w:rStyle w:val="aff8"/>
        </w:rPr>
        <w:footnoteReference w:id="299"/>
      </w:r>
      <w:r>
        <w:t xml:space="preserve"> (2.2.3-rasm). Jahon banki ma’lumotlariga ko‘ra, 2023-yil oxirida MHXS 9 bo‘yicha 3-bosqichdagi kreditlar ulushi 7,8 foiz bo‘lib, rasmiy ko‘rsatkichdan qariyb ikki barobar yuqori bo‘lgan</w:t>
      </w:r>
      <w:r>
        <w:rPr>
          <w:rStyle w:val="aff8"/>
        </w:rPr>
        <w:footnoteReference w:id="300"/>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270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195"/>
        <w:gridCol w:w="964"/>
        <w:gridCol w:w="964"/>
        <w:gridCol w:w="964"/>
        <w:gridCol w:w="964"/>
        <w:gridCol w:w="964"/>
      </w:tblGrid>
      <w:tr>
        <w:trPr>
          <w:tblHeader/>
        </w:trPr>
        <w:tc>
          <w:tcPr>
            <w:tcW w:type="dxa" w:w="4195"/>
            <w:vAlign w:val="center"/>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type="dxa" w:w="964"/>
            <w:vAlign w:val="center"/>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type="dxa" w:w="964"/>
            <w:vAlign w:val="center"/>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type="dxa" w:w="964"/>
            <w:vAlign w:val="center"/>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type="dxa" w:w="964"/>
            <w:vAlign w:val="center"/>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type="dxa" w:w="964"/>
            <w:vAlign w:val="center"/>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tc>
          <w:tcPr>
            <w:tcW w:type="dxa" w:w="4195"/>
          </w:tcPr>
          <w:p>
            <w:pPr>
              <w:keepNext/>
              <w:spacing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7030A0"/>
                <w:sz w:val="24"/>
                <w:szCs w:val="24"/>
              </w:rPr>
              <w:t xml:space="preserve">━━ </w:t>
            </w:r>
            <w:r>
              <w:rPr>
                <w:rFonts w:ascii="Times New Roman" w:hAnsi="Times New Roman" w:eastAsia="Times New Roman" w:cs="Times New Roman"/>
                <w:b w:val="0"/>
                <w:sz w:val="24"/>
                <w:szCs w:val="24"/>
              </w:rPr>
              <w:t>Substandart va muammoli kreditlar</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12,5</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15,9</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19,5</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21,0</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15,0</w:t>
            </w:r>
          </w:p>
        </w:tc>
      </w:tr>
      <w:tr>
        <w:tc>
          <w:tcPr>
            <w:tcW w:type="dxa" w:w="4195"/>
          </w:tcPr>
          <w:p>
            <w:pPr>
              <w:keepNext/>
              <w:spacing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EB6834"/>
                <w:sz w:val="24"/>
                <w:szCs w:val="24"/>
              </w:rPr>
              <w:t xml:space="preserve">━━ </w:t>
            </w:r>
            <w:r>
              <w:rPr>
                <w:rFonts w:ascii="Times New Roman" w:hAnsi="Times New Roman" w:eastAsia="Times New Roman" w:cs="Times New Roman"/>
                <w:b w:val="0"/>
                <w:sz w:val="24"/>
                <w:szCs w:val="24"/>
              </w:rPr>
              <w:t>Muammoli kreditlar, davlat ulushi mavjud banklar</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5,4</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3,9</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4,0</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3,9</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w:t>
            </w:r>
          </w:p>
        </w:tc>
      </w:tr>
      <w:tr>
        <w:tc>
          <w:tcPr>
            <w:tcW w:type="dxa" w:w="4195"/>
          </w:tcPr>
          <w:p>
            <w:pPr>
              <w:keepNext/>
              <w:spacing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2A78D6"/>
                <w:sz w:val="24"/>
                <w:szCs w:val="24"/>
              </w:rPr>
              <w:t xml:space="preserve">━━ </w:t>
            </w:r>
            <w:r>
              <w:rPr>
                <w:rFonts w:ascii="Times New Roman" w:hAnsi="Times New Roman" w:eastAsia="Times New Roman" w:cs="Times New Roman"/>
                <w:b w:val="0"/>
                <w:sz w:val="24"/>
                <w:szCs w:val="24"/>
              </w:rPr>
              <w:t>Muammoli kreditlar, jami</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5,2</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3,6</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3,5</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4,0</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3,0</w:t>
            </w:r>
          </w:p>
        </w:tc>
      </w:tr>
      <w:tr>
        <w:tc>
          <w:tcPr>
            <w:tcW w:type="dxa" w:w="4195"/>
          </w:tcPr>
          <w:p>
            <w:pPr>
              <w:keepNext/>
              <w:spacing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70AD47"/>
                <w:sz w:val="24"/>
                <w:szCs w:val="24"/>
              </w:rPr>
              <w:t xml:space="preserve">━━ </w:t>
            </w:r>
            <w:r>
              <w:rPr>
                <w:rFonts w:ascii="Times New Roman" w:hAnsi="Times New Roman" w:eastAsia="Times New Roman" w:cs="Times New Roman"/>
                <w:b w:val="0"/>
                <w:sz w:val="24"/>
                <w:szCs w:val="24"/>
              </w:rPr>
              <w:t>Muammoli kreditlar, boshqa banklar</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4,1</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2,1</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2,4</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4,1</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2,6</w:t>
            </w:r>
          </w:p>
        </w:tc>
      </w:tr>
      <w:tr>
        <w:tc>
          <w:tcPr>
            <w:tcW w:type="dxa" w:w="4195"/>
          </w:tcPr>
          <w:p>
            <w:pPr>
              <w:keepNext/>
              <w:spacing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FF0000"/>
                <w:sz w:val="24"/>
                <w:szCs w:val="24"/>
              </w:rPr>
              <w:t xml:space="preserve">━━ </w:t>
            </w:r>
            <w:r>
              <w:rPr>
                <w:rFonts w:ascii="Times New Roman" w:hAnsi="Times New Roman" w:eastAsia="Times New Roman" w:cs="Times New Roman"/>
                <w:b w:val="0"/>
                <w:sz w:val="24"/>
                <w:szCs w:val="24"/>
              </w:rPr>
              <w:t>Erta ogohlantirish chegarasi (5 %)</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5,0</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5,0</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5,0</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5,0</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5,0</w:t>
            </w:r>
          </w:p>
        </w:tc>
      </w:tr>
    </w:tbl>
    <w:p w:rsidR="005603EC" w:rsidRDefault="00AB61AC">
      <w:pPr>
        <w:pStyle w:val="af"/>
        <w:spacing w:before="120" w:after="240" w:line="240" w:lineRule="auto"/>
        <w:jc w:val="center"/>
      </w:pPr>
      <w:r>
        <w:rPr>
          <w:b/>
        </w:rPr>
        <w:t>2.2.3-rasm. O‘zbekiston bank tizimida aktivlar sifati ko‘rsatkichlari, %</w:t>
      </w:r>
      <w:r>
        <w:rPr>
          <w:rStyle w:val="aff8"/>
        </w:rPr>
        <w:footnoteReference w:id="301"/>
      </w:r>
    </w:p>
    <w:p w:rsidR="005603EC" w:rsidRDefault="00AB61AC">
      <w:pPr>
        <w:pStyle w:val="af"/>
        <w:spacing w:after="0" w:line="360" w:lineRule="auto"/>
        <w:ind w:firstLine="709"/>
        <w:jc w:val="both"/>
      </w:pPr>
      <w:r>
        <w:rPr/>
        <w:t xml:space="preserve">Rasmda</w:t>
      </w:r>
      <w:r>
        <w:rPr/>
        <w:t xml:space="preserve">n</w:t>
      </w:r>
      <w:r>
        <w:rPr/>
        <w:t xml:space="preserve">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2"/>
      </w:r>
      <w:r>
        <w:t>, 2022–2025-yillarda esa 36,7–52,6 foiz oralig‘ida bo‘lgan</w:t>
      </w:r>
      <w:r>
        <w:rPr>
          <w:rStyle w:val="aff8"/>
        </w:rPr>
        <w:footnoteReference w:id="303"/>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4"/>
      </w:r>
      <w:r>
        <w:t xml:space="preserve">, O.I. Lavrushin tahriridagi monografiyada esa </w:t>
      </w:r>
      <w:r>
        <w:lastRenderedPageBreak/>
      </w:r>
      <w:r>
        <w:t>ishlamaydigan kreditlar ulushining 10 foizgacha oshishi salbiy vaziyat darakchisi sifatida ko‘rsatiladi</w:t>
      </w:r>
      <w:r>
        <w:rPr>
          <w:rStyle w:val="aff8"/>
        </w:rPr>
        <w:footnoteReference w:id="305"/>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w:t>
      </w:r>
      <w:r>
        <w:rPr/>
        <w:t xml:space="preserve">Soliq to‘lagunga qadar foyda bo‘yicha aktivlar rentabelligi 2021-yilda 1,3 foiz, sof foyda bo‘yicha kapital rentabelligi esa 6,1 foiz bo‘lgan bo‘lsa</w:t>
      </w:r>
      <w:r>
        <w:t xml:space="preserve">, 2022–2023-yillarda ular mos ravishda 2,5–2,6 va 13,3–14,2 foizgacha oshgan. 2024-yilda kredit zararlari va </w:t>
      </w:r>
      <w:r>
        <w:rPr/>
        <w:t xml:space="preserve">foizsiz xarajatlarning</w:t>
      </w:r>
      <w:r>
        <w:t xml:space="preserve"> o‘sishi natijasida aktivlar rentabelligi yana 1,4 foizgacha, kapital rentabelligi 6,6 foizgacha pasaygan, 2025-yilda esa mos ravishda 2,2 va 12,4 foizgacha tiklangan</w:t>
      </w:r>
      <w:r>
        <w:rPr>
          <w:rStyle w:val="aff8"/>
        </w:rPr>
        <w:footnoteReference w:id="306"/>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7"/>
      </w:r>
    </w:p>
    <w:p w:rsidR="005603EC" w:rsidRDefault="00AB61AC">
      <w:pPr>
        <w:pStyle w:val="af"/>
        <w:spacing w:after="0" w:line="360" w:lineRule="auto"/>
        <w:ind w:firstLine="709"/>
        <w:jc w:val="both"/>
      </w:pPr>
      <w:r>
        <w:rPr/>
        <w:t xml:space="preserve">2.2.4-rasm ma’lumotlarini xalqaro mezonlar bilan solishtiradigan bo‘lsak, C</w:t>
      </w:r>
      <w:r>
        <w:t xml:space="preserve">AMELS tizimida aktivlar rentabelligi 1 foizdan yuqori bo‘lganda daromadlilik eng yuqori reyting bilan baholanadi</w:t>
      </w:r>
      <w:r>
        <w:rPr>
          <w:rStyle w:val="aff8"/>
        </w:rPr>
        <w:footnoteReference w:id="308"/>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9"/>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10"/>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w:t>
      </w:r>
      <w:r>
        <w:rPr/>
        <w:t xml:space="preserve">Shu sababli tahlil uchta</w:t>
      </w:r>
      <w:r>
        <w:rPr/>
        <w:t xml:space="preserve">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w:t>
      </w:r>
      <w:r>
        <w:rPr/>
        <w:t xml:space="preserve">misolida chuqurlashtiriladi.</w:t>
      </w:r>
      <w:r>
        <w:rPr/>
        <w:t xml:space="preserve"> Avval har bir </w:t>
      </w:r>
      <w:r>
        <w:rPr/>
        <w:t xml:space="preserve">bankning asosiy</w:t>
      </w:r>
      <w:r>
        <w:rPr/>
        <w:t xml:space="preserve"> ko‘rsatkichlari alohida (2.2.2–2.2.4-jadvallar), </w:t>
      </w:r>
      <w:r>
        <w:rPr/>
        <w:t xml:space="preserve">so‘ngra ular qiyosiy</w:t>
      </w:r>
      <w:r>
        <w:rPr/>
        <w:t xml:space="preserve">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trln so‘m</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r>
            <w:r>
              <w:rPr>
                <w:rFonts w:ascii="Times New Roman" w:hAnsi="Times New Roman" w:eastAsia="Times New Roman" w:cs="Times New Roman"/>
                <w:sz w:val="24"/>
                <w:szCs w:val="24"/>
              </w:rPr>
              <w:t xml:space="preserve">I darajali asosiy kapital (CET1)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206,5</w:t>
            </w:r>
          </w:p>
        </w:tc>
      </w:tr>
    </w:tbl>
    <w:p w:rsidR="005603EC" w:rsidRDefault="00AB61AC">
      <w:pPr>
        <w:pStyle w:val="af"/>
        <w:spacing w:after="0" w:line="360" w:lineRule="auto"/>
        <w:ind w:firstLine="709"/>
        <w:jc w:val="both"/>
      </w:pPr>
      <w:r>
        <w:rPr>
          <w:i/>
          <w:iCs/>
        </w:rPr>
        <w:t xml:space="preserve">Izoh: muammoli kreditlar – qoniqarsiz, shubhali va </w:t>
      </w:r>
      <w:r>
        <w:rPr>
          <w:i/>
          <w:iCs/>
        </w:rPr>
        <w:t xml:space="preserve">umidsiz kreditlar</w:t>
      </w:r>
      <w:r>
        <w:rPr>
          <w:i/>
          <w:iCs/>
        </w:rPr>
        <w:t xml:space="preserve">; </w:t>
      </w:r>
      <w:r>
        <w:rPr>
          <w:i/>
          <w:iCs/>
        </w:rPr>
        <w:t xml:space="preserve">ROA va ROE – sof foydaning o‘rtacha yillik aktivlar va kapitalga nisbati.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w:t>
      </w:r>
      <w:r>
        <w:rPr/>
        <w:t xml:space="preserve">MHXS hisoboti bilan tasdiqlanadi. Xususan, 2025-yil</w:t>
      </w:r>
      <w:r>
        <w:rPr/>
        <w:t xml:space="preserve"> yakunida bankning MHXS 9 bo‘yicha </w:t>
      </w:r>
      <w:r>
        <w:rPr/>
        <w:t xml:space="preserve">3-bosqich kreditlari ulushi 7,5 foizni</w:t>
      </w:r>
      <w:r>
        <w:rPr/>
        <w:t xml:space="preserve">, 2-bosqich kreditlari ulushi esa 35,7 foizni tashkil etgan</w:t>
      </w:r>
      <w:r>
        <w:rPr>
          <w:rStyle w:val="aff8"/>
        </w:rPr>
        <w:footnoteReference w:id="312"/>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w:t>
      </w:r>
      <w:r>
        <w:rPr/>
        <w:t xml:space="preserve">resurslari hisobiga moliyalashtiradi. Chunonchi, 2025-yil</w:t>
      </w:r>
      <w:r>
        <w:rPr/>
        <w:t xml:space="preserve"> yakunida bankning olingan kreditlari 35,5 trln so‘mni tashkil etib, depozitlardan qariyb 1,1 barobar ko‘p bo‘lgan</w:t>
      </w:r>
      <w:r>
        <w:rPr>
          <w:rStyle w:val="aff8"/>
        </w:rPr>
        <w:footnoteReference w:id="313"/>
      </w:r>
      <w:r>
        <w:rPr/>
        <w:t xml:space="preserve">.</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w:t>
      </w:r>
      <w:r>
        <w:rPr/>
        <w:t xml:space="preserve">Kapital monandligi “O‘zsanoatqurilishbank” ATB nikiga nisbatan aksariyat yillarda yuqoriroq bo‘lsa-da, </w:t>
      </w:r>
      <w:r>
        <w:rPr/>
        <w:t xml:space="preserve">keskin tebranadi. Jumladan, 2021-yilda</w:t>
      </w:r>
      <w:r>
        <w:rPr/>
        <w:t xml:space="preserve"> 13,8 foiz bilan minimum chegarasida bo‘lgan ko‘rsatkich 2022-yilda 20,7 foizga ko‘tarilgan, 2024-yilda 15,4 foizgacha tushib, 2025-yilda yana 18,5 foizga yetgan. Bu tebranishlarning sababi kapital manbalari</w:t>
      </w:r>
      <w:r>
        <w:rPr/>
        <w:t xml:space="preserve"> bilan bog‘liq. Xususan,</w:t>
      </w:r>
      <w:r>
        <w:rPr/>
        <w:t xml:space="preserve"> bankning xususiy kapitali 2022-yilda 2,3 trln so‘mdan 3,6 trln so‘mga oshgan, holbuki shu yili bank atigi 21,3 mlrd so‘m sof foyda olgan</w:t>
      </w:r>
      <w:r>
        <w:rPr/>
        <w:t xml:space="preserve">. Xuddi shu holat 2025-yilda ham kuzatilgan:</w:t>
      </w:r>
      <w:r>
        <w:rPr/>
        <w:t xml:space="preserve">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w:t>
      </w:r>
      <w:r>
        <w:rPr/>
        <w:t xml:space="preserve">. Unda</w:t>
      </w:r>
      <w:r>
        <w:rPr/>
        <w:t xml:space="preserve"> J.M. Hendrickson ijtimoiy kreditlash majburiyati bank kapitaliga qo‘yiladigan talablarga zid kelishini va bunday kreditlash CAMELS reytingini yomonlashtirishini ko‘rsatgan edi</w:t>
      </w:r>
      <w:r>
        <w:rPr>
          <w:rStyle w:val="aff8"/>
        </w:rPr>
        <w:footnoteReference w:id="314"/>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trln so‘m</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 darajali asosiy kapital (CET1)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165,2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117,1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108,3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208,5</w:t>
            </w:r>
          </w:p>
        </w:tc>
      </w:tr>
    </w:tbl>
    <w:p w:rsidR="005603EC" w:rsidRDefault="00AB61AC">
      <w:pPr>
        <w:pStyle w:val="af"/>
        <w:spacing w:after="0" w:line="360" w:lineRule="auto"/>
        <w:ind w:firstLine="709"/>
        <w:jc w:val="both"/>
      </w:pPr>
      <w:r>
        <w:rPr>
          <w:i/>
          <w:iCs/>
        </w:rPr>
        <w:t xml:space="preserve">Izoh: muammoli kreditlar – qoniqarsiz, shubhali va </w:t>
      </w:r>
      <w:r>
        <w:rPr>
          <w:i/>
          <w:iCs/>
        </w:rPr>
        <w:t xml:space="preserve">umidsiz kreditlar</w:t>
      </w:r>
      <w:r>
        <w:rPr>
          <w:i/>
          <w:iCs/>
        </w:rPr>
        <w:t xml:space="preserve">; </w:t>
      </w:r>
      <w:r>
        <w:rPr>
          <w:i/>
          <w:iCs/>
        </w:rPr>
        <w:t xml:space="preserve">ROA va ROE – sof foydaning o‘rtacha yillik aktivlar va kapitalga nisbati.</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w:t>
      </w:r>
      <w:r>
        <w:rPr/>
        <w:t xml:space="preserve">daromadlilikka bevosita ta’sir ko‘rsatgan. Jumladan, ROE</w:t>
      </w:r>
      <w:r>
        <w:rPr/>
        <w:t xml:space="preserve"> 2021–2023-yillarda 0,7–1,9 foiz bilan inflyatsiya darajasidan ancha past bo‘lgan, 2024-yilda esa bank 1 703,8 mlrd so‘m zarar ko‘rgan. Bu zarar aktivlar bo‘yicha ehtimoliy yo‘qotishlarga qarshi zaxiralarning keskin oshirilishi </w:t>
      </w:r>
      <w:r>
        <w:rPr/>
        <w:t xml:space="preserve">natijasida yuzaga kelgan. Xususan, zaxiralar ajratilgandan</w:t>
      </w:r>
      <w:r>
        <w:rPr/>
        <w:t xml:space="preserve"> keyingi sof foizli daromad 1 167,3 mlrd so‘m zararni tashkil etgan</w:t>
      </w:r>
      <w:r>
        <w:rPr>
          <w:rStyle w:val="aff8"/>
        </w:rPr>
        <w:footnoteReference w:id="316"/>
      </w:r>
      <w:r>
        <w:rPr/>
        <w:t xml:space="preserve">. Boshqacha aytganda, ilgari </w:t>
      </w:r>
      <w:r>
        <w:rPr/>
        <w:t xml:space="preserve">kamaytirib</w:t>
      </w:r>
      <w:r>
        <w:rPr/>
        <w:t xml:space="preserve">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w:t>
      </w:r>
      <w:r>
        <w:rPr/>
        <w:t xml:space="preserve">bank</w:t>
      </w:r>
      <w:r>
        <w:rPr/>
        <w:t xml:space="preserve">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Jami aktivlar, trln so‘m</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Regulyativ kapital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 darajali asosiy kapital (CET1)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Muammoli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Substandart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ROA,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ROE,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LCR,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226,8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142,0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NSFR,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108,0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Kreditlar / depozitlar,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93,7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121,1</w:t>
            </w:r>
          </w:p>
        </w:tc>
      </w:tr>
    </w:tbl>
    <w:p w:rsidR="005603EC" w:rsidRDefault="00AB61AC">
      <w:pPr>
        <w:pStyle w:val="af"/>
        <w:spacing w:after="0" w:line="360" w:lineRule="auto"/>
        <w:ind w:firstLine="709"/>
        <w:jc w:val="both"/>
      </w:pPr>
      <w:r>
        <w:rPr>
          <w:i/>
          <w:iCs/>
        </w:rPr>
        <w:t xml:space="preserve">Izoh: muammoli kreditlar – qoniqarsiz, shubhali va </w:t>
      </w:r>
      <w:r>
        <w:rPr>
          <w:i/>
          <w:iCs/>
        </w:rPr>
        <w:t xml:space="preserve">umidsiz kreditlar</w:t>
      </w:r>
      <w:r>
        <w:rPr>
          <w:i/>
          <w:iCs/>
        </w:rPr>
        <w:t xml:space="preserve">; </w:t>
      </w:r>
      <w:r>
        <w:rPr>
          <w:i/>
          <w:iCs/>
        </w:rPr>
        <w:t xml:space="preserve">ROA va ROE – sof foydaning o‘rtacha yillik aktivlar va kapitalga nisbati.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w:t>
      </w:r>
      <w:r>
        <w:rPr/>
        <w:t xml:space="preserve">, asosiy kapital monandligi esa</w:t>
      </w:r>
      <w:r>
        <w:rPr/>
        <w:t xml:space="preserve"> 9,4–11,8 foiz oralig‘ida o‘zgargan. 2023-yildagi kapital o‘sishi (847,8 mlrd so‘m) asosan o‘z foydasi (607,7 mlrd so‘m) hisobiga ta’minlangan, 2024–2025-yillarda esa kapital o‘sishining yarmidan ko‘pi tashqi manbalarga to‘g‘ri kelgan</w:t>
      </w:r>
      <w:r>
        <w:rPr>
          <w:rStyle w:val="aff8"/>
        </w:rPr>
        <w:footnoteReference w:id="318"/>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w:t>
      </w:r>
      <w:r>
        <w:rPr/>
        <w:t xml:space="preserve">farqi moliyalashtirish tuzilmasida. Xususan, kreditlarning</w:t>
      </w:r>
      <w:r>
        <w:rPr/>
        <w:t xml:space="preserve">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vAlign w:val="center"/>
          </w:tcPr>
          <w:p w:rsidR="004069DA" w:rsidRDefault="004069DA">
            <w:pPr>
              <w:jc w:val="center"/>
              <w:rPr>
                <w:rFonts w:ascii="Times New Roman" w:hAnsi="Times New Roman" w:eastAsia="Times New Roman" w:cs="Times New Roman"/>
                <w:sz w:val="24"/>
                <w:szCs w:val="24"/>
              </w:rPr>
            </w:pP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5B9BD5"/>
                <w:sz w:val="24"/>
                <w:szCs w:val="24"/>
              </w:rPr>
              <w:t xml:space="preserve">━ ━ </w:t>
            </w:r>
            <w:r>
              <w:rPr>
                <w:rFonts w:ascii="Times New Roman" w:hAnsi="Times New Roman" w:eastAsia="Times New Roman" w:cs="Times New Roman"/>
                <w:b/>
                <w:sz w:val="24"/>
                <w:szCs w:val="24"/>
              </w:rPr>
              <w:t>SQB: rasmiy muammoli</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1F4E79"/>
                <w:sz w:val="24"/>
                <w:szCs w:val="24"/>
              </w:rPr>
              <w:t xml:space="preserve">━━━ </w:t>
            </w:r>
            <w:r>
              <w:rPr>
                <w:rFonts w:ascii="Times New Roman" w:hAnsi="Times New Roman" w:eastAsia="Times New Roman" w:cs="Times New Roman"/>
                <w:b/>
                <w:sz w:val="24"/>
                <w:szCs w:val="24"/>
              </w:rPr>
              <w:t>SQB: 3-bosqich (MHXS)</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6,2</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7,4</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5,9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70AD47"/>
                <w:sz w:val="24"/>
                <w:szCs w:val="24"/>
              </w:rPr>
              <w:t xml:space="preserve">━ ━ </w:t>
            </w:r>
            <w:r>
              <w:rPr>
                <w:rFonts w:ascii="Times New Roman" w:hAnsi="Times New Roman" w:eastAsia="Times New Roman" w:cs="Times New Roman"/>
                <w:b/>
                <w:sz w:val="24"/>
                <w:szCs w:val="24"/>
              </w:rPr>
              <w:t>MKB: rasmiy muammoli</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5,9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6,0</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4,6</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4,4</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375623"/>
                <w:sz w:val="24"/>
                <w:szCs w:val="24"/>
              </w:rPr>
              <w:t xml:space="preserve">━━━ </w:t>
            </w:r>
            <w:r>
              <w:rPr>
                <w:rFonts w:ascii="Times New Roman" w:hAnsi="Times New Roman" w:eastAsia="Times New Roman" w:cs="Times New Roman"/>
                <w:b/>
                <w:sz w:val="24"/>
                <w:szCs w:val="24"/>
              </w:rPr>
              <w:t>MKB: 3-bosqich (MHXS)</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17,4</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13,5</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16,6</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15,2</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12,3</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ED7D31"/>
                <w:sz w:val="24"/>
                <w:szCs w:val="24"/>
              </w:rPr>
              <w:t xml:space="preserve">━ ━ </w:t>
            </w:r>
            <w:r>
              <w:rPr>
                <w:rFonts w:ascii="Times New Roman" w:hAnsi="Times New Roman" w:eastAsia="Times New Roman" w:cs="Times New Roman"/>
                <w:b/>
                <w:sz w:val="24"/>
                <w:szCs w:val="24"/>
              </w:rPr>
              <w:t>Aloqabank: rasmiy muammoli</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4,1</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1,5</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C00000"/>
                <w:sz w:val="24"/>
                <w:szCs w:val="24"/>
              </w:rPr>
              <w:t xml:space="preserve">━━━ </w:t>
            </w:r>
            <w:r>
              <w:rPr>
                <w:rFonts w:ascii="Times New Roman" w:hAnsi="Times New Roman" w:eastAsia="Times New Roman" w:cs="Times New Roman"/>
                <w:b/>
                <w:sz w:val="24"/>
                <w:szCs w:val="24"/>
              </w:rPr>
              <w:t>Aloqabank: 3-bosqich (MHXS)</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10,0</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9,9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6,1</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7,5</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9"/>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20"/>
      </w:r>
      <w:r>
        <w:rPr>
          <w:rStyle w:val="aff8"/>
        </w:rPr>
        <w:footnoteReference w:id="321"/>
      </w:r>
      <w:r>
        <w:t>. Bundan ham muhimi, bankda 2-bosqich, ya’ni kredit riski sezilarli oshgan kreditlar ulushi 2023-yildagi 15,8 foizdan 2024-yilda 27,1 foizga, 2025-yilda esa 35,7 foizga ko‘tarilgan</w:t>
      </w:r>
      <w:r>
        <w:rPr>
          <w:rStyle w:val="aff8"/>
        </w:rPr>
        <w:footnoteReference w:id="322"/>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3"/>
      </w:r>
      <w:r>
        <w:t>.</w:t>
      </w:r>
      <w:r>
        <w:rPr/>
        <w:t xml:space="preserve"> </w:t>
      </w:r>
      <w:r>
        <w:rPr/>
        <w:t xml:space="preserve">“Aloqabank” ATB da ham</w:t>
      </w:r>
      <w:r>
        <w:rPr/>
        <w:t xml:space="preserve"> </w:t>
      </w:r>
      <w:r>
        <w:rPr/>
        <w:t xml:space="preserve">xuddi shunday manzara kuzatiladi. Unda 3-bosqich</w:t>
      </w:r>
      <w:r>
        <w:rPr/>
        <w:t xml:space="preserve"> kreditlari ulushi 6,1–10,0 foizni tashkil etib, rasmiy muammoli kreditlar ulushidan (1,5–4,1 foiz) 2,5–4,9 barobar yuqori bo‘lgan</w:t>
      </w:r>
      <w:r>
        <w:rPr/>
        <w:t xml:space="preserve">. Ayniqsa,</w:t>
      </w:r>
      <w:r>
        <w:rPr/>
        <w:t xml:space="preserve"> 2022–2024-yillarda rasmiy ko‘rsatkich 1,5–2,0 foizgacha pasaygan bir paytda MHXS bo‘yicha ko‘rsatkich 6,1–9,9 foiz darajasida saqlangan (bank bo‘yicha batafsil tahlil 2.3-paragrafda keltiriladi)</w:t>
      </w:r>
      <w:r>
        <w:rPr>
          <w:rStyle w:val="aff8"/>
        </w:rPr>
        <w:footnoteReference w:id="324"/>
      </w:r>
      <w:r>
        <w:rPr/>
        <w:t>.</w:t>
      </w:r>
      <w:r>
        <w:t xml:space="preserve"> Taqqoslash uchun, 2020-yil oxirida </w:t>
      </w:r>
      <w:r>
        <w:rPr/>
        <w:t xml:space="preserve">“Mikrokreditbank” ATB da</w:t>
      </w:r>
      <w:r>
        <w:t xml:space="preserve"> 3-bosqich kreditlari ulushi atigi 2,4 foizni, 2-bosqich kreditlari ulushi esa 5,1 foizni tashkil etgan, “O‘zsanoatqurilishbank” ATB da esa mos ravishda 6,6 va 29,3 foiz bo‘lgan</w:t>
      </w:r>
      <w:r>
        <w:rPr>
          <w:rStyle w:val="aff8"/>
        </w:rPr>
        <w:footnoteReference w:id="325"/>
      </w:r>
      <w:r>
        <w:t xml:space="preserve">. </w:t>
      </w:r>
      <w:r>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w:t>
      </w:r>
      <w:r>
        <w:rPr/>
        <w:t xml:space="preserve">kamaytirib</w:t>
      </w:r>
      <w:r>
        <w:t xml:space="preserve">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9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tizimi</w:t>
            </w:r>
          </w:p>
        </w:tc>
        <w:tc>
          <w:tcPr>
            <w:tcW w:w="10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“O‘zsanoatqurilishbank”</w:t>
            </w:r>
          </w:p>
        </w:tc>
        <w:tc>
          <w:tcPr>
            <w:tcW w:w="10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“Mikrokreditbank”</w:t>
            </w:r>
          </w:p>
        </w:tc>
        <w:tc>
          <w:tcPr>
            <w:tcW w:w="10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“Aloqabank”</w:t>
            </w:r>
          </w:p>
        </w:tc>
        <w:tc>
          <w:tcPr>
            <w:tcW w:w="15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Xalqaro mezon</w:t>
            </w:r>
          </w:p>
        </w:tc>
        <w:tc>
          <w:tcPr>
            <w:tcW w:w="189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Baho</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14,1</w:t>
            </w:r>
          </w:p>
        </w:tc>
        <w:tc>
          <w:tcPr>
            <w:tcW w:w="15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10,5 (Bazel III, bufer bilan)</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r>
            <w:r>
              <w:rPr>
                <w:rFonts w:ascii="Times New Roman" w:hAnsi="Times New Roman" w:eastAsia="Times New Roman" w:cs="Times New Roman"/>
                <w:sz w:val="24"/>
                <w:szCs w:val="24"/>
              </w:rPr>
              <w:t xml:space="preserve">I darajali asosiy kapital (CET1) monandligi,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10,1</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7 (Bazel III, bufer bilan)</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Yetarli, SQB va </w:t>
            </w:r>
            <w:r>
              <w:rPr>
                <w:rFonts w:ascii="Times New Roman" w:hAnsi="Times New Roman" w:eastAsia="Times New Roman" w:cs="Times New Roman"/>
                <w:sz w:val="24"/>
                <w:szCs w:val="24"/>
              </w:rPr>
              <w:t xml:space="preserve">Aloqabankda</w:t>
            </w:r>
            <w:r>
              <w:rPr>
                <w:rFonts w:ascii="Times New Roman" w:hAnsi="Times New Roman" w:eastAsia="Times New Roman" w:cs="Times New Roman"/>
                <w:sz w:val="24"/>
                <w:szCs w:val="24"/>
              </w:rPr>
              <w:t xml:space="preserve"> zaxira kichik</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&lt; 5 (erta ogohlantirish)</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Rasmiy jihatdan qoniqarli</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9 bo‘yicha 3-bosqich,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7,8 (2023)</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7,2</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&lt; 5</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Zaif</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va muammoli kreditlar,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20,9</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13,4</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9,0</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&lt; 10</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SQB va MK da zaif</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0,9</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&gt; 1 (CAMELS 1-reyting)</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Tizim va SQB yuqori, MK va Aloqabank past</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222,9</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231,9</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142,0</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 (Bazel III)</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Yuqori</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119,9</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122,2</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113,0</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103,0</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 (Bazel III)</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Yetarli, </w:t>
            </w:r>
            <w:r>
              <w:rPr>
                <w:rFonts w:ascii="Times New Roman" w:hAnsi="Times New Roman" w:eastAsia="Times New Roman" w:cs="Times New Roman"/>
                <w:sz w:val="24"/>
                <w:szCs w:val="24"/>
              </w:rPr>
              <w:t xml:space="preserve">Aloqabankda</w:t>
            </w:r>
            <w:r>
              <w:rPr>
                <w:rFonts w:ascii="Times New Roman" w:hAnsi="Times New Roman" w:eastAsia="Times New Roman" w:cs="Times New Roman"/>
                <w:sz w:val="24"/>
                <w:szCs w:val="24"/>
              </w:rPr>
              <w:t xml:space="preserve"> zaxira kichik</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208,5</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121,1</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SQB va MK da yuqori risk</w:t>
            </w:r>
          </w:p>
        </w:tc>
      </w:tr>
    </w:tbl>
    <w:p w:rsidR="005603EC" w:rsidRDefault="00AB61AC">
      <w:pPr>
        <w:pStyle w:val="af"/>
        <w:spacing w:after="0" w:line="360" w:lineRule="auto"/>
        <w:ind w:firstLine="709"/>
        <w:jc w:val="both"/>
      </w:pPr>
      <w:r>
        <w:t xml:space="preserve">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w:t>
      </w:r>
      <w:r>
        <w:rPr/>
        <w:t xml:space="preserve">muhim jihatni ochib berdi. Unga ko‘ra, davlat banklarida</w:t>
      </w:r>
      <w:r>
        <w:t xml:space="preserve">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w:t>
      </w:r>
      <w:r>
        <w:rPr/>
        <w:t xml:space="preserve">eng zaif bo‘g‘in bo‘lib qolmoqda. Xususan, substandart</w:t>
      </w:r>
      <w:r>
        <w:t xml:space="preserve"> kreditlar ulushi “O‘zsanoatqurilishbank” ATB da uch barobar oshgan, MHXS bo‘yicha qadrsizlangan kreditlar rasmiy ko‘rsatkichdan </w:t>
      </w:r>
      <w:r>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w:t>
      </w:r>
      <w:r>
        <w:rPr/>
        <w:t xml:space="preserve">,</w:t>
      </w:r>
      <w:r>
        <w:t xml:space="preserve">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 xml:space="preserve">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w:t>
      </w:r>
      <w:r>
        <w:rPr/>
        <w:t xml:space="preserve">, chunki</w:t>
      </w:r>
      <w:r>
        <w:t xml:space="preserve"> 2021-yildan boshlab tijorat banklari moliyaviy hisobotni Moliyaviy hisobotning xalqaro standartlari (MHXS) bo‘yicha tuzishga o‘tgan bo‘lsa-da</w:t>
      </w:r>
      <w:r>
        <w:rPr>
          <w:rStyle w:val="aff8"/>
        </w:rPr>
        <w:footnoteReference w:id="327"/>
      </w:r>
      <w:r>
        <w:t xml:space="preserve">, prudensial nazorat, ya’ni kapital yetarliligi, aktivlar sifati va likvidlik me’yorlariga rioya </w:t>
      </w:r>
      <w:r>
        <w:rPr/>
        <w:t xml:space="preserve">etilishi,</w:t>
      </w:r>
      <w:r>
        <w:t xml:space="preserve"> hamon milliy buxgalteriya hisobi va Markaziy bankning aktivlarni tasniflash qoidalari asosida tuzilgan hisobotlar bo‘yicha amalga oshiriladi</w:t>
      </w:r>
      <w:r>
        <w:rPr>
          <w:rStyle w:val="aff8"/>
        </w:rPr>
        <w:footnoteReference w:id="328"/>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9"/>
      </w:r>
      <w:r>
        <w:t xml:space="preserve">. Bundan oldin qo‘mita banklarga kutilgan kredit zararlarini baholashda buxgalteriya talablari va kredit riskini boshqarish amaliyotini o‘zaro uyg‘unlashtirish bo‘yicha </w:t>
      </w:r>
      <w:r>
        <w:lastRenderedPageBreak/>
      </w:r>
      <w:r>
        <w:t>alohida yo‘riqnoma bergan edi</w:t>
      </w:r>
      <w:r>
        <w:rPr>
          <w:rStyle w:val="aff8"/>
        </w:rPr>
        <w:footnoteReference w:id="330"/>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1"/>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2"/>
      </w:r>
      <w:r>
        <w:t>. J. Abad va J. Suarez kutilgan kredit zararlari modeli zaxiralarni iqtisodiy pasayish boshlanishida keskin oshirib, kapitalga bosimni avvalgi modelga nisbatan ertaroq yuzaga keltirishini isbotlagan</w:t>
      </w:r>
      <w:r>
        <w:rPr>
          <w:rStyle w:val="aff8"/>
        </w:rPr>
        <w:footnoteReference w:id="333"/>
      </w:r>
      <w:r>
        <w:t>. Rossiya iqtisodchisi N.E. Sokolinskaya bank moliyaviy holatini MHXS asosida tahlil qilish milliy hisobotga nisbatan aktivlar sifati va kapitalning haqiqiy darajasini aniqroq ko‘rsatishini ta’kidlagan</w:t>
      </w:r>
      <w:r>
        <w:rPr>
          <w:rStyle w:val="aff8"/>
        </w:rPr>
        <w:footnoteReference w:id="334"/>
      </w:r>
      <w:r>
        <w:t xml:space="preserve">. Bu tadqiqotlar bitta </w:t>
      </w:r>
      <w:r>
        <w:rPr/>
        <w:t xml:space="preserve">umumiy xulosaga olib keladi. Unga ko‘ra, hisobot standarti</w:t>
      </w:r>
      <w:r>
        <w:t xml:space="preserve">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spacing w:after="0" w:line="360" w:lineRule="auto"/>
        <w:ind w:firstLine="709"/>
        <w:jc w:val="both"/>
      </w:pPr>
      <w:r>
        <w:rPr/>
        <w:t xml:space="preserve">2.3.1-jadval ma’lumotlari</w:t>
      </w:r>
      <w:r>
        <w:t xml:space="preserve"> shuni ko‘rsatadiki, ikki hisobot o‘rtasidagi farqlarning eng muhimlari kreditlarni tasniflash va zaxira shakllantirish qoidalari bilan bog‘liq. Milliy tizimda zaxira miqdori kreditning toifasiga qarab qat’iy stavkalarda </w:t>
      </w:r>
      <w:r>
        <w:lastRenderedPageBreak/>
      </w:r>
      <w:r>
        <w:t>belgilanadi</w:t>
      </w:r>
      <w:r>
        <w:rPr>
          <w:rStyle w:val="aff8"/>
        </w:rPr>
        <w:footnoteReference w:id="335"/>
      </w:r>
      <w:r>
        <w:t xml:space="preserve">. Ushbu stavkalar haqiqatda qo‘llanayotganini “O‘zsanoatqurilishbank” ATB ning 2025-yil yakunidagi </w:t>
      </w:r>
      <w:r>
        <w:rPr/>
        <w:t xml:space="preserve">hisoboti tasdiqlaydi. Jumladan, standart kreditlar</w:t>
      </w:r>
      <w:r>
        <w:t xml:space="preserve">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Belgi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Milliy prudensial hisobot</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bo‘yicha hisobot</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Ko‘rsatkichlarga ta’siri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Hisobot doirasi</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bank</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 guruhi (sho‘ba korxonalari bo‘lsa – konsolidatsiyalangan), aks holda alohida bank</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kapital va foyda tarkibi o‘zgaradi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Kreditlarni tasniflash asosi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Besh toifa: standart, substandart, qoniqarsiz, shubhali, umidsiz; asosiy mezon – muddati o‘tgan kunlar</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Uch bosqich: kredit riski sezilarli oshmagan 1-bosqich,</w:t>
            </w:r>
            <w:r>
              <w:rPr>
                <w:rFonts w:ascii="Times New Roman" w:hAnsi="Times New Roman" w:eastAsia="Times New Roman" w:cs="Times New Roman"/>
                <w:sz w:val="24"/>
                <w:szCs w:val="24"/>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MHXS bo‘yicha yuqori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Zaxira shakllantirish</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Toifa bo‘yicha qat’iy stavkalar: 1, 10, 25, 50 va 100 foiz</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Kutilgan kredit zararlari: defolt ehtimoli, defolt holatidagi yo‘qotish va riskdagi summa asosida</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Restrukturizatsiya qilingan kreditlar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Kredit riski sezilarli oshganining belgisi sifatida </w:t>
            </w:r>
            <w:r>
              <w:rPr>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t xml:space="preserve"> yoki 3-bosqichga o‘tkaziladi; yuqori bosqichga qaytarish uchun to‘lovlarning barqarorligi talab qilinadi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Bozor stavkasidan past stavkadagi kreditlar va resurslar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Nominal qiymatda aks ettiriladi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Haqqoniy qiymatda tan olinadi, farq dastlabki tan olishdagi foyda yoki zarar sifatida ko‘rsatiladi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buxgalteriya hisobi asosida hisoblanadi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Hisoblanmaydi; izohlarda milliy me’yorlar bo‘yicha hisoblangan qiymat oshkor qilinadi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bo‘yicha kapital farqi kapital monandligida aks etmaydi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Hisobot muddati va oshkoralik</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Yillik, auditorlik xulosasi bilan, olti oy kechikib e’lon qilinadi;</w:t>
            </w:r>
            <w:r>
              <w:rPr>
                <w:rFonts w:ascii="Times New Roman" w:hAnsi="Times New Roman" w:eastAsia="Times New Roman" w:cs="Times New Roman"/>
                <w:sz w:val="24"/>
                <w:szCs w:val="24"/>
              </w:rPr>
              <w:t xml:space="preserve"> bosqichlar, garov va risklar bo‘yicha batafsil izohlar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chuqurroq, ammo kechroq ma’lumot beradi</w:t>
            </w:r>
          </w:p>
        </w:tc>
      </w:tr>
    </w:tbl>
    <w:p w:rsidR="005603EC" w:rsidRDefault="00AB61AC">
      <w:pPr>
        <w:pStyle w:val="af"/>
        <w:spacing w:after="0" w:line="360" w:lineRule="auto"/>
        <w:ind w:firstLine="709"/>
        <w:jc w:val="both"/>
      </w:pPr>
      <w:r>
        <w:rPr/>
        <w:t xml:space="preserve">2.3.1-rasmdan </w:t>
      </w:r>
      <w:r>
        <w:t xml:space="preserve">ko‘rinib turibdiki, tafovut zanjirining boshlang‘ich bo‘g‘ini kreditlarni tasniflash bo‘lib, uning ta’siri moliyaviy barqarorlikning barcha asosiy bloklariga – aktivlar sifati, daromadlilik, kapital va likvidlikka yetib boradi. Bu zanjirning muhim xususiyati shundaki, uning har bir bo‘g‘inida </w:t>
      </w:r>
      <w:r>
        <w:rPr/>
        <w:t xml:space="preserve">ta’sir kuchsizlanib boradi. Masalan, kreditlar tasnifidagi</w:t>
      </w:r>
      <w:r>
        <w:t xml:space="preserve"> farq bir necha barobarni tashkil etsa, kapitaldagi farq o‘n </w:t>
      </w:r>
      <w:r>
        <w:lastRenderedPageBreak/>
      </w:r>
      <w:r>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 xml:space="preserve">Tafovut: 1,7–4,9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 xml:space="preserve">Tafovut: 13–18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 xml:space="preserve">Tafovut: 1–3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 xml:space="preserve">Tafovut: 1,7–4,9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 xml:space="preserve">Tafovut: 13–18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 xml:space="preserve">Tafovut: 1–3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9"/>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40"/>
      </w:r>
      <w:r>
        <w:rPr>
          <w:rStyle w:val="aff8"/>
        </w:rPr>
        <w:footnoteReference w:id="341"/>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rPr/>
        <w:t xml:space="preserve"> – MHXS 9 bo‘yicha bosqichlarga taqsimlangan, ya’ni amortizatsiyalangan qiymatda baholanadigan kreditlar (brutto), </w:t>
      </w:r>
      <w:r>
        <w:rPr>
          <w:i/>
          <w:iCs/>
        </w:rPr>
        <w:t>L</w:t>
      </w:r>
      <w:r>
        <w:rPr>
          <w:vertAlign w:val="subscript"/>
        </w:rPr>
        <w:t>milliy</w:t>
      </w:r>
      <w:r>
        <w:rPr/>
        <w:t xml:space="preserve"> – milliy hisobot bo‘yicha jami kreditlar (brutto). Foyda yoki zarar orqali adolatli qiymatda baholanadigan kreditlar bosqichlarga ajratilmagani sababli maxraj tarkibiga kiritilmaydi</w:t>
      </w:r>
      <w:r>
        <w:rPr/>
        <w:t xml:space="preserve">. Masalan, “Mikrokreditbank”</w:t>
      </w:r>
      <w:r>
        <w:rPr/>
        <w:t xml:space="preserve"> ATB da bunday kreditlar 2021-yilda 2 729,6 mlrd so‘mni, 2025-yilda 1 362,7 mlrd so‘mni tashkil etgan.</w:t>
      </w:r>
      <w:r>
        <w:t xml:space="preserve">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t>1,4–5,1 foiz oralig‘ida bo‘ladi</w:t>
      </w:r>
      <w:r>
        <w:t xml:space="preserve"> va tahlil xulosalariga sezilarli ta’sir qilmaydi.</w:t>
      </w:r>
    </w:p>
    <w:p w:rsidR="005603EC" w:rsidRDefault="00AB61AC">
      <w:pPr>
        <w:pStyle w:val="af"/>
        <w:spacing w:after="0" w:line="360" w:lineRule="auto"/>
        <w:ind w:firstLine="709"/>
        <w:jc w:val="both"/>
      </w:pPr>
      <w:r>
        <w:rPr/>
        <w:t xml:space="preserve">Yashirin kredit riski koeffitsiyenti asosida milliy hisobot bo‘yicha muammoli kreditlar ulushi xalqaro standartlar darajasiga quyidagicha keltiriladi:</w:t>
      </w:r>
    </w:p>
    <w:p w:rsidR="005603EC" w:rsidRDefault="00AB61AC">
      <w:pPr>
        <w:pStyle w:val="af"/>
        <w:spacing w:after="0" w:line="360" w:lineRule="auto"/>
        <w:ind w:firstLine="709"/>
        <w:jc w:val="both"/>
      </w:pPr>
      <w:r>
        <w:rPr/>
        <w:t xml:space="preserve">NPLtuz = (NPL / Lmilliy) × Kykr,  (2.3)</w:t>
      </w:r>
    </w:p>
    <w:p w:rsidR="005603EC" w:rsidRDefault="00AB61AC">
      <w:pPr>
        <w:pStyle w:val="af"/>
        <w:spacing w:after="0" w:line="360" w:lineRule="auto"/>
        <w:ind w:firstLine="709"/>
        <w:jc w:val="both"/>
      </w:pPr>
      <w:r>
        <w:rPr/>
        <w:t xml:space="preserve">bu yerda NPLtuz – MHXS 9 darajasiga keltirilgan muammoli kreditlar ulushi. MHXS hisoboti mavjud bo‘lgan yillarda tuzatilgan ko‘rsatkich 3-bosqich kreditlari ulushiga teng bo‘ladi, shu sababli tuzatish asosan MHXS hisoboti hali e’lon qilinmagan davrlar, ya’ni joriy yilning choraklari va prognoz davri uchun ahamiyatli</w:t>
      </w:r>
      <w:r>
        <w:rPr/>
        <w:t xml:space="preserve">. Bunday davrlar</w:t>
      </w:r>
      <w:r>
        <w:rPr/>
        <w:t xml:space="preserve">da bankning oxirgi ma’lum yillik koeffitsiyenti qo‘llanadi. Tuzatilgan ko‘rsatkich integral indeksning aktivlar sifati blokida milliy muammoli kreditlar ulushi o‘rniga ishlatiladi.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56 511,3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64 263,8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74 634,4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87 597,0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102 438,7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55 731,9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63 189,3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73 293,3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84 800,2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97 184,4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7 700,9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7 828,1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8 728,4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10 025,4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6 944,8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7 581,2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8 439,9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9 352,8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998,2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588,9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911,7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1 303,2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1 880,1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857,0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633,7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1 115,0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1 543,8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zaxiralari / kreditlar,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(milliy) / 3-bosqich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 / 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 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7,5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(milliy) / 2-bosqich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 20,4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 / 14,7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 15,8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 27,1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 35,7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Yashirin kredit riski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2,96</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 xml:space="preserve">Jadval ma’lumotlari shuni ko‘rsatadiki, tahlil davrining barcha yillarida MHXS bo‘yicha xususiy kapital milliy hisobotdagidan kam bo‘lgan, tafovut esa 2022–2023-yillardagi 3,2–3,3 foizdan 2025-yilda 13,5 foizgacha, ya’ni to‘rt barobar kengaygan. Kapitaldagi bu tafovut kapital monandligiga ham </w:t>
      </w:r>
      <w:r>
        <w:rPr/>
        <w:t xml:space="preserve">bevosita ta’sir qiladi. Xususan, MHXS ma’lumotlari</w:t>
      </w:r>
      <w:r>
        <w:t xml:space="preserve">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w:t>
      </w:r>
      <w:r>
        <w:rPr/>
        <w:t xml:space="preserve">vaziyat tubdan farq qiladi, chunki rasmiy hisobot</w:t>
      </w:r>
      <w:r>
        <w:rPr/>
        <w:t xml:space="preserve">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r>
      <w:r>
        <w:t xml:space="preserve">olgan, boshqacha aytganda, milliy hisobot bank daromadliligini besh yillik yig‘indida 676,4 mlrd </w:t>
      </w:r>
      <w:r>
        <w:rPr/>
        <w:t>so‘mga, ya’ni MHXS bo‘yicha foydaga nisbatan 13,5 foizga (milliy hisobotdagi foydaga nisbatan 11,9 foizga)</w:t>
      </w:r>
      <w:r>
        <w:t xml:space="preserve"> oshirib ko‘rsatgan (2.3.2-rasm).</w:t>
      </w:r>
    </w:p>
    <w:p w:rsidR="005603EC" w:rsidRDefault="00AB61AC">
      <w:pPr>
        <w:pStyle w:val="af"/>
        <w:spacing w:after="0" w:line="360" w:lineRule="auto"/>
        <w:ind w:firstLine="709"/>
        <w:jc w:val="both"/>
      </w:pPr>
      <w:r>
        <w:rPr/>
        <w:t xml:space="preserve">2.3.2-rasmdan </w:t>
      </w:r>
      <w:r>
        <w:t xml:space="preserve">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r>
      <w:r>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6"/>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spacing w:after="0" w:line="360" w:lineRule="auto"/>
        <w:ind w:firstLine="709"/>
        <w:jc w:val="both"/>
      </w:pPr>
      <w:r>
        <w:lastRenderedPageBreak/>
      </w:r>
      <w:r>
        <w:rPr/>
        <w:t xml:space="preserve">2.3.3-rasm ma’lumotlari</w:t>
      </w:r>
      <w:r>
        <w:t xml:space="preserve">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w:t>
      </w:r>
      <w:r>
        <w:rPr/>
        <w:t xml:space="preserve">esa, aksincha,</w:t>
      </w:r>
      <w:r>
        <w:t xml:space="preserve">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7"/>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8"/>
      </w:r>
      <w:r>
        <w:t>. Ushbu jadval ma’lumotlari asosida 3-bosqich kreditlarining milliy tasnif bo‘yicha tarkibi aniqlandi (2.3.4-rasm).</w:t>
      </w:r>
    </w:p>
    <w:p w:rsidR="005603EC" w:rsidRDefault="00AB61AC">
      <w:pPr>
        <w:pStyle w:val="af"/>
        <w:spacing w:after="0" w:line="360" w:lineRule="auto"/>
        <w:ind w:firstLine="709"/>
        <w:jc w:val="both"/>
      </w:pPr>
      <w:r>
        <w:rPr/>
        <w:t xml:space="preserve">2.3.4-rasm ma’lumotlari</w:t>
      </w:r>
      <w:r>
        <w:t xml:space="preserve">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xml:space="preserve">. 2-bosqich kreditlari bo‘yicha </w:t>
      </w:r>
      <w:r>
        <w:rPr/>
        <w:t xml:space="preserve">ham manzara o‘xshash. Jumladan, 2025-yilda</w:t>
      </w:r>
      <w:r>
        <w:t xml:space="preserve"> kredit riski sezilarli oshgan 25 320,4 mlrd so‘mlik kreditlarning 51,2 foizi milliy tasnifda “standart” kreditlar hisoblangan.</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rPr>
        <w:t xml:space="preserve">tarkibi, 2021–2025-yillar, %</w:t>
      </w:r>
      <w:r>
        <w:rPr>
          <w:rStyle w:val="aff8"/>
        </w:rPr>
        <w:footnoteReference w:id="350"/>
      </w:r>
    </w:p>
    <w:p w:rsidR="005603EC" w:rsidRDefault="00AB61AC">
      <w:pPr>
        <w:pStyle w:val="af"/>
        <w:spacing w:before="120" w:after="240" w:line="240" w:lineRule="auto"/>
        <w:jc w:val="center"/>
      </w:pPr>
      <w:r>
        <w:rPr>
          <w:i/>
          <w:sz w:val="24"/>
        </w:rPr>
        <w:t xml:space="preserve">Izoh: ustunlar ustida – 3-bosqich kreditlarining jami summasi, mlrd so‘m.</w:t>
      </w:r>
    </w:p>
    <w:p w:rsidR="005603EC" w:rsidRDefault="00AB61AC">
      <w:pPr>
        <w:pStyle w:val="af"/>
        <w:spacing w:after="0" w:line="360" w:lineRule="auto"/>
        <w:ind w:firstLine="709"/>
        <w:jc w:val="both"/>
      </w:pPr>
      <w:r>
        <w:lastRenderedPageBreak/>
      </w:r>
      <w:r>
        <w:t xml:space="preserve">Bu ma’lumotlar yuqorida keltirilgan nazariy xulosani </w:t>
      </w:r>
      <w:r>
        <w:rPr/>
        <w:t xml:space="preserve">amaliy jihatdan tasdiqlaydi. Unga ko‘ra, milliy va MHXS</w:t>
      </w:r>
      <w:r>
        <w:t xml:space="preserve">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w:t>
      </w:r>
      <w:r>
        <w:rPr/>
        <w:t xml:space="preserve">Uning uch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306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1"/>
      </w:r>
    </w:p>
    <w:p w:rsidR="005603EC" w:rsidRDefault="00AB61AC">
      <w:pPr>
        <w:pStyle w:val="af"/>
        <w:spacing w:after="0" w:line="360" w:lineRule="auto"/>
        <w:ind w:firstLine="709"/>
        <w:jc w:val="both"/>
      </w:pPr>
      <w:r>
        <w:lastRenderedPageBreak/>
      </w:r>
      <w:r>
        <w:t xml:space="preserve">Rasmdan ko‘rinib turibdiki, yashirin kredit riski koeffitsiyenti </w:t>
      </w:r>
      <w:r>
        <w:rPr/>
        <w:t xml:space="preserve">uchala bankda</w:t>
      </w:r>
      <w:r>
        <w:t xml:space="preserve">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w:t>
      </w:r>
      <w:r>
        <w:rPr/>
        <w:t xml:space="preserve">2,77–3,28</w:t>
      </w:r>
      <w:r>
        <w:t xml:space="preserve"> oralig‘ida yuqori darajada saqlangan, uning eng yuqori qiymati esa 2024-yilga to‘g‘ri kelgan</w:t>
      </w:r>
      <w:r>
        <w:rPr>
          <w:rStyle w:val="aff8"/>
        </w:rPr>
        <w:footnoteReference w:id="352"/>
      </w:r>
      <w:r>
        <w:t>.</w:t>
      </w:r>
      <w:r>
        <w:rPr/>
        <w:t xml:space="preserve"> Taqqoslash uchun rasmda ushbu paragraf oxirida batafsil tahlil qilinadigan uchinchi davlat banki – “Aloqabank” ATB </w:t>
      </w:r>
      <w:r>
        <w:rPr/>
        <w:t xml:space="preserve">koeffitsiyenti ham keltirilgan. Ushbu koeffitsiyent 2021-yildagi</w:t>
      </w:r>
      <w:r>
        <w:rPr/>
        <w:t xml:space="preserve"> 2,46 dan 2022-yilda 4,90 gacha oshib, 2023–2024-yillarda 4,01 darajasida saqlangan, 2025-yilda esa 2,83 ga pasaygan, ya’ni bu bankda milliy tasnif kredit riskini ikki tadqiqot obyektiga nisbatan ham kuchliroq </w:t>
      </w:r>
      <w:r>
        <w:rPr/>
        <w:t xml:space="preserve">kamaytirib</w:t>
      </w:r>
      <w:r>
        <w:rPr/>
        <w:t xml:space="preserve"> ko‘rsatgan.</w:t>
      </w:r>
      <w:r>
        <w:t xml:space="preserve"> </w:t>
      </w:r>
      <w:r>
        <w:rPr/>
        <w:t xml:space="preserve">Uchala bank uchun</w:t>
      </w:r>
      <w:r>
        <w:t xml:space="preserve"> ham koeffitsiyentning nisbatan barqarorligi muhim </w:t>
      </w:r>
      <w:r>
        <w:rPr/>
        <w:t xml:space="preserve">amaliy xulosaga olib keladi. Unga ko‘ra, milliy hisobot</w:t>
      </w:r>
      <w:r>
        <w:t xml:space="preserve"> asosidagi muammoli kreditlar ko‘rsatkichi kredit riskini tasodifan emas, balki muntazam ravishda </w:t>
      </w:r>
      <w:r>
        <w:rPr/>
        <w:t xml:space="preserve">kamaytirib</w:t>
      </w:r>
      <w:r>
        <w:t xml:space="preserve">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13 483,4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16 782,5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19 061,5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23 542,5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30 728,8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12 802,3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16 521,3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18 244,1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23 851,4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30 969,3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2 321,1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3 643,9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3 933,6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3 550,6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5 739,2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2 291,6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3 650,9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3 578,1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4 101,3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6 270,8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(zarar),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−1 703,8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−471,2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(milliy) / 3-bosqich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 17,4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 / 13,5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 / 16,6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 15,2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 / 12,3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16,20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18,24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Yashirin kredit riski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2,83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4"/>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5"/>
      </w:r>
    </w:p>
    <w:p w:rsidR="005603EC" w:rsidRDefault="00AB61AC">
      <w:pPr>
        <w:pStyle w:val="af"/>
        <w:spacing w:after="0" w:line="360" w:lineRule="auto"/>
        <w:ind w:firstLine="709"/>
        <w:jc w:val="both"/>
      </w:pPr>
      <w:r>
        <w:t xml:space="preserve">Rasm ma’lumotlari kutilgan kredit zararlari modelining asosiy afzalligini, ya’ni kredit riskini o‘z vaqtida tan </w:t>
      </w:r>
      <w:r>
        <w:rPr/>
        <w:t xml:space="preserve">olishini,</w:t>
      </w:r>
      <w:r>
        <w:t xml:space="preserve">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t xml:space="preserve">ushbu </w:t>
      </w:r>
      <w:r>
        <w:rPr/>
        <w:lastRenderedPageBreak/>
      </w:r>
      <w:r>
        <w:rPr/>
        <w:t>paragraf boshida J. Abad va J. Suarez tadqiqoti misolida</w:t>
      </w:r>
      <w:r>
        <w:t xml:space="preserve"> ko‘rib chiqilgan kutilgan kredit zararlari modelining prosiklik xususiyati to‘g‘risidagi xulosani </w:t>
      </w:r>
      <w:r>
        <w:rPr/>
        <w:t xml:space="preserve">boshqa tomondan ham to‘ldiradi. Chunonchi, ertaroq</w:t>
      </w:r>
      <w:r>
        <w:t xml:space="preserve">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6"/>
      </w:r>
      <w:r>
        <w:t xml:space="preserve">, MHXS ma’lumotlariga asoslangan koeffitsiyentlar esa banklar tomonidan e’lon qilinmaydi. Shu sababli ular Markaziy bank metodikasi bo‘yicha </w:t>
      </w:r>
      <w:r>
        <w:rPr/>
        <w:t xml:space="preserve">muallif tomonidan qayta hisoblandi. Bunda birinchi darajali</w:t>
      </w:r>
      <w:r>
        <w:t xml:space="preserve">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7"/>
      </w:r>
      <w:r>
        <w:t xml:space="preserve">. MHXS bo‘yicha zaxiralar ko‘pligi sababli risk bo‘yicha tortilgan aktivlar amalda biroz kichikroq bo‘lishi mumkin, biroq bu koeffitsiyentlarni 0,1 foiz punktdan ko‘p o‘zgartirmaydi. Sof barqaror moliyalashtirish me’yori esa ikki metodika – Markaziy bank va Bazel III metodikasi </w:t>
      </w:r>
      <w:r>
        <w:rPr/>
        <w:t xml:space="preserve">– hamda</w:t>
      </w:r>
      <w:r>
        <w:t xml:space="preserve"> ikki hisobot turi bo‘yicha to‘rt variantda hisoblandi</w:t>
      </w:r>
      <w:r>
        <w:rPr>
          <w:rStyle w:val="aff8"/>
        </w:rPr>
        <w:footnoteReference w:id="358"/>
      </w:r>
      <w:r>
        <w:rPr>
          <w:rStyle w:val="aff8"/>
        </w:rPr>
        <w:footnoteReference w:id="359"/>
      </w:r>
      <w:r>
        <w:t>.</w:t>
      </w:r>
      <w:r>
        <w:rPr/>
        <w:t xml:space="preserve"> </w:t>
      </w:r>
      <w:r>
        <w:rPr/>
        <w:lastRenderedPageBreak/>
      </w:r>
      <w:r>
        <w:rPr/>
        <w:t xml:space="preserve">Hisob-kitob jarayonida xalqaro standart va bankning hisobot shakli o‘rtasida muhim farq aniqlandi. Bazel III ga </w:t>
      </w:r>
      <w:r>
        <w:rPr/>
        <w:t xml:space="preserve">ko‘ra,</w:t>
      </w:r>
      <w:r>
        <w:rPr/>
        <w:t xml:space="preserve"> mavjud barqaror moliyalashtirish tarkibiga bankning jami regulyativ kapitali 100 foizlik koeffitsiyent bilan kiradi</w:t>
      </w:r>
      <w:r>
        <w:rPr>
          <w:rStyle w:val="aff8"/>
        </w:rPr>
        <w:footnoteReference w:id="360"/>
      </w:r>
      <w:r>
        <w:rPr/>
        <w:t>, 2709-son nizomning 2025-yil 23-maygacha amal qilgan tahririda (54-band) ham regulyativ kapital belgilangan edi, bankning 2025-yil 30-dekabr holatidagi prudensial hisobot shaklida esa xususiy kapital ko‘rsatilgan</w:t>
      </w:r>
      <w:r>
        <w:rPr>
          <w:rStyle w:val="aff8"/>
        </w:rPr>
        <w:footnoteReference w:id="361"/>
      </w:r>
      <w:r>
        <w:rPr/>
        <w:t xml:space="preserve">. “O‘zsanoatqurilishbank” ATB da regulyativ kapital (16 199,1 mlrd so‘m) </w:t>
      </w:r>
      <w:r>
        <w:rPr/>
        <w:t xml:space="preserve">xususiy kapitaldan (11 875,2 mlrd so‘m) 4 323,9 mlrd so‘mga ko‘p, biroq bu farqning asosiy qismini qo‘shimcha birinchi darajali kapitalga kiritilgan muddatsiz obligatsiyalar (3 614,6 mlrd so‘m) va ikkinchi darajali kapitalga kiritilgan subordinar qarz (1 524,8 mlrd so‘m) tashkil etadi. Ular hisobot shaklida bir yildan ortiq muddatli majburiyatlar tarkibida 100 foizlik koeffitsiyent bilan allaqachon hisobga olingan. Shu sababli kapital instrumentlari ikki marta hisoblanmagan holda regulyativ kapital olinganda me’yor 120,9 foizni (Bazel III dagidek chegirmalargacha olinganda – 123,4 foizni) tashkil etadi, ya’ni hisobot shaklidagi qiymatdan (122,2 foiz) 1,3 foiz punktdan ko‘p farq qilmaydi.</w:t>
      </w:r>
      <w:r>
        <w:rPr/>
        <w:t xml:space="preserve"> 2025-yil 23-maydan boshlab nizomning 54- va 55-bandlari va 2-ilovasi kuchini yo‘qotgan bo‘lib, mavjud va zarur barqaror moliyalashtirish elementlari hamda ularga qo‘llanadigan koeffitsiyentlar Markaziy bank tomonidan o‘rnatiladi</w:t>
      </w:r>
      <w:r>
        <w:rPr>
          <w:rStyle w:val="aff8"/>
        </w:rPr>
        <w:footnoteReference w:id="362"/>
      </w:r>
      <w:r>
        <w:rPr/>
        <w:t>, “yo‘l xaritasi”ga ko‘ra esa ular Bazel III ga to‘liq moslashtirilib, 2026-yil 1-yanvardan monitoring qilinadi</w:t>
      </w:r>
      <w:r>
        <w:rPr>
          <w:rStyle w:val="aff8"/>
        </w:rPr>
        <w:footnoteReference w:id="363"/>
      </w:r>
      <w:r>
        <w:rPr/>
        <w:t xml:space="preserve">. Biroq bu elementlar va koeffitsiyentlar ochiq e’lon qilinmagan. </w:t>
      </w:r>
      <w:r>
        <w:rPr/>
        <w:t xml:space="preserve">Shu sababli ularda kapital instrumentlarini barqaror moliyalashtirish tarkibida bir marta – kapital sifatida – hisobga olish tartibini aniq belgilash hamda elementlar va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4"/>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c>
          <w:tcPr>
            <w:tcW w:w="28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Milliy hisobot va metodika</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va Bazel III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Tafovut</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(3-bosqich) ulushi,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7,48</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+4,95 p.p. (2,96 barobar)</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(2-bosqich) ulushi,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18,44</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35,66</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+17,22 p.p. (1,93 barobar)</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Kredit zaxiralari, mlrd so‘m</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2 947,5</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4 250,9</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+44,2%</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mlrd so‘m</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1 880,1</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1 543,8</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10,21</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8,87</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−1,34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kapital monandligi,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14,01</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12,66</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barqaror moliyalashtirish me’yori,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124,8</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+2,6 p.p. (metodika +5,4; hisobot −2,8)</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Banklardagi mablag‘larning yuqori likvid aktivlardagi ulushi,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bo‘yicha yuqori likvid aktiv emas</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Likvidlikni qoplash koeffitsiyenti,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222,9</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154,1</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−68,8 p.p.*</w:t>
            </w:r>
          </w:p>
        </w:tc>
      </w:tr>
    </w:tbl>
    <w:p w:rsidR="005603EC" w:rsidRDefault="00AB61AC">
      <w:pPr>
        <w:pStyle w:val="af"/>
        <w:spacing w:after="0" w:line="360" w:lineRule="auto"/>
        <w:ind w:firstLine="709"/>
        <w:jc w:val="both"/>
      </w:pPr>
      <w:r>
        <w:rPr>
          <w:i/>
          <w:iCs/>
        </w:rPr>
        <w:t xml:space="preserve">Izoh: kapital monandligi ko‘rsatkichlari Markaziy bank metodikasi bo‘yicha MHXS ma’lumotlari asosida qayta hisoblandi; </w:t>
      </w:r>
      <w:r>
        <w:rPr>
          <w:i/>
          <w:iCs/>
        </w:rPr>
        <w:t xml:space="preserve">NSFR va LCR – Bazel III metodikasi bo‘yicha; * – boshqa banklardagi mablag‘lar yuqori likvid aktivlardan chiqarilganda, 30 kunlik sof chiqim o‘zgarishsiz (quyi chegara).</w:t>
      </w:r>
    </w:p>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r>
      <w:r>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w:t>
      </w:r>
      <w:r>
        <w:rPr/>
        <w:t xml:space="preserve">bir-birini qisman qoplaydi. Xususan, Bazel III</w:t>
      </w:r>
      <w:r>
        <w:t xml:space="preserve">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w:t>
      </w:r>
      <w:r>
        <w:rPr/>
        <w:t xml:space="preserve">.</w:t>
      </w:r>
      <w:r>
        <w:t xml:space="preserve">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6"/>
      </w:r>
      <w:r>
        <w:rPr/>
        <w:t xml:space="preserve">. </w:t>
      </w:r>
      <w:r>
        <w:rPr/>
        <w:t xml:space="preserve">Chiqarilgan mablag‘larning asosiy qismi (4 882,6 mlrd so‘m) boshqa banklarga overnayt joylashtirilgan mablag‘lar bo‘lib, Bazel III da ular 30 kunlik kirim sifatida hisobga olinadi, shu sababli 154,1 foiz koeffitsiyentning quyi chegarasi hisoblanadi. Koeffitsiyent minimal talabdan ancha yuqori qolsa-da, likvidlik buferining qariyb uchdan bir qismi xalqaro standart bo‘yicha yuqori likvid aktiv hisoblanmaydi, ya’ni buferning tarkibi milliy va xalqaro yondashuvda sezilarli farq qiladi.</w:t>
      </w:r>
      <w:r>
        <w:t xml:space="preserve"> Tafovutning nisbiy ko‘lamini taqqoslash uchun asosiy ko‘rsatkichlar bo‘yicha nisbiy tafovut koeffitsiyenti hisoblandi (2.3.7-rasm).</w:t>
      </w:r>
    </w:p>
    <w:p w:rsidR="005603EC" w:rsidRDefault="00AB61AC">
      <w:pPr>
        <w:pStyle w:val="af"/>
        <w:spacing w:after="0" w:line="360" w:lineRule="auto"/>
        <w:ind w:firstLine="709"/>
        <w:jc w:val="both"/>
      </w:pPr>
      <w:r>
        <w:rPr/>
        <w:t xml:space="preserve">2.3.7-rasmdan </w:t>
      </w:r>
      <w:r>
        <w:t xml:space="preserve">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342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7"/>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8"/>
      </w:r>
      <w:r>
        <w:rPr/>
        <w:t xml:space="preserve"> va auditdan o‘tgan MHXS bo‘yicha konsolidatsiyalangan moliyaviy hisobotlari</w:t>
      </w:r>
      <w:r>
        <w:rPr>
          <w:rStyle w:val="aff8"/>
        </w:rPr>
        <w:footnoteReference w:id="369"/>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 xml:space="preserve">“Aloqabank” ATB ning asosiy ko‘rsatkichlari: milliy hisobot va MHXS, 2021–2025-yillar</w:t>
      </w:r>
      <w:r>
        <w:rPr>
          <w:rStyle w:val="aff8"/>
        </w:rPr>
        <w:footnoteReference w:id="3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12 638,5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16 083,6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16 044,7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23 251,3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31 527,5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12 566,0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15 866,3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15 778,2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22 669,2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31 344,2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1 673,5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1 795,3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2 643,2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3 082,2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3 846,9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1 604,3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1 799,0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2 397,7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3 099,7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3 491,0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(zarar),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190,0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252,9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(milliy) / 3-bosqich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 / 10,0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 / 9,9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 7,5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7,2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(milliy) / 2-bosqich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 / 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 9,5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 / 17,7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 12,6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 / 6,6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Regulyativ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Yashirin kredit riski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r>
    </w:tbl>
    <w:p w:rsidR="005603EC" w:rsidRDefault="00AB61AC">
      <w:pPr>
        <w:pStyle w:val="af"/>
        <w:spacing w:after="0" w:line="360" w:lineRule="auto"/>
        <w:ind w:firstLine="709"/>
        <w:jc w:val="both"/>
      </w:pPr>
      <w:r>
        <w:rPr/>
        <w:t xml:space="preserve">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w:t>
      </w:r>
      <w:r>
        <w:rPr/>
        <w:t xml:space="preserve">Bunga, birinchidan, bozor stavkasidan past stavkadagi joylashtirishlarni dastlabki tan olishdan ko‘rilgan 283,7 mlrd so‘m zarar (shu jumladan “O‘zbektelekom” AJ ga joylashtirilgan mablag‘lar bo‘yicha 260,5 mlrd so‘m), ikkinchidan, kutilgan kredit zararlari zaxirasining 2023-yil yakunidagi 156,2 mlrd so‘mdan 2025-yil yakunida 513,1 mlrd so‘mgacha oshishi sabab bo‘lgan.</w:t>
      </w:r>
      <w:r>
        <w:rPr/>
        <w:t xml:space="preserve">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w:t>
      </w:r>
      <w:r>
        <w:rPr/>
        <w:t xml:space="preserve">boshqa banklardagi xorijiy valyutadagi vakillik hisobvaraqlaridan iborat, shundan 1 209,7 mlrd so‘mi mahalliy banklarda joylashgan.</w:t>
      </w:r>
      <w:r>
        <w:rPr/>
        <w:t xml:space="preserve"> Ular Bazel III talabiga muvofiq yuqori likvid aktivlar tarkibidan chiqarilganda </w:t>
      </w:r>
      <w:r>
        <w:rPr/>
        <w:t xml:space="preserve">koeffitsiyent 103,2 foizgacha, ya’ni minimal talab darajasigacha pasayadi. “Mikrokreditbank” ATB da bu holat yanada yaqqol namoyon bo‘ladi, ya’ni yuqori likvid aktivlarning 52,4 foizi (1 986,9 mlrd so‘m) boshqa banklardagi vakillik hisobvaraqlaridan iborat bo‘lib, ular chiqarilganda koeffitsiyent 231,9 foizdan 110,3 foizgacha pasayadi.</w:t>
      </w:r>
      <w:r>
        <w:rPr/>
        <w:lastRenderedPageBreak/>
      </w:r>
      <w:r>
        <w:rPr/>
        <w:t xml:space="preserve"> </w:t>
      </w:r>
      <w:r>
        <w:rPr/>
        <w:t xml:space="preserve">Sof barqaror moliyalashtirish me’yori esa “Aloqabank” ATB da milliy hisobot shakli bo‘yicha 103,0 foizni tashkil etadi, regulyativ kapital olinganda ham (subordinar qarz ikki marta hisoblanmagan holda) 103,5 foizdan oshmaydi, ya’ni bank barqaror moliyalashtirish bo‘yicha minimal talab chegarasida turadi.</w:t>
      </w:r>
      <w:r>
        <w:rPr>
          <w:rStyle w:val="aff8"/>
        </w:rPr>
        <w:footnoteReference w:id="371"/>
      </w:r>
      <w:r>
        <w:rPr/>
        <w:t xml:space="preserve"> Demak, uchinchi bank misolida ham milliy hisobot asosidagi baholash aktivlar sifati va daromadlilikni oshirib, likvidlik buferining sifatini esa haqiqiydan yuqori ko‘rsatadi, bu esa </w:t>
      </w:r>
      <w:r>
        <w:rPr/>
        <w:t xml:space="preserve">yuqorida ikki bank misoli</w:t>
      </w:r>
      <w:r>
        <w:rPr/>
        <w:t xml:space="preserve">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2"/>
      </w:r>
      <w:r>
        <w:t>, Markaziy bank tomonidan qabul qilingan “yo‘l xaritasi”da esa aktivlar tasnifi va zaxiralarni MHXS 9 ga moslashtirish ishlari belgilangan</w:t>
      </w:r>
      <w:r>
        <w:rPr>
          <w:rStyle w:val="aff8"/>
        </w:rPr>
        <w:footnoteReference w:id="373"/>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w:t>
      </w:r>
      <w:r>
        <w:rPr/>
        <w:t xml:space="preserve">uchala bankda ham 1,65–4,90</w:t>
      </w:r>
      <w:r>
        <w:t xml:space="preserve"> oralig‘ida bo‘lib, milliy muammoli kreditlar ko‘rsatkichi kredit riskini muntazam </w:t>
      </w:r>
      <w:r>
        <w:rPr/>
        <w:t xml:space="preserve">kamaytirib</w:t>
      </w:r>
      <w:r>
        <w:t xml:space="preserve"> ko‘rsatishini tasdiqlaydi. Tafovut aktivlar sifati blokida eng katta, kapital va daromadlilik bloklarida sezilarli, likvidlik blokida esa nisbatan kichik. Bu</w:t>
      </w:r>
      <w:r>
        <w:rPr/>
        <w:t xml:space="preserve">,</w:t>
      </w:r>
      <w:r>
        <w:t xml:space="preserve">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rPr/>
        <w:t xml:space="preserve">Shu bilan birga, a</w:t>
      </w:r>
      <w:r>
        <w:t xml:space="preserve">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w:t>
      </w:r>
      <w:r>
        <w:rPr/>
        <w:t xml:space="preserve">bu xulosa tasdiqlandi. Jumladan, besh yillik</w:t>
      </w:r>
      <w:r>
        <w:rPr/>
        <w:t xml:space="preserve">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 xml:space="preserve">Milliy hisobotdagi muammoli kreditlar ko‘rsatkichining kredit riskini </w:t>
      </w:r>
      <w:r>
        <w:rPr/>
        <w:t xml:space="preserve">kamaytirib</w:t>
      </w:r>
      <w:r>
        <w:t xml:space="preserve"> ko‘rsatish darajasini o‘lchash uchun yashirin kredit riski koeffitsiyenti, ya’ni MHXS 9 bo‘yicha 3-bosqich kreditlari ulushining milliy tasnifdagi muammoli kreditlar ulushiga </w:t>
      </w:r>
      <w:r>
        <w:rPr/>
        <w:t xml:space="preserve">nisbati,</w:t>
      </w:r>
      <w:r>
        <w:t xml:space="preserve"> taklif etildi. Koeffitsiyent “O‘zsanoatqurilishbank” ATB da 1,65–2,96, “Mikrokreditbank” ATB da </w:t>
      </w:r>
      <w:r>
        <w:rPr/>
        <w:t xml:space="preserve">2,77–3,28</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r>
      <w:r>
        <w:t xml:space="preserve">Milliy va xalqaro yondashuv o‘rtasidagi tafovut moliyaviy barqarorlik bloklari bo‘yicha </w:t>
      </w:r>
      <w:r>
        <w:rPr/>
        <w:t xml:space="preserve">bir tekis taqsimlanmagan. Xususan, u aktivlar</w:t>
      </w:r>
      <w:r>
        <w:t xml:space="preserve">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 xml:space="preserve">Umuman olganda, rasmiy ko‘rsatkichlar bo‘yicha qoniqarli manzara ortida xalqaro standartlar bo‘yicha aniqlanadigan sezilarli risklar mavjud. Bu </w:t>
      </w:r>
      <w:r>
        <w:rPr/>
        <w:t xml:space="preserve">holat </w:t>
      </w:r>
      <w:r>
        <w:t xml:space="preserve">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4"/>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5"/>
      </w:r>
      <w:r>
        <w:rPr>
          <w:rStyle w:val="aff8"/>
        </w:rPr>
        <w:footnoteReference w:id="376"/>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7"/>
      </w:r>
      <w:r>
        <w:t>.</w:t>
      </w:r>
    </w:p>
    <w:p w:rsidR="005603EC" w:rsidRDefault="00AB61AC">
      <w:pPr>
        <w:pStyle w:val="af"/>
        <w:spacing w:after="0" w:line="360" w:lineRule="auto"/>
        <w:ind w:firstLine="709"/>
        <w:jc w:val="both"/>
      </w:pPr>
      <w:r>
        <w:t xml:space="preserve">Metodikaga qo‘yiladigan talablarni aniqlash uchun ikkinchi bobda </w:t>
      </w:r>
      <w:r>
        <w:rPr/>
        <w:t xml:space="preserve">bank tizimi darajasida va tahlil qilingan uchta davlat banki misolida </w:t>
      </w:r>
      <w:r>
        <w:t xml:space="preserve">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Aniqlangan muammo</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Dalil (II bob)</w:t>
            </w:r>
          </w:p>
        </w:tc>
        <w:tc>
          <w:tcPr>
            <w:tcW w:w="328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Metodika elementi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turli yo‘nalishda signal beradi, yagona baho yo‘q</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2.2-§: kapital va likvidlik yuqori, aktivlar sifati zaif</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Bloklar baholarini vaznlab birlashtiruvchi integral indeks</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muammoli kreditlar ko‘rsatkichi kredit riskini kamsitadi</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tahlil qilingan banklarda </w:t>
            </w:r>
            <w:r>
              <w:rPr>
                <w:rFonts w:ascii="Times New Roman" w:hAnsi="Times New Roman" w:eastAsia="Times New Roman" w:cs="Times New Roman"/>
                <w:sz w:val="24"/>
                <w:szCs w:val="24"/>
              </w:rPr>
              <w:t xml:space="preserve">yashirin kredit riski koeffitsiyenti </w:t>
            </w:r>
            <w:r>
              <w:rPr>
                <w:rFonts w:ascii="Times New Roman" w:hAnsi="Times New Roman" w:eastAsia="Times New Roman" w:cs="Times New Roman"/>
                <w:sz w:val="24"/>
                <w:szCs w:val="24"/>
              </w:rPr>
              <w:t xml:space="preserve">1,65–4,90</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MHXS bo‘yicha kam, tafovut ortib bormoqda</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tahlil qilingan banklarda MHXS bo‘yicha xususiy kapital milliy hisobotdagidan 13,5 foizgacha kam, birinchi darajali asosiy kapital monandligi 1,4 foiz punktgacha past</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me’yorlari Bazel III dan soddalashtirilgan va ochiq e’lon qilinmaydi</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Bazel III bo‘yicha qayta hisoblashda yuqori likvid aktivlarning </w:t>
            </w:r>
            <w:r>
              <w:rPr>
                <w:rFonts w:ascii="Times New Roman" w:hAnsi="Times New Roman" w:eastAsia="Times New Roman" w:cs="Times New Roman"/>
                <w:sz w:val="24"/>
                <w:szCs w:val="24"/>
              </w:rPr>
              <w:t xml:space="preserve">27,3–52,4 foizi chiqariladi, NSFR metodika farqi 5,4 foiz punkt</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Chegaralar faqat “bajarildi – bajarilmadi” shaklida</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2.1-§: </w:t>
            </w:r>
            <w:r>
              <w:rPr>
                <w:rFonts w:ascii="Times New Roman" w:hAnsi="Times New Roman" w:eastAsia="Times New Roman" w:cs="Times New Roman"/>
                <w:sz w:val="24"/>
                <w:szCs w:val="24"/>
              </w:rPr>
              <w:t xml:space="preserve">erta ogohlantirish va tezkor tuzatuvchi choralar tizimi mavjud emas, chora normativ buzilgandan keyingina ko‘riladi</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Dollarlashuv yuqori, valyuta riski baholanmaydi</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2.2-§: xorijiy valyutadagi kreditlar ulushi 38–49%</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riskiga sezgirlik bloki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banklarida kapital davlat ko‘magiga bog‘liq</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 </w:t>
            </w:r>
            <w:r>
              <w:rPr>
                <w:rFonts w:ascii="Times New Roman" w:hAnsi="Times New Roman" w:eastAsia="Times New Roman" w:cs="Times New Roman"/>
                <w:sz w:val="24"/>
                <w:szCs w:val="24"/>
              </w:rPr>
              <w:t xml:space="preserve">tahlil qilingan banklarda kapital yetarliligi ko‘p hollarda davlat tomonidan qo‘shimcha kapital kiritilishi hisobiga saqlangan</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DEEAF6"/>
                          </a:solidFill>
                          <a:ln w="12700">
                            <a:solidFill>
                              <a:srgbClr val="1F4E79"/>
                            </a:solidFill>
                          </a:ln>
                        </wps:spPr>
                        <wps:txbx>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FBE5D6"/>
                          </a:solidFill>
                          <a:ln w="12700">
                            <a:solidFill>
                              <a:srgbClr val="A0400F"/>
                            </a:solidFill>
                          </a:ln>
                        </wps:spPr>
                        <wps:txbx>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E9E1F2"/>
                          </a:solidFill>
                          <a:ln w="12700">
                            <a:solidFill>
                              <a:srgbClr val="4B1F6F"/>
                            </a:solidFill>
                          </a:ln>
                        </wps:spPr>
                        <wps:txbx>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F8D9D9"/>
                          </a:solidFill>
                          <a:ln w="12700">
                            <a:solidFill>
                              <a:srgbClr val="8B0000"/>
                            </a:solidFill>
                          </a:ln>
                        </wps:spPr>
                        <wps:txbx>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DEEAF6" strokecolor="#1F4E79" strokeweight="1pt">
                  <v:textbox inset="1mm,.5mm,1mm,.5mm">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FBE5D6" strokecolor="#A0400F" strokeweight="1pt">
                  <v:textbox inset="1mm,.5mm,1mm,.5mm">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DDEBF7" strokecolor="#1A4F8F" strokeweight="1pt">
                  <v:textbox inset="1mm,.5mm,1mm,.5mm">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DDEBF7" strokecolor="#1A4F8F" strokeweight="1pt">
                  <v:textbox inset="1mm,.5mm,1mm,.5mm">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E9E1F2" strokecolor="#4B1F6F" strokeweight="1pt">
                  <v:textbox inset="1mm,.5mm,1mm,.5mm">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F8D9D9" strokecolor="#8B0000" strokeweight="1pt">
                  <v:textbox inset="1mm,.5mm,1mm,.5mm">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9"/>
      </w:r>
    </w:p>
    <w:p w:rsidR="005603EC" w:rsidRDefault="00AB61AC">
      <w:pPr>
        <w:pStyle w:val="af"/>
        <w:spacing w:after="0" w:line="360" w:lineRule="auto"/>
        <w:ind w:firstLine="709"/>
        <w:jc w:val="both"/>
      </w:pPr>
      <w:r>
        <w:t xml:space="preserve">Rasmdan ko‘rinib turibdiki, algoritm sakkiz bosqichdan iborat bo‘lib, uning o‘ziga xos jihati </w:t>
      </w:r>
      <w:r>
        <w:rPr/>
        <w:t xml:space="preserve">ikkinchi bosqichda namoyon bo‘ladi. Bunda agar bankning</w:t>
      </w:r>
      <w:r>
        <w:t xml:space="preserve">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w:t>
      </w:r>
      <w:r>
        <w:rPr/>
        <w:t xml:space="preserve">kamaytirib</w:t>
      </w:r>
      <w:r>
        <w:t xml:space="preserve">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80"/>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1"/>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600"/>
        <w:gridCol w:w="4092"/>
        <w:gridCol w:w="1450"/>
        <w:gridCol w:w="800"/>
        <w:gridCol w:w="800"/>
        <w:gridCol w:w="800"/>
        <w:gridCol w:w="80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6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w:t>
            </w:r>
          </w:p>
        </w:tc>
        <w:tc>
          <w:tcPr>
            <w:tcW w:w="409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 va ko‘rsatkich</w:t>
            </w:r>
          </w:p>
        </w:tc>
        <w:tc>
          <w:tcPr>
            <w:tcW w:w="145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Standart</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 ball</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 ball</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 ball</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 ball</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1.</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Kapital yetarliligi</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1.1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Birinchi darajali asosiy kapital monandligi,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4,5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10,5</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1.2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15,5</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1.3</w:t>
            </w:r>
          </w:p>
        </w:tc>
        <w:tc>
          <w:tcPr>
            <w:tcW w:w="409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 Bazel III</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8,0</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2.</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Aktivlar sifati</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2.1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MHXS 9, 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2.2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MHXS 9</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2.3</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Zaxira bilan qoplanmagan muammoli kreditlar / kapital,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0</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3.</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Likvidlik</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3.1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jami aktivlar,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3.2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mijozlar depozitlari,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80</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4.</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Daromadlilik</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4.1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Aktivlar rentabelligi (ROA),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4.2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Kapital rentabelligi (ROE),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15</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4.3</w:t>
            </w:r>
          </w:p>
        </w:tc>
        <w:tc>
          <w:tcPr>
            <w:tcW w:w="409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45</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5.</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lastRenderedPageBreak/>
              <w:t>Valyuta riskiga sezgirlik</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5.1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Xorijiy valyutadagi kreditlar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65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5.2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Xorijiy valyutadagi majburiyatlar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70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 xml:space="preserve">Jadvalda keltirilgan chegaralarni belgilashda “me’yoriy talab – ball chegarasi” tamoyili qo‘llandi. Bu tamoyil Rossiya Banki metodikasida ham </w:t>
      </w:r>
      <w:r>
        <w:rPr/>
        <w:t xml:space="preserve">asosiy hisoblanadi. Xususan, unda kapital</w:t>
      </w:r>
      <w:r>
        <w:t xml:space="preserve"> monandligi normativi bo‘yicha ball chegaralari aynan normativning minimal qiymati va undan yuqori bir necha darajalar sifatida belgilangan</w:t>
      </w:r>
      <w:r>
        <w:rPr>
          <w:rStyle w:val="aff8"/>
        </w:rPr>
        <w:footnoteReference w:id="383"/>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4"/>
      </w:r>
      <w:r>
        <w:t xml:space="preserve"> olindi, 4 ball chegarasi esa tizimli ahamiyatga ega bank uchun qo‘shimcha talab va kontrsiklik bufer bilan birga Bazel III bo‘yicha talab qilinishi mumkin bo‘lgan 10,5 foiz darajasida belgilandi</w:t>
      </w:r>
      <w:r>
        <w:rPr>
          <w:rStyle w:val="aff8"/>
        </w:rPr>
        <w:footnoteReference w:id="385"/>
      </w:r>
      <w:r>
        <w:rPr>
          <w:rStyle w:val="aff8"/>
        </w:rPr>
        <w:footnoteReference w:id="386"/>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r>
      <w:r>
        <w:t>nazorat amaliyotidagi 4 foiz</w:t>
      </w:r>
      <w:r>
        <w:rPr>
          <w:rStyle w:val="aff8"/>
        </w:rPr>
        <w:footnoteReference w:id="387"/>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8"/>
      </w:r>
      <w:r>
        <w:t>, 10 foiz esa O.I. Lavrushin tahriri ostidagi monografiyada salbiy vaziyat darakchisi sifatida ko‘rsatilgan qiymatga mos keladi</w:t>
      </w:r>
      <w:r>
        <w:rPr>
          <w:rStyle w:val="aff8"/>
        </w:rPr>
        <w:footnoteReference w:id="389"/>
      </w:r>
      <w:r>
        <w:t>. 2-bosqich kreditlari ulushi uchun milliy amaliyotda tayyor mezon yo‘qligi sababli chegaralar ikkinchi bobda aniqlangan qiymatlar oralig‘i asosida belgilandi.</w:t>
      </w:r>
      <w:r>
        <w:rPr/>
        <w:t xml:space="preserve"> Bu chegaralar </w:t>
      </w:r>
      <w:r>
        <w:rPr/>
        <w:t xml:space="preserve">tashqi ma’lumot bilan ham tekshirildi. Xususan, Yevropa</w:t>
      </w:r>
      <w:r>
        <w:rPr/>
        <w:t xml:space="preserve">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90"/>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1"/>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2"/>
      </w:r>
      <w:r>
        <w:rPr>
          <w:rStyle w:val="aff8"/>
        </w:rPr>
        <w:footnoteReference w:id="393"/>
      </w:r>
      <w:r>
        <w:t xml:space="preserve">. Agar indeksga faqat ayrim banklar uchun hisoblanadigan ko‘rsatkichlar kiritilsa, banklarni yagona metodika bo‘yicha solishtirish imkoniyati </w:t>
      </w:r>
      <w:r>
        <w:lastRenderedPageBreak/>
      </w:r>
      <w:r>
        <w:t xml:space="preserve">yo‘qoladi. Shu sababli bu ikki </w:t>
      </w:r>
      <w:r>
        <w:rPr/>
        <w:t xml:space="preserve">me’yor, 2.3-paragrafda ko‘rsatilganidek,</w:t>
      </w:r>
      <w:r>
        <w:t xml:space="preserve">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4"/>
      </w:r>
      <w:r>
        <w:rPr>
          <w:rStyle w:val="aff8"/>
        </w:rPr>
        <w:footnoteReference w:id="395"/>
      </w:r>
      <w:r>
        <w:t xml:space="preserve">. Kreditlarning depozitlarga nisbati uchun esa likvidlik nizomida </w:t>
      </w:r>
      <w:r>
        <w:rPr/>
        <w:t>undan oshishi muammo belgisi deb ko‘rsatilgan 80 foizlik daraja</w:t>
      </w:r>
      <w:r>
        <w:rPr>
          <w:rStyle w:val="aff8"/>
        </w:rPr>
        <w:footnoteReference w:id="396"/>
      </w:r>
      <w:r>
        <w:t xml:space="preserve"> va xalqaro amaliyotdagi kritik daraja – 100 foiz</w:t>
      </w:r>
      <w:r>
        <w:rPr>
          <w:rStyle w:val="aff8"/>
        </w:rPr>
        <w:footnoteReference w:id="397"/>
      </w:r>
      <w:r>
        <w:t xml:space="preserve"> asos qilib olindi. Daromadlilik blokida aktivlar rentabelligi chegaralari Rossiya Banki shkalasidan (0; 0,7; 1,4 foiz) olindi</w:t>
      </w:r>
      <w:r>
        <w:rPr>
          <w:rStyle w:val="aff8"/>
        </w:rPr>
        <w:footnoteReference w:id="398"/>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9"/>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400"/>
      </w:r>
      <w:r>
        <w:t>.</w:t>
      </w:r>
    </w:p>
    <w:p w:rsidR="005603EC" w:rsidRDefault="00AB61AC">
      <w:pPr>
        <w:pStyle w:val="af"/>
        <w:spacing w:after="0" w:line="360" w:lineRule="auto"/>
        <w:ind w:firstLine="709"/>
        <w:jc w:val="both"/>
      </w:pPr>
      <w:r>
        <w:rPr/>
        <w:t xml:space="preserve">Me’yoriy yoki xalqaro tayanch qiymat mavjud bo‘lmagan chegaralar esa ikki tamoyil asosida belgilandi: birinchidan, ular mavjud tayanch qiymatdan teng qadam bilan uzoqlashtirildi; ikkinchidan, shkalaning tahlil davridagi haqiqiy qiymatlarni qamrab olishi ikkinchi bob ma’lumotlari bilan tekshirildi. Xususan, kapitalning aktivlarga nisbati uchun 8 foizlik 4 ball chegarasi milliy leverage talabidan (6 foiz) 2 foiz punkt yuqori bo‘lib, 4 va 6 foiz o‘rtasidagi qadamni takrorlaydi. 3-bosqich kreditlari ulushining 15 foizlik 1 ball chegarasi 5 va 10 foizlik chegaralar qadamini davom ettiradi, 3 foizlik 4 ball chegarasi esa bank tizimida rasmiy muammoli kreditlar ulushining tahlil davridagi eng past darajasiga mos keladi. Zaxira bilan qoplanmagan muammoli kreditlarning kapitalga nisbati uchun 0 foiz muammoli kreditlar to‘liq zaxira bilan qoplangan holatni bildiradi, 10, 20 va 30 foizlik chegaralar esa teng qadamli bo‘lib, bank tizimida bu ko‘rsatkich 2021–2025-yillarda 5,7–13,1 foiz oralig‘ida bo‘lgani, “Mikrokreditbank” ATB da esa MHXS bo‘yicha 2025-yilda 29,1 foizga yetgani hisobga olindi. Yuqori likvid aktivlar ulushi uchun chegaralar Markaziy bankning 10 foizlik minimal talabidan 5 foiz punktlik qadam bilan belgilandi, bank tizimida bu ko‘rsatkich tahlil davrida 14,9–21,1 foiz oralig‘ida bo‘lgan. Kreditlarning depozitlarga nisbati uchun 150 va 200 foizlik chegaralar 100 foizdan keyingi 50 foiz </w:t>
      </w:r>
      <w:r>
        <w:rPr/>
        <w:t xml:space="preserve">punktlik qadamni ifodalaydi. Bunda 200 foizdan</w:t>
      </w:r>
      <w:r>
        <w:rPr/>
        <w:t xml:space="preserve"> yuqori qiymat kreditlarning yarmidan ko‘pi depozit bo‘lmagan manbalar hisobiga moliyalashtirilishini bildiradi, bunday holat “O‘zsanoatqurilishbank” va “Mikrokreditbank” ATBlarida kuzatilgan (206,5–414,0 foiz). Aktivlar rentabelligining 2 foizlik 4 ball chegarasi Rossiya Banki shkalasidagi qadamni taxminan davom ettiradi. Kapital rentabelligining 10 foizlik 3 ball chegarasi tahlil davridagi yillik inflyatsiya darajasiga (7,3–12,3 foiz) mos keladi</w:t>
      </w:r>
      <w:r>
        <w:rPr>
          <w:rStyle w:val="aff8"/>
        </w:rPr>
        <w:footnoteReference w:id="401"/>
      </w:r>
      <w:r>
        <w:rPr/>
        <w:t xml:space="preserve">, 15 foizlik 4 ball chegarasi esa real ijobiy rentabellikni bildiradi. Xarajatlarning daromadlarga nisbati uchun 100 foiz bank zararsizlik nuqtasida turgan holatni bildiradi, 80 va 45 foizlik chegaralar esa Rossiya Banki amaliyotidagi 60 foizlik chegaradan ikki tomonga qo‘yilgan oraliq qadamlardir. Valyuta riskiga sezgirlik bloki uchun me’yoriy chegara mavjud emas, shu sababli chegaralar 15 foiz punktlik teng qadam bilan belgilanib, bank tizimidagi qiymatlar bilan bog‘landi: xorijiy valyutadagi kreditlar ulushi 2021-yilda 49,2 foiz, 2025-yilda 38,4 foiz bo‘lgan, ya’ni 50 foizlik 2 ball chegarasi tahlil davri boshidagi, 35 foizlik 3 ball chegarasi esa tizimning hozirgi darajasiga yaqin, 20 foizdan past ulush esa past dollarlashuvni bildiradi. Xorijiy valyutadagi majburiyatlar bo‘yicha chegaralar kreditlarnikidan 5 foiz punkt yuqori belgilandi, chunki bu majburiyatlar nafaqat kreditlarni, balki xorijiy valyutadagi likvid aktivlarni ham moliyalashtiradi.</w:t>
      </w:r>
    </w:p>
    <w:p w:rsidR="005603EC" w:rsidRDefault="00AB61AC">
      <w:pPr>
        <w:pStyle w:val="af"/>
        <w:spacing w:after="0" w:line="360" w:lineRule="auto"/>
        <w:ind w:firstLine="709"/>
        <w:jc w:val="both"/>
      </w:pPr>
      <w:r>
        <w:lastRenderedPageBreak/>
      </w:r>
      <w: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w:t>
      </w:r>
      <w:r>
        <w:rPr/>
        <w:t xml:space="preserve">, uzluksiz shkalada esa mos ravishda 3,96 va 3,04 ball oladi</w:t>
      </w:r>
      <w:r>
        <w:t xml:space="preserve">, holbuki ularning barqarorligi sezilarli farq qiladi. </w:t>
      </w:r>
      <w:r>
        <w:rPr/>
        <w:t xml:space="preserve">Bunday shkalad</w:t>
      </w:r>
      <w:r>
        <w:t xml:space="preserve">a ball quyidagi formula bo‘yicha aniqlanadi:</w:t>
      </w:r>
    </w:p>
    <w:p w:rsidR="005603EC" w:rsidRDefault="00AB61AC">
      <w:pPr>
        <w:pStyle w:val="af"/>
        <w:spacing w:after="0" w:line="360" w:lineRule="auto"/>
        <w:ind w:firstLine="0"/>
        <w:jc w:val="center"/>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w:t>
      </w:r>
      <w:r>
        <w:br/>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w:t>
      </w:r>
      <w:r>
        <w:rPr/>
        <w:t xml:space="preserve">, 4</w:t>
      </w:r>
      <w:r>
        <w:t xml:space="preserve">).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306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2"/>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w:t>
      </w:r>
      <w:r>
        <w:rPr/>
        <w:t xml:space="preserve">dinamik tahlilda muhim, chunki pog‘onali</w:t>
      </w:r>
      <w:r>
        <w:t xml:space="preserve"> shkalada kapital monandligining asta-sekin pasayishi chegara kesib o‘tilgunga qadar umuman sezilmaydi, uzluksiz </w:t>
      </w:r>
      <w:r>
        <w:lastRenderedPageBreak/>
      </w:r>
      <w:r>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3"/>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w:t>
      </w:r>
      <w:r>
        <w:rPr/>
        <w:t xml:space="preserve">gan holda,</w:t>
      </w:r>
      <w:r>
        <w:t xml:space="preserve"> boshqa yo‘l yo‘qligini ta’kidlaydi</w:t>
      </w:r>
      <w:r>
        <w:rPr>
          <w:rStyle w:val="aff8"/>
        </w:rPr>
        <w:footnoteReference w:id="404"/>
      </w:r>
      <w:r>
        <w:t>. Rossiyadagi reyting metodikalarini tahlil qilgan mualliflar ham vaznlar ko‘pincha asoslanmagan ekspert yo‘li bilan belgilanishini qayd etgan</w:t>
      </w:r>
      <w:r>
        <w:rPr>
          <w:rStyle w:val="aff8"/>
        </w:rPr>
        <w:footnoteReference w:id="405"/>
      </w:r>
      <w:r>
        <w:t xml:space="preserve">. Shu sababli taklif etilayotgan vaznlar uch manba</w:t>
      </w:r>
      <w:r>
        <w:rPr/>
        <w:t xml:space="preserve"> – Bazel III va Xalqaro valyuta jamg‘armasi ko‘rsatkichlar tizimidagi bloklar ustuvorligi, ikkinchi bob natijalari hamda O‘zbekistonda CAMEL tizimi uchun T.M. Karaliyev va I.F. Sayfiddinov keltirgan vaznlar nisbati –</w:t>
      </w:r>
      <w:r>
        <w:t xml:space="preserve">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etilayotgan vazn</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Teng vaznlar</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CAMEL nisbati (O‘zbekiston)</w:t>
            </w:r>
          </w:p>
        </w:tc>
        <w:tc>
          <w:tcPr>
            <w:tcW w:w="374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Asoslash</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0,23</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0,37</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bobda eng zaif bo‘g‘in, milliy va MHXS tafovuti eng katta</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ning ikki me’yori, tashqi moliyalashtirishga tayanish</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Daromadlilik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 ichki manbadan to‘ldirish imkoniyati</w:t>
            </w:r>
            <w:r>
              <w:rPr>
                <w:rFonts w:ascii="Times New Roman" w:hAnsi="Times New Roman" w:eastAsia="Times New Roman" w:cs="Times New Roman"/>
                <w:sz w:val="24"/>
                <w:szCs w:val="24"/>
              </w:rPr>
              <w:t xml:space="preserve">; davlat banklarida davlat ko‘magi ta’sirida va ikki hisobotda keskin farq qiladi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riskiga sezgirlik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7"/>
      </w:r>
      <w:r>
        <w:t xml:space="preserve"> yaqin, biroq </w:t>
      </w:r>
      <w:r>
        <w:rPr/>
        <w:t xml:space="preserve">asosan </w:t>
      </w:r>
      <w:r>
        <w:rPr/>
        <w:t xml:space="preserve">uch jihatda</w:t>
      </w:r>
      <w:r>
        <w:t xml:space="preserve">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w:t>
      </w:r>
      <w:r>
        <w:rPr/>
        <w:t xml:space="preserve"> Uchinchidan, daromadlilik blokining vazni 0,25 dan 0,15 ga kamaytirildi, bo‘shagan vazn esa kapital (0,23 dan 0,25 ga) va likvidlik (0,15 dan 0,20 ga) bloklariga taqsimlandi. Buning uch sababi bor: birinchidan, davlat banklarida foyda davlat ko‘magi va imtiyozli resurslar hisobiga shakllanib, bankning o‘z barqarorligini to‘liq aks ettirmaydi (3.3-§); ikkinchidan, daromadlilik ko‘rsatkichlari ikki hisobot o‘rtasida eng ko‘p farq qiladigan ko‘rsatkichlardan biri</w:t>
      </w:r>
      <w:r>
        <w:rPr/>
        <w:t xml:space="preserve"> hisoblanadi</w:t>
      </w:r>
      <w:r>
        <w:rPr/>
        <w:t xml:space="preserve">: “Aloqabank” ATB da besh yillik sof foyda milliy hisobotda MHXS dagidan 1,8 barobar ko‘p, “Mikrokreditbank” ATB da esa zarar ikki hisobotda turli yillarda tan olingan (2.3-§); uchinchidan, foyda taqsimlanmagan foyda orqali kapital blokida ham qisman aks etadi. Likvidlik vaznining oshirilishi esa tadqiqot obyektlarida kreditlarning depozitlarga nisbati 200 foizdan yuqori bo‘lib, kreditlar asosan tashqi qarzlar hisobiga moliyalashtirilishi bilan izohlanadi.</w:t>
      </w:r>
      <w:r>
        <w:t xml:space="preserve">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8"/>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Sinf</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 qiymati</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Tavsifi</w:t>
            </w:r>
          </w:p>
        </w:tc>
        <w:tc>
          <w:tcPr>
            <w:tcW w:w="36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Tavsiya etiladigan choralar</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 barqaror</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 ≤ MBII ≤ 4,00</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Ko‘rsatkichlarning aksariyati 3–4 ball darajasida, alohida zaif ko‘rsatkichlar boshqa bloklar hisobiga qoplanadi</w:t>
            </w:r>
          </w:p>
        </w:tc>
        <w:tc>
          <w:tcPr>
            <w:tcW w:w="36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Odatdagi nazorat</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 qoniqarli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 MBII &lt; 3,25</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Ayrim bloklarda zaiflik, ko‘rsatkichlar asosan me’yoriy talablar darajasida (2–3 ball)</w:t>
            </w:r>
          </w:p>
        </w:tc>
        <w:tc>
          <w:tcPr>
            <w:tcW w:w="36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III – zaif</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 ≤ MBII &lt; 2,50</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Bir nechta blokda ko‘rsatkichlar me’yorga yaqin yoki undan past (1–2 ball)</w:t>
            </w:r>
          </w:p>
        </w:tc>
        <w:tc>
          <w:tcPr>
            <w:tcW w:w="36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IV – nobarqaror</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 MBII &lt; 1,75</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Ko‘rsatkichlarning ko‘pchiligi minimal xalqaro talablardan past (1 ball atrofida)</w:t>
            </w:r>
          </w:p>
        </w:tc>
        <w:tc>
          <w:tcPr>
            <w:tcW w:w="36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10"/>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 xml:space="preserve">Taklif etilayotgan metodikaning amaliy qo‘llanilishini tekshirish uchun u ikkinchi bobda tahlil qilingan </w:t>
      </w:r>
      <w:r>
        <w:rPr/>
        <w:t xml:space="preserve">uch bankning</w:t>
      </w:r>
      <w:r>
        <w:t xml:space="preserve"> 2025-yil yakunidagi ma’lumotlariga qo‘llandi. </w:t>
      </w:r>
      <w:r>
        <w:rPr/>
        <w:t xml:space="preserve">Hisob-kitob ikki variantda bajarildi: milliy hisobot va Markaziy bank metodikasi asosida (3.1.5-jadval) </w:t>
      </w:r>
      <w:r>
        <w:rPr/>
        <w:t xml:space="preserve">hamda MHXS hisobotlari asosida (3.1.6-jadval)</w:t>
      </w:r>
      <w:r>
        <w:rPr/>
        <w:t xml:space="preserve">.</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 xml:space="preserve">Uch bank bo‘yicha integral indeks ko‘rsatkichlari va ballari: milliy hisobot, 2025-yil yakuni</w:t>
      </w:r>
      <w:r>
        <w:rPr>
          <w:rStyle w:val="aff8"/>
        </w:rPr>
        <w:footnoteReference w:id="4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Ko‘rsatkich</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SQB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MKB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Aloqabank</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K1. CET1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10,21 (3,88)</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16,39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10,09 (3,83)</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K2. Regulyativ kapital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17,02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18,46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14,14 (3,45)</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K3. Kapital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18,7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12,2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A1. Muammoli kreditlar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4,4 (3,30)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A2. Substandart kreditlar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18,4 (2,66)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9,0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6,4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A3. Qoplanmagan muammoli kreditlar / kapital,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−8,1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 (2,97)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5,9 (3,41)</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L1. Yuqori likvid aktivlar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18,3 (3,66)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15,5 (3,09)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12,7 (2,54)</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L2. Kreditlar / depozitlar,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206,5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208,5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121,1 (2,58)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D1. ROA,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 (3,96)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0,6 (1,85)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0,9 (2,31)</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D2. ROE,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17,2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3,5 (1,69)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7,3 (2,45)</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D3. Xarajatlar / daromadlar,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36,5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65,5 (2,72)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82,2 (1,89)</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V1. Xorijiy valyutadagi kreditlar,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60,1 (1,33)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18,4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37,0 (2,87)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V2. Xorijiy valyutadagi majburiyatlar,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60,9 (1,61)</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31,4 (3,57)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31,6 (3,56)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Kapital yetarliligi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3,96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3,76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Aktivlar sifati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3,55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3,42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3,80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Likvidlik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2,05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2,56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Daromadlilik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3,99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2,22</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Valyuta riskiga sezgirlik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1,47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3,79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3,21</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MBII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3,27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3,13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3,248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Barqarorlik sinfi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“Aloqabank” ATB ning indeksi I sinf chegarasidan (3,25) 0,002 ball past bo‘lgani sababli uch xona aniqlikda keltirildi.</w:t>
      </w:r>
      <w:r>
        <w:rPr>
          <w:i/>
          <w:iCs/>
        </w:rPr>
        <w:lastRenderedPageBreak/>
      </w:r>
    </w:p>
    <w:p w:rsidR="005603EC" w:rsidRDefault="00AB61AC">
      <w:pPr>
        <w:pStyle w:val="af"/>
        <w:spacing w:after="0" w:line="360" w:lineRule="auto"/>
        <w:ind w:firstLine="709"/>
        <w:jc w:val="both"/>
      </w:pPr>
      <w:r>
        <w:rPr/>
        <w:t xml:space="preserve">3.1.5-jadval ma’lumotlaridan ko‘rinib turibdiki, m</w:t>
      </w:r>
      <w:r>
        <w:rPr/>
        <w:t xml:space="preserve">illiy hisobot ma’lumotlari bo‘yicha uchala bank yuqori baholanadi: “O‘zsanoatqurilishbank” ATB ning indeksi 3,27 ballni tashkil etib, I sinfga kiradi, “Aloqabank” ATB niki 3,248 ball bilan I sinf chegarasidan atigi 0,002 ball past, “Mikrokreditbank” ATB niki esa 3,13 ball bilan II sinfning yuqori qismida joylashadi. Uchala bankda ham kapital yetarliligi (3,76–4,00 ball) va aktivlar sifati (3,42–3,80 ball) bloklari yuqori baholangan, chunki rasmiy muammoli kreditlar ulushi 2,5–4,4 foizni tashkil etadi. Zaif bo‘g‘inlar esa banklarning faoliyat modeliga qarab farqlanadi: “O‘zsanoatqurilishbank” ATB da valyuta riskiga sezgirlik (1,47 ball, kreditlarning 60,1 foizi xorijiy valyutada) va likvidlik (2,33 ball), “Mikrokreditbank” ATB da likvidlik (2,05 ball) va daromadlilik (2,09 ball, kapital rentabelligi 3,5 foiz), “Aloqabank” ATB da esa daromadlilik (2,22 ball, xarajatlar daromadlarning 82,2 foizini tashkil etadi) va likvidlik (2,56 ball) bloklari. Demak, milliy hisobot asosida uchala bank barqaror yoki qoniqarli darajada ko‘rinadi, ularning zaifliklari esa asosan likvidlik, daromadlilik va valyuta riski bilan bog‘liq bo‘lib, aktivlar sifati muammo sifatida namoyon bo‘lmaydi. Integral indeks bunday turli profillarni yagona shkalada solishtirish imkonini beradi, bloklar ballari esa har bir bank uchun aniq nazorat yo‘nalishini ko‘rsatadi.</w:t>
      </w:r>
    </w:p>
    <w:p w:rsidR="005603EC" w:rsidRDefault="00AB61AC">
      <w:pPr>
        <w:pStyle w:val="af"/>
        <w:keepNext/>
        <w:spacing w:before="120" w:after="0" w:line="360" w:lineRule="auto"/>
        <w:jc w:val="right"/>
      </w:pPr>
      <w:r>
        <w:rPr>
          <w:i/>
        </w:rPr>
        <w:t xml:space="preserve">3.1.6-jadval</w:t>
      </w:r>
    </w:p>
    <w:p w:rsidR="005603EC" w:rsidRDefault="00AB61AC">
      <w:pPr>
        <w:pStyle w:val="af"/>
        <w:keepNext/>
        <w:spacing w:line="240" w:lineRule="auto"/>
        <w:jc w:val="center"/>
      </w:pPr>
      <w:r>
        <w:rPr>
          <w:b/>
          <w:bCs/>
        </w:rPr>
        <w:t xml:space="preserve">Uch bank bo‘yicha integral indeks ko‘rsatkichlari va ballari: MHXS hisobotlari, 2025-yil yakuni</w:t>
      </w:r>
      <w:r>
        <w:rPr>
          <w:rStyle w:val="aff8"/>
        </w:rPr>
        <w:footnoteReference w:id="4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Ko‘rsatkich</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SQB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MKB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Aloqabank</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K1. CET1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8,87 (3,35)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18,24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9,76 (3,70)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K2. Regulyativ kapital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15,32 (3,93)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19,96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13,11 (3,04)</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K3. Kapital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11,1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A1. 3-bosqich </w:t>
            </w:r>
            <w:r>
              <w:rPr>
                <w:rFonts w:ascii="Times New Roman" w:hAnsi="Times New Roman" w:eastAsia="Times New Roman" w:cs="Times New Roman"/>
                <w:sz w:val="24"/>
                <w:szCs w:val="24"/>
              </w:rPr>
              <w:t xml:space="preserve">kreditlari</w:t>
            </w:r>
            <w:r>
              <w:rPr>
                <w:rFonts w:ascii="Times New Roman" w:hAnsi="Times New Roman" w:eastAsia="Times New Roman" w:cs="Times New Roman"/>
                <w:sz w:val="24"/>
                <w:szCs w:val="24"/>
              </w:rPr>
              <w:t xml:space="preserve">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7,5 (2,50)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12,3 (1,53)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7,2 (2,56)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A2. 2-bosqich </w:t>
            </w:r>
            <w:r>
              <w:rPr>
                <w:rFonts w:ascii="Times New Roman" w:hAnsi="Times New Roman" w:eastAsia="Times New Roman" w:cs="Times New Roman"/>
                <w:sz w:val="24"/>
                <w:szCs w:val="24"/>
              </w:rPr>
              <w:t xml:space="preserve">kreditlari</w:t>
            </w:r>
            <w:r>
              <w:rPr>
                <w:rFonts w:ascii="Times New Roman" w:hAnsi="Times New Roman" w:eastAsia="Times New Roman" w:cs="Times New Roman"/>
                <w:sz w:val="24"/>
                <w:szCs w:val="24"/>
              </w:rPr>
              <w:t xml:space="preserve">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35,7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25,3 (1,97)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6,6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A3. Qoplanmagan muammoli kreditlar / kapital,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6,5 (3,35)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29,1 (1,09)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17,8 (2,22)</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L1. Yuqori likvid aktivlar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18,3 (3,66)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15,5 (3,09)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12,7 (2,54)</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L2. Kreditlar / depozitlar,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221,0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324,5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140,1 (2,20)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D1. ROA,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 (3,49)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0,2 (1,22)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−0,7 (1,00)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D2. ROE,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15,7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0,8 (1,16)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−5,9 (1,00)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D3. Xarajatlar / daromadlar,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41,5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87,6 (1,62)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89,0 (1,55)</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V1. Xorijiy valyutadagi kreditlar,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61,2 (1,25)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V2. Xorijiy valyutadagi majburiyatlar,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60,4 (1,64)</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22,4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31,4 (3,57)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Kapital yetarliligi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3,76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3,58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Aktivlar sifati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2,28</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1,53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2,93</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Likvidlik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2,05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2,37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Daromadlilik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3,83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1,18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Valyuta riskiga sezgirlik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1,45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3,57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MBII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2,81</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2,47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2,78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Barqarorlik sinfi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CET1 va regulyativ kapital monandligi 2.3-paragrafda Markaziy bank metodikasi bo‘yicha MHXS ma’lumotlari asosida qayta hisoblangan qiymatlarda olindi </w:t>
      </w:r>
      <w:r>
        <w:rPr>
          <w:i/>
          <w:iCs/>
        </w:rPr>
        <w:t xml:space="preserve">(</w:t>
      </w:r>
      <w:r>
        <w:rPr>
          <w:i/>
          <w:iCs/>
        </w:rPr>
        <w:t xml:space="preserve">2.3.2–2</w:t>
      </w:r>
      <w:r>
        <w:rPr>
          <w:i/>
          <w:iCs/>
        </w:rPr>
        <w:t xml:space="preserve">.3.5-jadvallar; “Mikrokreditbank” ATB ning regulyativ kapital monandligi – 19,96 foiz – xuddi shu usulda hisoblandi)</w:t>
      </w:r>
      <w:r>
        <w:rPr>
          <w:i/>
          <w:iCs/>
        </w:rPr>
        <w:t xml:space="preserve">, chunki banklar MHXS hisobotida oshkor qiladigan kapital koeffitsiyentlari milliy buxgalteriya hisobi ma’lumotlari asosida hisoblanadi. Yuqori likvid aktivlar MHXS hisobotlarida alohida oshkor qilinmagani sababli L1 ko‘rsatkichi ikkala variantda milliy balans asosida olindi. “Mikrokreditbank” va “Aloqabank” ATBlarining MHXS hisobotlarida xorijiy valyutadagi kreditlar ulushi oshkor qilinmagan, shu sababli ularda valyuta bloki bitta ko‘rsatkich bo‘yicha baholandi.</w:t>
      </w:r>
    </w:p>
    <w:p w:rsidR="005603EC" w:rsidRDefault="00AB61AC">
      <w:pPr>
        <w:pStyle w:val="af"/>
        <w:spacing w:after="0" w:line="360" w:lineRule="auto"/>
        <w:ind w:firstLine="709"/>
        <w:jc w:val="both"/>
      </w:pPr>
      <w:r>
        <w:rPr/>
        <w:t xml:space="preserve">3.1.6-jadval ma’lumotlariga ko‘ra, M</w:t>
      </w:r>
      <w:r>
        <w:rPr/>
        <w:t xml:space="preserve">HXS ma’lumotlari asosida esa uchala bankning indeksi pasayadi: “O‘zsanoatqurilishbank” ATB niki 2,81 ballga (II sinf), “Aloqabank” ATB niki 2,78 ballga (II sinf), “Mikrokreditbank” ATB niki 2,47 ballga (III sinf) tushadi. ΔMBII mos ravishda −0,46; −0,47 va −0,66 ballni tashkil etadi: “O‘zsanoatqurilishbank” va “Mikrokreditbank” ATBlari bir sinf pastga tushadi, “Aloqabank” ATB esa I sinf chegarasidan II sinfning quyi qismiga, 4.1-paragrafdagi qizil zona chegarasiga (2,75) yaqin darajaga tushadi. Indeks pasayishining asosiy manbai uchala bankda ham aktivlar sifati blokidir: uning bali “O‘zsanoatqurilishbank” ATB da 3,55 dan 2,28 ga, “Mikrokreditbank” ATB da 3,42 dan 1,53 ga, “Aloqabank” ATB da 3,80 dan 2,93 ga pasaygan, bu esa ΔMBII ning mos ravishda 83, 86 va 56 foizini tashkil etadi. Ikkinchi manba – daromadlilik bloki: u “Aloqabank” ATB da 2,22 dan 1,18 ballga pasayib, ΔMBII ning 33 foizini belgilaydi, chunki MHXS bo‘yicha bank 2025-yilda 193,9 mlrd so‘m zarar ko‘rgan, “Mikrokreditbank” ATB da esa 2,09 dan 1,33 ballga tushgan (ΔMBII ning 17 foizi). Kapital bloki “O‘zsanoatqurilishbank” va “Aloqabank” ATBlarida biroz pasaygan, “Mikrokreditbank” ATB da esa maksimal darajada qolgan. Shunday qilib, tizimli ahamiyatga molik bo‘lmagan uchinchi bank misolida ham milliy hisobot asosidagi baholash barqarorlikni oshirib ko‘rsatishi, ΔMBII esa asosan aktivlar sifati va daromadlilik bloklari hisobiga shakllanishi tasdiqlandi.</w:t>
      </w:r>
    </w:p>
    <w:p w:rsidR="005603EC" w:rsidRDefault="00AB61AC">
      <w:pPr>
        <w:pStyle w:val="af"/>
        <w:spacing w:after="0" w:line="360" w:lineRule="auto"/>
        <w:ind w:firstLine="709"/>
        <w:jc w:val="both"/>
      </w:pPr>
      <w:r>
        <w:rPr/>
        <w:t xml:space="preserve">2025-yilda aniqlangan tafovut bir yillik holat emasligini tekshirish uchun integral indeks uchala bank bo‘yicha 2021–2025-yillar uchun ham ikki variantda hisoblandi (3.1.3-rasm).</w:t>
      </w:r>
    </w:p>
    <w:p>
      <w:pPr>
        <w:pStyle w:val="af"/>
        <w:keepNext/>
        <w:spacing w:after="0" w:line="240" w:lineRule="auto"/>
        <w:jc w:val="center"/>
      </w:pPr>
      <w:r xmlns:a="http://schemas.openxmlformats.org/drawingml/2006/main" xmlns:c="http://schemas.openxmlformats.org/drawingml/2006/chart">
        <w:rPr>
          <w:noProof/>
        </w:rPr>
        <w:drawing>
          <wp:inline distT="0" distB="0" distL="0" distR="0">
            <wp:extent cx="5760000" cy="2880000"/>
            <wp:effectExtent l="0" t="0" r="0" b="0"/>
            <wp:docPr id="9601" name="3.1.3-rasm"/>
            <wp:cNvGraphicFramePr/>
            <a:graphic>
              <a:graphicData uri="http://schemas.openxmlformats.org/drawingml/2006/chart">
                <c:chart r:id="rId51"/>
              </a:graphicData>
            </a:graphic>
          </wp:inline>
        </w:drawing>
      </w:r>
    </w:p>
    <w:tbl>
      <w:tblPr>
        <w:tblStyle w:val="aff0"/>
        <w:tblW w:type="auto" w:w="0"/>
        <w:jc w:val="center"/>
        <w:tblLayout w:type="fixed"/>
        <w:tblLook w:firstColumn="1" w:firstRow="1" w:lastColumn="0" w:lastRow="0" w:noHBand="0" w:noVBand="1" w:val="04A0"/>
        <w:tblLayout w:type="fixed"/>
      </w:tblPr>
      <w:tblGrid>
        <w:gridCol w:w="3685"/>
        <w:gridCol w:w="1020"/>
        <w:gridCol w:w="1020"/>
        <w:gridCol w:w="1020"/>
        <w:gridCol w:w="1020"/>
        <w:gridCol w:w="1020"/>
      </w:tblGrid>
      <w:tr>
        <w:tc>
          <w:tcPr>
            <w:tcW w:type="dxa" w:w="3685"/>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va hisobot turi</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2A78D6"/>
                <w:sz w:val="24"/>
                <w:szCs w:val="24"/>
              </w:rPr>
              <w:t xml:space="preserve">━━ </w:t>
            </w:r>
            <w:r>
              <w:rPr>
                <w:rFonts w:ascii="Times New Roman" w:hAnsi="Times New Roman" w:eastAsia="Times New Roman" w:cs="Times New Roman"/>
                <w:b w:val="0"/>
                <w:sz w:val="24"/>
                <w:szCs w:val="24"/>
              </w:rPr>
              <w:t>“O‘zsanoatqurilishbank”: milliy hisobot</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3,14</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3,09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3,27</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2A78D6"/>
                <w:sz w:val="24"/>
                <w:szCs w:val="24"/>
              </w:rPr>
              <w:t xml:space="preserve">╍╍ </w:t>
            </w:r>
            <w:r>
              <w:rPr>
                <w:rFonts w:ascii="Times New Roman" w:hAnsi="Times New Roman" w:eastAsia="Times New Roman" w:cs="Times New Roman"/>
                <w:b w:val="0"/>
                <w:sz w:val="24"/>
                <w:szCs w:val="24"/>
              </w:rPr>
              <w:t>“O‘zsanoatqurilishbank”: MHXS</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EB6834"/>
                <w:sz w:val="24"/>
                <w:szCs w:val="24"/>
              </w:rPr>
              <w:t xml:space="preserve">━━ </w:t>
            </w:r>
            <w:r>
              <w:rPr>
                <w:rFonts w:ascii="Times New Roman" w:hAnsi="Times New Roman" w:eastAsia="Times New Roman" w:cs="Times New Roman"/>
                <w:b w:val="0"/>
                <w:sz w:val="24"/>
                <w:szCs w:val="24"/>
              </w:rPr>
              <w:t>“Mikrokreditbank”: milliy hisobot</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2,65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3,13</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EB6834"/>
                <w:sz w:val="24"/>
                <w:szCs w:val="24"/>
              </w:rPr>
              <w:t xml:space="preserve">╍╍ </w:t>
            </w:r>
            <w:r>
              <w:rPr>
                <w:rFonts w:ascii="Times New Roman" w:hAnsi="Times New Roman" w:eastAsia="Times New Roman" w:cs="Times New Roman"/>
                <w:b w:val="0"/>
                <w:sz w:val="24"/>
                <w:szCs w:val="24"/>
              </w:rPr>
              <w:t>“Mikrokreditbank”: MHXS</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2,18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2,31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2,47</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548235"/>
                <w:sz w:val="24"/>
                <w:szCs w:val="24"/>
              </w:rPr>
              <w:t xml:space="preserve">━━ </w:t>
            </w:r>
            <w:r>
              <w:rPr>
                <w:rFonts w:ascii="Times New Roman" w:hAnsi="Times New Roman" w:eastAsia="Times New Roman" w:cs="Times New Roman"/>
                <w:b w:val="0"/>
                <w:sz w:val="24"/>
                <w:szCs w:val="24"/>
              </w:rPr>
              <w:t>“Aloqabank”: milliy hisobot</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3,52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3,58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3,53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3,25</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548235"/>
                <w:sz w:val="24"/>
                <w:szCs w:val="24"/>
              </w:rPr>
              <w:t xml:space="preserve">╍╍ </w:t>
            </w:r>
            <w:r>
              <w:rPr>
                <w:rFonts w:ascii="Times New Roman" w:hAnsi="Times New Roman" w:eastAsia="Times New Roman" w:cs="Times New Roman"/>
                <w:b w:val="0"/>
                <w:sz w:val="24"/>
                <w:szCs w:val="24"/>
              </w:rPr>
              <w:t>“Aloqabank”: MHXS</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3,01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3,10</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2,78</w:t>
            </w:r>
          </w:p>
        </w:tc>
      </w:tr>
    </w:tbl>
    <w:p w:rsidR="005603EC" w:rsidRDefault="00AB61AC">
      <w:pPr>
        <w:pStyle w:val="af"/>
        <w:spacing w:after="0" w:line="360" w:lineRule="auto"/>
        <w:ind w:firstLine="709"/>
        <w:jc w:val="both"/>
      </w:pPr>
      <w:r>
        <w:rPr>
          <w:i/>
          <w:iCs/>
        </w:rPr>
        <w:t xml:space="preserve">Izoh: uzluksiz chiziq – milliy hisobot, uzuq chiziq – MHXS; qizil chiziqlar – I va II sinflar (3,25 ball) hamda II va III sinflar (2,50 ball) chegaralari.</w:t>
      </w:r>
    </w:p>
    <w:p w:rsidR="005603EC" w:rsidRDefault="00AB61AC">
      <w:pPr>
        <w:pStyle w:val="af"/>
        <w:spacing w:before="120" w:after="240" w:line="240" w:lineRule="auto"/>
        <w:jc w:val="center"/>
      </w:pPr>
      <w:r>
        <w:rPr>
          <w:b/>
        </w:rPr>
        <w:t xml:space="preserve">3.1.3-rasm. Uch bankda moliyaviy barqarorlikning integral indeksi: milliy hisobot va MHXS asosida, 2021–2025-yillar, ball</w:t>
      </w:r>
      <w:r>
        <w:rPr>
          <w:rStyle w:val="aff8"/>
        </w:rPr>
        <w:footnoteReference w:id="413"/>
      </w:r>
    </w:p>
    <w:p w:rsidR="005603EC" w:rsidRDefault="00AB61AC">
      <w:pPr>
        <w:pStyle w:val="af"/>
        <w:spacing w:after="0" w:line="360" w:lineRule="auto"/>
        <w:ind w:firstLine="709"/>
        <w:jc w:val="both"/>
      </w:pPr>
      <w:r>
        <w:rPr/>
        <w:t xml:space="preserve">Rasmdan ko‘rinib turibdiki, MHXS ma’lumotlari asosidagi indeks uchala bankda ham tahlil davrining barcha yillarida milliy hisobot asosidagi indeksdan past bo‘lgan, farq 0,23–0,66 ballni tashkil etgan. “Mikrokreditbank” ATB milliy hisobot bo‘yicha butun davr mobaynida II sinfda, MHXS bo‘yicha esa III sinfda joylashgan. “Aloqabank” ATB milliy hisobot bo‘yicha 2021–2024-yillarda I sinfda bo‘lsa, MHXS bo‘yicha barcha yillarda II sinfda qolgan. “O‘zsanoatqurilishbank” ATB ham MHXS bo‘yicha butun davr mobaynida II sinfda bo‘lgan, milliy hisobot bo‘yicha esa 2021 va 2025-yillarda I sinfga ko‘tarilgan. Demak, ikki variant o‘rtasidagi tafovut tasodifiy emas, balki muntazam xususiyatga ega bo‘lib, u 2.3-paragrafda aniqlangan yashirin kredit riskining integral indeksdagi aksidir.</w:t>
      </w:r>
    </w:p>
    <w:p w:rsidR="005603EC" w:rsidRDefault="00AB61AC">
      <w:pPr>
        <w:pStyle w:val="af"/>
        <w:spacing w:after="0" w:line="360" w:lineRule="auto"/>
        <w:ind w:firstLine="709"/>
        <w:jc w:val="both"/>
      </w:pPr>
      <w:r>
        <w:t xml:space="preserve">Metodika natijalarining ishonchliligini tekshirish uchun indeks uch xil vaznlar tizimi bo‘yicha qayta hisoblandi: taklif etilayotgan vaznlar, teng vaznlar va O‘zbekistonda CAMEL tizimi uchun keltirilgan nisbat </w:t>
      </w:r>
      <w:r>
        <w:rPr/>
        <w:t xml:space="preserve">(3.1.4-rasm)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 xml:space="preserve">3.1.4</w:t>
      </w:r>
      <w:r>
        <w:rPr>
          <w:b/>
        </w:rPr>
        <w:t xml:space="preserve">-rasm</w:t>
      </w:r>
      <w:r>
        <w:rPr>
          <w:b/>
        </w:rPr>
        <w:t xml:space="preserve">. Moliyaviy barqarorlikning integral indeksi qiymatlarining vaznlar tizimiga sezgirligi, 2025-yil</w:t>
      </w:r>
      <w:r>
        <w:rPr>
          <w:rStyle w:val="aff8"/>
        </w:rPr>
        <w:footnoteReference w:id="414"/>
      </w:r>
    </w:p>
    <w:p w:rsidR="005603EC" w:rsidRDefault="00AB61AC">
      <w:pPr>
        <w:pStyle w:val="af"/>
        <w:spacing w:after="0" w:line="360" w:lineRule="auto"/>
        <w:ind w:firstLine="709"/>
        <w:jc w:val="both"/>
      </w:pPr>
      <w:r>
        <w:rPr/>
        <w:t xml:space="preserve">Rasm ma’lumotlari muhim xulosaga olib keladi. MHXS asosidagi indeks bo‘yicha banklarning tartibi uchala vaznlar tizimida ham o‘zgarmaydi: “O‘zsanoatqurilishbank” ATB birinchi, “Aloqabank” ATB ikkinchi, “Mikrokreditbank” ATB esa uchinchi o‘rinda bo‘lib, u taklif etilgan va CAMEL vaznlarida III sinfda, teng vaznlarda II sinfning quyi chegarasida (2,58) bo‘ladi. “Aloqabank” ATB ning indeksi CAMEL vaznlarida eng ko‘p pasayadi (2,56), chunki bu tizimda daromadlilik blokining vazni yuqori (0,25), bank esa MHXS bo‘yicha zarar ko‘rgan. Milliy hisobot asosidagi indeksda esa </w:t>
      </w:r>
      <w:r>
        <w:rPr/>
        <w:t xml:space="preserve">banklar tartibi vaznlarga bog‘liq. Xususan, taklif etilgan</w:t>
      </w:r>
      <w:r>
        <w:rPr/>
        <w:t xml:space="preserve"> va CAMEL vaznlarida “O‘zsanoatqurilishbank” ATB birinchi o‘rinda bo‘lsa, teng vaznlarda u “Aloqabank” (3,11) va “Mikrokreditbank” (3,07) ATBlaridan keyin oxirgi o‘ringa (3,06) tushadi. </w:t>
      </w:r>
      <w:r>
        <w:t xml:space="preserve">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 xml:space="preserve">Taklif etilayotgan metodikaning mavjud yondashuvlardan farqini aniqlash uchun u xalqaro va xorijiy amaliyotda keng qo‘llanadigan metodikalar bilan solishtirildi (</w:t>
      </w:r>
      <w:r>
        <w:rPr/>
        <w:t xml:space="preserve">3.1.7-jadval</w:t>
      </w:r>
      <w:r>
        <w:t xml:space="preserve">).</w:t>
      </w:r>
    </w:p>
    <w:p w:rsidR="005603EC" w:rsidRDefault="00AB61AC">
      <w:pPr>
        <w:pStyle w:val="af"/>
        <w:keepNext/>
        <w:spacing w:before="120" w:after="0" w:line="360" w:lineRule="auto"/>
        <w:jc w:val="right"/>
      </w:pPr>
      <w:r>
        <w:rPr>
          <w:i/>
        </w:rPr>
        <w:lastRenderedPageBreak/>
      </w:r>
      <w:r>
        <w:rPr>
          <w:i/>
        </w:rPr>
        <w:t xml:space="preserve">3.1.7-jadval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Taqqoslash mezoni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CAMELS (AQSh)</w:t>
            </w:r>
          </w:p>
        </w:tc>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Rossiya Banki metodikasi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XVJ barqarorlik ko‘rsatkichlari</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etilayotgan MBII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Natija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ballik kompozit reyting</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Bloklar bo‘yicha ball, guruhlarga ajratish</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to‘plami, yagona baho yo‘q</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1–4 oraliqdagi uzluksiz indeks va 4 sinf</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Ochiqlik</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Nazorat siri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Metodika ochiq, natija yopiq</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Metodika va ma’lumotlar ochiq</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Xalqaro standartlarga bog‘liqlik</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Qisman</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normativlarga bog‘langan</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Bazel III ga yaqin ta’riflar (XVJ qo‘llanmasi, 2019)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MHXS 9, XVJ</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Nazoratchi bahosi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tasnif</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90 kunlik mezon (amalda milliy ta’rif)</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MHXS 9 bosqichlari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Hisobot standarti farqi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Hisobga olinmaydi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Hisobga olinmaydi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Hisobga olinmaydi</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ΔMBII va tuzatish koeffitsiyentlari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Ball shkalasi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Pog‘onali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Pog‘onali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Uzluksiz (chiziqli interpolyatsiya)</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Vaznlar</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Qat’iy belgilanmagan, nazoratchi mulohazasi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Har bir ko‘rsatkichga 1–3 vazn</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Qo‘llanmaydi</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Bloklar vaznlari 0,25/0,30/0,20/0,15/0,10, empirik tekshirilgan (3.2-§)</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Bozor riski doirasida</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blok yo‘q</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Sof ochiq pozitsiya</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blok</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Boshqaruv sifati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 komponenti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Boshqaruv sifati va shaffoflik guruhlari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Yo‘q</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Yo‘q (ochiq ma’lumotlarda baholanmaydi)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Nazorat choralari bilan bog‘liqlik</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Bevosita</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Bevosita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Sinflar va erta ogohlantirish zonalari bo‘yicha</w:t>
            </w:r>
            <w:r>
              <w:rPr>
                <w:rFonts w:ascii="Times New Roman" w:hAnsi="Times New Roman" w:eastAsia="Times New Roman" w:cs="Times New Roman"/>
                <w:sz w:val="24"/>
                <w:szCs w:val="24"/>
              </w:rPr>
              <w:t xml:space="preserve"> choralar</w:t>
            </w:r>
          </w:p>
        </w:tc>
      </w:tr>
    </w:tbl>
    <w:p w:rsidR="005603EC" w:rsidRDefault="00AB61AC">
      <w:pPr>
        <w:pStyle w:val="af"/>
        <w:spacing w:after="0" w:line="360" w:lineRule="auto"/>
        <w:ind w:firstLine="709"/>
        <w:jc w:val="both"/>
      </w:pPr>
      <w: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w:t>
      </w:r>
      <w:r>
        <w:rPr/>
        <w:t xml:space="preserve">chegaraviy qiymatlarning bir qismi teng qadam tamoyili bo‘yicha belgilangan, vaznlar esa CAMEL nisbati asosida moslashtirilgan</w:t>
      </w:r>
      <w:r>
        <w:t xml:space="preserve">,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r>
      <w:r>
        <w:rPr/>
        <w:t>milliy balansdan olinadi</w:t>
      </w:r>
      <w:r>
        <w:t xml:space="preserve">. </w:t>
      </w:r>
      <w:r>
        <w:rPr/>
        <w:t xml:space="preserve">Bu cheklovlar 3.2-paragrafda vaznlar va sinflar chegaralarini empirik tekshirish hamda to‘rtinchi bobda indeksning bashorat kuchini baholash orqali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w:t>
      </w:r>
      <w:r>
        <w:rPr/>
        <w:t xml:space="preserve">Metodikani uch bankka qo‘llash MHXS ma’lumotlari asosida uchala bankning indeksi milliy hisobotdagiga nisbatan 0,46–0,66 ballga pasayishini, ulardan ikkitasi bir sinf pastga tushishini, ΔMBII ning 56–86 foizi</w:t>
      </w:r>
      <w:r>
        <w:t xml:space="preserve"> esa aktivlar sifati blokiga to‘g‘ri kelishini ko‘rsatdi. Sezgirlik tahlili esa MHXS asosidagi indeks vaznlar tanloviga kamroq bog‘liq ekanini tasdiqladi. </w:t>
      </w:r>
      <w:r>
        <w:rPr/>
        <w:t xml:space="preserve">Metodikaning empirik tekshiruv talab qiladigan elementlari</w:t>
      </w:r>
      <w:r>
        <w:t xml:space="preserve">, ya’ni bloklar vaznlari va barqarorlik sinflari </w:t>
      </w:r>
      <w:r>
        <w:rPr/>
        <w:t xml:space="preserve">chegaralari,</w:t>
      </w:r>
      <w:r>
        <w:t xml:space="preserve">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 xml:space="preserve">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w:t>
      </w:r>
      <w:r>
        <w:rPr/>
        <w:t xml:space="preserve">ikkinchi bob tahlili asosida CAMEL nisbatini moslashtirish yo‘li bilan belgilandi</w:t>
      </w:r>
      <w:r>
        <w:t xml:space="preserve">: kapital yetarliligi – 0,25, aktivlar sifati – 0,30, likvidlik – 0,20, daromadlilik – 0,15, valyuta riskiga sezgirlik – 0,10. Bu yondashuv bank nazorati amaliyotida keng tarqalgan bo‘lsa-da, uning asosiy kamchiligi </w:t>
      </w:r>
      <w:r>
        <w:rPr/>
        <w:t xml:space="preserve">subyekt</w:t>
      </w:r>
      <w:r>
        <w:t xml:space="preserve">ivlikdir. Iqtisodiy hamkorlik va taraqqiyot tashkiloti </w:t>
      </w:r>
      <w:r>
        <w:rPr/>
        <w:t xml:space="preserve">hamda</w:t>
      </w:r>
      <w:r>
        <w:t xml:space="preserve">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6"/>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7"/>
      </w:r>
      <w:r>
        <w:t>. Moliyaviy stress indekslarini qurishda ham M. Illing va Y. Liu turli vaznlash usullarini solishtirib, eng yaxshi usulni indeksning haqiqiy stress davrlarini aniqlash qobiliyati bo‘yicha tanlagan</w:t>
      </w:r>
      <w:r>
        <w:rPr>
          <w:rStyle w:val="aff8"/>
        </w:rPr>
        <w:footnoteReference w:id="418"/>
      </w:r>
      <w:r>
        <w:t>. A.M. Karminskiy esa reyting modellarida vaznlar ekspert yo‘li bilan belgilansa ham, ular albatta statistik tekshiruvdan o‘tkazilishi lozimligini ta’kidlaydi</w:t>
      </w:r>
      <w:r>
        <w:rPr>
          <w:rStyle w:val="aff8"/>
        </w:rPr>
        <w:footnoteReference w:id="419"/>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2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Usul</w:t>
            </w:r>
          </w:p>
        </w:tc>
        <w:tc>
          <w:tcPr>
            <w:tcW w:w="30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Vazn nimani aks ettiradi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Qo‘llangan ma’lumotlar</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Entropiya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 Shannon</w:t>
            </w:r>
            <w:r>
              <w:rPr>
                <w:rFonts w:ascii="Times New Roman" w:hAnsi="Times New Roman" w:eastAsia="Times New Roman" w:cs="Times New Roman"/>
                <w:sz w:val="24"/>
                <w:szCs w:val="24"/>
              </w:rPr>
              <w:t xml:space="preserve"> entropiyasi asosida har bir ko‘rsatkich</w:t>
            </w:r>
            <w:r>
              <w:rPr>
                <w:rFonts w:ascii="Times New Roman" w:hAnsi="Times New Roman" w:eastAsia="Times New Roman" w:cs="Times New Roman"/>
                <w:sz w:val="24"/>
                <w:szCs w:val="24"/>
              </w:rPr>
              <w:t xml:space="preserve"> ballarining 25 ta bank-yil kuzatuvi</w:t>
            </w:r>
            <w:r>
              <w:rPr>
                <w:rFonts w:ascii="Times New Roman" w:hAnsi="Times New Roman" w:eastAsia="Times New Roman" w:cs="Times New Roman"/>
                <w:sz w:val="24"/>
                <w:szCs w:val="24"/>
              </w:rPr>
              <w:t xml:space="preserve"> o‘rtasidagi tarqoqligi </w:t>
            </w:r>
            <w:r>
              <w:rPr>
                <w:rFonts w:ascii="Times New Roman" w:hAnsi="Times New Roman" w:eastAsia="Times New Roman" w:cs="Times New Roman"/>
                <w:sz w:val="24"/>
                <w:szCs w:val="24"/>
              </w:rPr>
              <w:t xml:space="preserve">o‘lchanadi; ko‘rsatkichlar vaznlari bloklar bo‘yicha jamlanadi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Banklarni bir-biridan qanchalik farqlashi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bank, 2021–2025-yillar, 13 ko‘rsatkich (MHXS)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Variatsiya koeffitsiyenti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Ko‘rsatkich ballarining standart </w:t>
            </w:r>
            <w:r>
              <w:rPr>
                <w:rFonts w:ascii="Times New Roman" w:hAnsi="Times New Roman" w:eastAsia="Times New Roman" w:cs="Times New Roman"/>
                <w:sz w:val="24"/>
                <w:szCs w:val="24"/>
              </w:rPr>
              <w:t xml:space="preserve">chetlanishining</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o‘rtacha qiymatga nisbati; ko‘rsatkichlar vaznlari bloklar bo‘yicha jamlanadi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 qiymatlarining nisbiy o‘zgaruvchanligi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bank, 2021–2025-yillar, 13 ko‘rsatkich (MHXS)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Bosh komponentlar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Bloklar ballarining korrelyatsiya tuzilmasi asosida </w:t>
            </w:r>
            <w:r>
              <w:rPr>
                <w:rFonts w:ascii="Times New Roman" w:hAnsi="Times New Roman" w:eastAsia="Times New Roman" w:cs="Times New Roman"/>
                <w:sz w:val="24"/>
                <w:szCs w:val="24"/>
              </w:rPr>
              <w:t xml:space="preserve">umumiy omillar ajratiladi; blok vazni o‘z qiymati birdan katta komponentlar (Kayzer mezoni) yuklamalari kvadratlarining izohlangan dispersiya ulushi bilan tortilgan yig‘indisi sifatida aniqlanadi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Blokning umumiy barqarorlik omiliga hissasi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bank, 2021–2025-yillar, 5 blok (MHXS)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Logit (bashorat)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hodisasi ehtimoli bloklar ballariga regressiya qilinadi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Blokning muammolarni oldindan aniqlashdagi hissasi</w:t>
            </w:r>
            <w:r>
              <w:rPr>
                <w:rFonts w:ascii="Times New Roman" w:hAnsi="Times New Roman" w:eastAsia="Times New Roman" w:cs="Times New Roman"/>
                <w:sz w:val="24"/>
                <w:szCs w:val="24"/>
              </w:rPr>
              <w:t xml:space="preserve"> (koeffitsiyentlar modulining ulushi; kutilganiga teskari ishorali koeffitsiyentga ega </w:t>
            </w:r>
            <w:r>
              <w:rPr>
                <w:rFonts w:ascii="Times New Roman" w:hAnsi="Times New Roman" w:eastAsia="Times New Roman" w:cs="Times New Roman"/>
                <w:sz w:val="24"/>
                <w:szCs w:val="24"/>
              </w:rPr>
              <w:t xml:space="preserve">blok vazni – 0; kapital va valyuta bloklari uchun tayanch vaznlar saqlanadi)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 bank, 2021–2024-yillar choraklik ma’lumotlari</w:t>
            </w:r>
            <w:r>
              <w:rPr>
                <w:rFonts w:ascii="Times New Roman" w:hAnsi="Times New Roman" w:eastAsia="Times New Roman" w:cs="Times New Roman"/>
                <w:sz w:val="24"/>
                <w:szCs w:val="24"/>
              </w:rPr>
              <w:t xml:space="preserve"> (308 kuzatuv), 8 ko‘rsatkichli panel indeksining 3 bloki (aktivlar sifati, likvidlik, daromadlilik)</w:t>
            </w:r>
            <w:r>
              <w:rPr>
                <w:rFonts w:ascii="Times New Roman" w:hAnsi="Times New Roman" w:eastAsia="Times New Roman" w:cs="Times New Roman"/>
                <w:sz w:val="24"/>
                <w:szCs w:val="24"/>
              </w:rPr>
              <w:t xml:space="preserve">,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21"/>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r>
      <w:r>
        <w:t>yil hisobotidagi qayta hisoblangan qiyosiy ma’lumotlardan olindi, bu hisob siyosati o‘zgarishi va xatolarni tuzatish natijasidagi qayta hisoblashlarni hisobga olish imkonini beradi</w:t>
      </w:r>
      <w:r>
        <w:rPr>
          <w:rStyle w:val="aff8"/>
        </w:rPr>
        <w:footnoteReference w:id="422"/>
      </w:r>
      <w:r>
        <w:rPr>
          <w:rStyle w:val="aff8"/>
        </w:rPr>
        <w:footnoteReference w:id="423"/>
      </w:r>
      <w:r>
        <w:rPr>
          <w:rStyle w:val="aff8"/>
        </w:rPr>
        <w:footnoteReference w:id="424"/>
      </w:r>
      <w:r>
        <w:rPr>
          <w:rStyle w:val="aff8"/>
        </w:rPr>
        <w:footnoteReference w:id="425"/>
      </w:r>
      <w:r>
        <w:rPr>
          <w:rStyle w:val="aff8"/>
        </w:rPr>
        <w:footnoteReference w:id="426"/>
      </w:r>
      <w:r>
        <w:t>. Yuqori likvid aktivlar ulushi esa “SNS” reyting agentligi bazasidan olindi</w:t>
      </w:r>
      <w:r>
        <w:rPr>
          <w:rStyle w:val="aff8"/>
        </w:rPr>
        <w:footnoteReference w:id="427"/>
      </w:r>
      <w:r>
        <w:t>. Logit usuli uchun 3.3-paragrafda shakllantirilgan 25 ta bank paneli qo‘llandi</w:t>
      </w:r>
      <w:r>
        <w:rPr/>
        <w:t xml:space="preserve"> (panelning tarkibi 3.3-paragrafda, muammo hodisasining ta’rifi esa 4.1-paragrafda batafsil yoritiladi</w:t>
      </w:r>
      <w:r>
        <w:rPr/>
        <w:t xml:space="preserve">). Bu panelda kapital monandligi koeffitsiyentlari, MHXS 9 bo‘yicha kreditlar bosqichlari va valyuta tarkibi bank kesimida e’lon qilinmagani sababli indeks 13 ta ko‘rsatkichning barcha banklar uchun mavjud bo‘lgan sakkiztasi asosida hisoblanadi. Ikki indeksni farqlash uchun bundan keyin 13 ko‘rsatkichli to‘liq indeks MBII-13, 8 ko‘rsatkichli panel indeksi esa MBII-8 deb belgilanadi. MBII-8 da kapital bloki</w:t>
      </w:r>
      <w:r>
        <w:rPr>
          <w:rStyle w:val="aff8"/>
        </w:rPr>
        <w:footnoteReference w:id="428"/>
      </w:r>
      <w:r>
        <w:t xml:space="preserve"> barcha banklarda bir xil ball olgani va valyuta riski bo‘yicha ma’lumotlar mavjud bo‘lmagani sababli bu ikki blok uchun </w:t>
      </w:r>
      <w:r>
        <w:rPr/>
        <w:t xml:space="preserve">tayanch vaznlar</w:t>
      </w:r>
      <w:r>
        <w:t xml:space="preserve">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 xml:space="preserve">Integral indeks bloklarining </w:t>
      </w:r>
      <w:r>
        <w:rPr>
          <w:b/>
          <w:bCs/>
        </w:rPr>
        <w:t xml:space="preserve">tayanch va empirik vaznlari</w:t>
      </w:r>
      <w:r>
        <w:rPr>
          <w:rStyle w:val="aff8"/>
        </w:rPr>
        <w:footnoteReference w:id="4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Tayanch vaznlar</w:t>
            </w:r>
            <w:r>
              <w:rPr>
                <w:rFonts w:ascii="Times New Roman" w:hAnsi="Times New Roman" w:eastAsia="Times New Roman" w:cs="Times New Roman"/>
                <w:b/>
                <w:sz w:val="24"/>
                <w:szCs w:val="24"/>
              </w:rPr>
              <w:t xml:space="preserve"> (3.1-§)</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Entropiya usuli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Variatsiya koeffitsiyenti usuli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Bosh komponentlar usuli</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Logit usuli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Empirik usullar o‘rtachasi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Likvidlik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0,38</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riskiga sezgirlik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0,18</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r>
    </w:tbl>
    <w:p w:rsidR="005603EC" w:rsidRDefault="00AB61AC">
      <w:pPr>
        <w:pStyle w:val="af"/>
        <w:spacing w:line="240" w:lineRule="auto"/>
        <w:jc w:val="both"/>
      </w:pPr>
      <w:r>
        <w:rPr>
          <w:sz w:val="24"/>
        </w:rPr>
        <w:t xml:space="preserve">Izoh: * – logit usulida baholanmagan, </w:t>
      </w:r>
      <w:r>
        <w:rPr>
          <w:sz w:val="24"/>
        </w:rPr>
        <w:t xml:space="preserve">tayanch vazn</w:t>
      </w:r>
      <w:r>
        <w:rPr>
          <w:sz w:val="24"/>
        </w:rPr>
        <w:t xml:space="preserve">i saqlangan.</w:t>
      </w:r>
      <w:r>
        <w:rPr>
          <w:sz w:val="24"/>
        </w:rPr>
        <w:t xml:space="preserve"> Logit usulida likvidlik blokining koeffitsiyenti kutilganiga teskari ishorali va statistik ahamiyatsiz (p = 0,79) bo‘lgani sababli uning vazni nolga teng olindi.</w:t>
      </w:r>
      <w:r>
        <w:rPr>
          <w:sz w:val="24"/>
        </w:rPr>
        <w:t xml:space="preserve">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 xml:space="preserve">barcha empirik usullar aktivlar sifati blokiga </w:t>
      </w:r>
      <w:r>
        <w:rPr/>
        <w:t xml:space="preserve">tayanch vazn</w:t>
      </w:r>
      <w:r>
        <w:rPr/>
        <w:t xml:space="preserve">iga </w:t>
      </w:r>
      <w:r>
        <w:rPr/>
        <w:t xml:space="preserve">yaqin yoki undan yuqori vazn bergan. Xususan, entropiya</w:t>
      </w:r>
      <w:r>
        <w:t xml:space="preserve">, variatsiya koeffitsiyenti va bosh komponentlar usullarida u 0,27–0,32 ni tashkil etib, </w:t>
      </w:r>
      <w:r>
        <w:rPr/>
        <w:t xml:space="preserve">tayanch vazn</w:t>
      </w:r>
      <w:r>
        <w:t xml:space="preserve">iga (0,30) deyarli teng, logit usulida esa 0,57 gacha oshgan. </w:t>
      </w:r>
      <w:r>
        <w:rPr/>
        <w:t xml:space="preserve">Demak, aktivlar sifati blokining </w:t>
      </w:r>
      <w:r>
        <w:rPr/>
        <w:t xml:space="preserve">tayanch vazn</w:t>
      </w:r>
      <w:r>
        <w:rPr/>
        <w:t xml:space="preserve">i (0,30) empirik baholar oralig‘ida (0,27–0,57) joylashadi va uchta tarqoqlik usulining o‘rtachasiga </w:t>
      </w:r>
      <w:r>
        <w:rPr/>
        <w:t xml:space="preserve">(0,30)</w:t>
      </w:r>
      <w:r>
        <w:rPr/>
        <w:t xml:space="preserve"> deyarli teng. Biroq tarqoqlikka asoslangan usullarda eng yuqori vazn daromadlilik blokiga (0,30–0,46) berilgan, ya’ni ularda aktivlar sifati bloki ikkinchi o‘rinda turadi</w:t>
      </w:r>
      <w:r>
        <w:rPr/>
        <w:t xml:space="preserve">. Uning yetakchiligi esa</w:t>
      </w:r>
      <w:r>
        <w:rPr/>
        <w:t xml:space="preserve">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w:t>
      </w:r>
      <w:r>
        <w:rPr/>
        <w:t xml:space="preserve">tayanch vazn</w:t>
      </w:r>
      <w:r>
        <w:t xml:space="preserve">idan ancha past (0,02–0,14), chunki tahlil qilingan banklarda kapital ko‘rsatkichlari me’yordan yuqori va bir-biriga yaqin bo‘lib, ular banklarni farqlamaydi. </w:t>
      </w:r>
      <w:r>
        <w:rPr/>
        <w:t xml:space="preserve">Likvidlik va daromadlilik bloklarida ham sezilarli farq kuzatiladi:</w:t>
      </w:r>
      <w:r>
        <w:t xml:space="preserve"> empirik usullar likvidlik blokiga </w:t>
      </w:r>
      <w:r>
        <w:rPr/>
        <w:t xml:space="preserve">tayanch vazn</w:t>
      </w:r>
      <w:r>
        <w:t xml:space="preserve">idan ancha past (0,00–0,16), daromadlilik blokiga esa ancha yuqori (0,08–0,46) vazn beradi. Ko‘rsatkichlar darajasida entropiya usuli eng yuqori vaznlarni ROE (0,207), ROA (0,193), 3-bosqich kreditlari ulushi (0,129) va qoplanmagan muammoli kreditlarning kapitalga nisbatiga (0,125) bergan.</w:t>
      </w:r>
    </w:p>
    <w:p w:rsidR="005603EC" w:rsidRDefault="00AB61AC">
      <w:pPr>
        <w:pStyle w:val="af"/>
        <w:spacing w:after="0" w:line="360" w:lineRule="auto"/>
        <w:ind w:firstLine="709"/>
        <w:jc w:val="both"/>
      </w:pPr>
      <w:r>
        <w:rPr/>
        <w:t xml:space="preserve">Jadval ma’lumotlaridan</w:t>
      </w:r>
      <w:r>
        <w:t xml:space="preserve"> ko‘rinib turibdiki, usullar o‘rtasidagi farq asosan </w:t>
      </w:r>
      <w:r>
        <w:rPr/>
        <w:t xml:space="preserve">kapital, </w:t>
      </w:r>
      <w:r>
        <w:t xml:space="preserve">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30"/>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r>
      <w:r>
        <w:t xml:space="preserve">Vaznlar tanlovi indeks natijalariga qanchalik ta’sir qilishini aniqlash uchun beshta bankning integral indeksi har bir usul vaznlari bo‘yicha </w:t>
      </w:r>
      <w:r>
        <w:rPr/>
        <w:t xml:space="preserve">qayta hisoblandi (3.2.3-jadval). Bunda “Aloqabank” ATB tanlanmadan tashqari tekshiruv uchun qo‘shildi, jadvalning quyi qatorlarida esa har bir usul bo‘yicha 2021–2025-yillardagi 25 ta kuzatuvdan sinfi tayanch vaznlardagi bilan mos kelganlari soni, banklar tartibining korrelyatsiyasi va muammo hodisalarini bashorat qilish kuchi keltirilgan. Sinflarning mos kelishi vaznlarga eng sezgir ko‘rsatkich hisoblanadi, chunki tarqoqlikka asoslangan usullar sinf chegarasiga yaqin banklarning bahosini ko‘proq o‘zgartiradi.</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 xml:space="preserve">Tanlangan banklarning</w:t>
      </w:r>
      <w:r>
        <w:rPr>
          <w:b/>
          <w:bCs/>
        </w:rPr>
        <w:t xml:space="preserve"> integral indeksi turli usullar vaznlari bo‘yicha, 2025-yil</w:t>
      </w:r>
      <w:r>
        <w:rPr>
          <w:rStyle w:val="aff8"/>
        </w:rPr>
        <w:footnoteReference w:id="43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Bank / ko‘rsatkich</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Tayanch vaznlar</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Entropiya usuli</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Variatsiya koeffitsiyenti usuli</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Bosh komponentlar usuli</w:t>
            </w:r>
          </w:p>
        </w:tc>
        <w:tc>
          <w:tcPr>
            <w:tcW w:w="112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Logit usuli</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Empirik usullar o‘rtachasi</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“Aloqabank” ATB (tanlanmadan tashqari)</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2,78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2,41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2,49</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3,01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2,38</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Sinfi </w:t>
            </w:r>
            <w:r>
              <w:rPr>
                <w:rFonts w:ascii="Times New Roman" w:hAnsi="Times New Roman" w:eastAsia="Times New Roman" w:cs="Times New Roman"/>
                <w:sz w:val="24"/>
                <w:szCs w:val="24"/>
              </w:rPr>
              <w:t xml:space="preserve">tayanch vaznlar</w:t>
            </w:r>
            <w:r>
              <w:rPr>
                <w:rFonts w:ascii="Times New Roman" w:hAnsi="Times New Roman" w:eastAsia="Times New Roman" w:cs="Times New Roman"/>
                <w:sz w:val="24"/>
                <w:szCs w:val="24"/>
              </w:rPr>
              <w:t xml:space="preserve">dagi bilan mos kuzatuvlar (25 tadan, 2021–2025-yillar)</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Tayanch vaznlar</w:t>
            </w:r>
            <w:r>
              <w:rPr>
                <w:rFonts w:ascii="Times New Roman" w:hAnsi="Times New Roman" w:eastAsia="Times New Roman" w:cs="Times New Roman"/>
                <w:sz w:val="24"/>
                <w:szCs w:val="24"/>
              </w:rPr>
              <w:t xml:space="preserve">dagi bilan tartib bo‘yicha korrelyatsiya (Spirmen)</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0,96</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0,98</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0,97</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hodisalarini bashorat qilish kuchi (AUC, 25 bank paneli)</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0,864</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0,875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0,878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0,865</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0,907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0,871</w:t>
            </w:r>
          </w:p>
        </w:tc>
      </w:tr>
    </w:tbl>
    <w:p w:rsidR="005603EC" w:rsidRDefault="00AB61AC">
      <w:pPr>
        <w:pStyle w:val="af"/>
        <w:spacing w:line="240" w:lineRule="auto"/>
        <w:jc w:val="both"/>
      </w:pPr>
      <w:r>
        <w:rPr>
          <w:sz w:val="24"/>
        </w:rPr>
        <w:t xml:space="preserve">Izoh: “Aloqabank” ATB empirik vaznlarni baholashda qatnashmagan va tanlanmadan tashqari tekshiruv uchun keltirilgan; jadvalning quyi uch qatoridagi ko‘rsatkichlar beshta bank bo‘yicha hisoblangan.</w:t>
      </w:r>
    </w:p>
    <w:p w:rsidR="005603EC" w:rsidRDefault="00AB61AC">
      <w:pPr>
        <w:pStyle w:val="af"/>
        <w:spacing w:after="0" w:line="360" w:lineRule="auto"/>
        <w:ind w:firstLine="709"/>
        <w:jc w:val="both"/>
      </w:pPr>
      <w:r>
        <w:rPr/>
        <w:t xml:space="preserve">Jadvaldan ko‘rinib</w:t>
      </w:r>
      <w:r>
        <w:t xml:space="preserve">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r>
      <w:r>
        <w:t xml:space="preserve">ya’ni qoniqarli barqarorlik darajasida joylashadi. </w:t>
      </w:r>
      <w:r>
        <w:rPr/>
        <w:t xml:space="preserve">Tayanch vaznlar</w:t>
      </w:r>
      <w:r>
        <w:t xml:space="preserve"> asosidagi va empirik vaznlar asosidagi indekslar o‘rtasidagi tartib bo‘yicha </w:t>
      </w:r>
      <w:r>
        <w:rPr/>
        <w:t>korrelyatsiya koeffitsiyenti 0,95–0,98 ni</w:t>
      </w:r>
      <w:r>
        <w:t xml:space="preserve"> tashkil etadi.</w:t>
      </w:r>
      <w:r>
        <w:t xml:space="preserve"> Sinflar bo‘yicha farqlar asosan sinflar chegarasiga yaqin bo‘lgan banklarda yuzaga keladi</w:t>
      </w:r>
      <w:r>
        <w:rPr/>
        <w:t xml:space="preserve">. Masalan, “Mikrokreditbank”</w:t>
      </w:r>
      <w:r>
        <w:t xml:space="preserve"> ATB entropiya usulida 1,92 ball bilan III sinfda qoladi, ammo uning ichida quyiroqqa tushadi.</w:t>
      </w:r>
      <w:r>
        <w:rPr/>
        <w:t xml:space="preserve"> Tanlanmadan tashqari “Aloqabank” ATB da </w:t>
      </w:r>
      <w:r>
        <w:rPr/>
        <w:t xml:space="preserve">esa manzara boshqacha. Jumladan, tayanch vaznlarda</w:t>
      </w:r>
      <w:r>
        <w:rPr/>
        <w:t xml:space="preserve"> bank II sinfda (2,78 ball) bo‘lsa, tarqoqlikka asoslangan uch usul vaznlarida III sinfga (2,23–2,49 ball) tushadi. Buning sababi shundaki, bu usullar daromadlilik blokiga yuqori vazn beradi, bank esa 2025-yilda MHXS bo‘yicha zarar ko‘rgan. Bu holat empirik vaznlar ular baholangan tanlanmaning xususiyatlariga bog‘liqligini amalda tasdiqlaydi.</w:t>
      </w:r>
      <w:r>
        <w:t xml:space="preserve"> Muammo hodisalarini bashorat qilish kuchi bo‘yicha empirik vaznlar </w:t>
      </w:r>
      <w:r>
        <w:rPr/>
        <w:t xml:space="preserve">tayanch vaznlar</w:t>
      </w:r>
      <w:r>
        <w:t xml:space="preserve">dan biroz ustun (</w:t>
      </w:r>
      <w:r>
        <w:rPr/>
        <w:t xml:space="preserve">AUC 0,865–0,907, tayanch vaznlarda – 0,864)</w:t>
      </w:r>
      <w:r>
        <w:t xml:space="preserve">, biroq farq katta emas, </w:t>
      </w:r>
      <w:r>
        <w:rPr/>
        <w:t xml:space="preserve">tayanch vaznlar</w:t>
      </w:r>
      <w:r>
        <w:t xml:space="preserve">ning bashorat kuchi esa bosh komponentlar usuli bilan </w:t>
      </w:r>
      <w:r>
        <w:rPr/>
        <w:t xml:space="preserve">deyarli </w:t>
      </w:r>
      <w:r>
        <w:t xml:space="preserve">bir xil.</w:t>
      </w:r>
      <w:r>
        <w:rPr/>
        <w:t xml:space="preserve"> Faqat empirik usullar asosidagi o‘rtacha vaznlar bilan indeksning AUC qiymati 0,871 ni tashkil etib, </w:t>
      </w:r>
      <w:r>
        <w:rPr/>
        <w:t xml:space="preserve">tayanch vaznlar</w:t>
      </w:r>
      <w:r>
        <w:rPr/>
        <w:t xml:space="preserve">dagidan (0,864) atigi 0,007 ga yuqori, ya’ni vaznlarni empirik usulda almashtirish bashorat kuchini sezilarli oshirmaydi.</w:t>
      </w:r>
      <w:r>
        <w:rPr/>
        <w:t xml:space="preserve"> Logit usulining nisbatan yuqori AUC qiymati (0,907) esa qisman uning vaznlari aynan shu panel ma’lumotlari va muammo hodisalari asosida baholangani bilan izohlanadi, shu sababli bu ustunlik tanlanmadan tashqari tekshiruvni talab qiladi.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2"/>
      </w:r>
      <w:r>
        <w:rPr/>
        <w:t xml:space="preserve">. Bunda bloklar vaznlari Dirixle</w:t>
      </w:r>
      <w:r>
        <w:t xml:space="preserve"> taqsimotidan 4000 marta tasodifiy tanlanib, har safar beshta bankning 2021–2025-yillar uchun indeksi va sinfi qayta hisoblandi. Tahlil ikki variantda amalga oshirildi: vaznlar </w:t>
      </w:r>
      <w:r>
        <w:rPr/>
        <w:t xml:space="preserve">tayanch vaznlar</w:t>
      </w:r>
      <w:r>
        <w:t xml:space="preserve"> atrofida tanlangan holatda</w:t>
      </w:r>
      <w:r>
        <w:rPr/>
        <w:t xml:space="preserve"> (Dirixle taqsimotining parametri α = 20·w, bu yerda w – blokning tayanch vazni)</w:t>
      </w:r>
      <w:r>
        <w:t xml:space="preserve"> va vaznlar to‘liq tasodifiy, ya’ni hech qanday dastlabki farazsiz tanlangan holatda </w:t>
      </w:r>
      <w:r>
        <w:rPr/>
        <w:t xml:space="preserve">(3.2.1-rasm)</w:t>
      </w:r>
      <w:r>
        <w:t xml:space="preserve">.</w:t>
      </w:r>
    </w:p>
    <w:p w:rsidR="005603EC" w:rsidRDefault="00AB61AC">
      <w:pPr>
        <w:pStyle w:val="af"/>
        <w:spacing w:after="0" w:line="360" w:lineRule="auto"/>
        <w:ind w:firstLine="709"/>
        <w:jc w:val="both"/>
      </w:pPr>
      <w:r>
        <w:rPr/>
        <w:t xml:space="preserve">3.2.1-rasmdan </w:t>
      </w:r>
      <w:r>
        <w:t xml:space="preserve">ko‘rinib turibdiki, vaznlar </w:t>
      </w:r>
      <w:r>
        <w:rPr/>
        <w:t xml:space="preserve">tayanch vaznlar</w:t>
      </w:r>
      <w:r>
        <w:t xml:space="preserve"> atrofida o‘zgarganda banklarning barqarorlik sinfi o‘rtacha 78,9 foiz holatda saqlanadi, “O‘zsanoatqurilishbank” ATB da esa bu ko‘rsatkich </w:t>
      </w:r>
      <w:r>
        <w:rPr/>
        <w:t>91,7 foizga</w:t>
      </w:r>
      <w:r>
        <w:t xml:space="preserve"> yetadi. Banklar tartibining </w:t>
      </w:r>
      <w:r>
        <w:rPr/>
        <w:t xml:space="preserve">tayanch vaznlar</w:t>
      </w:r>
      <w:r>
        <w:t xml:space="preserve">dagi tartib bilan mosligi </w:t>
      </w:r>
      <w:r>
        <w:rPr/>
        <w:t xml:space="preserve">bu holatda juda yuqori. Xususan, tartib</w:t>
      </w:r>
      <w:r>
        <w:t xml:space="preserve">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w:t>
      </w:r>
      <w:r>
        <w:rPr/>
        <w:t xml:space="preserve">mumkinligini anglatmaydi, chunki vaznlar</w:t>
      </w:r>
      <w:r>
        <w:t xml:space="preserve"> to‘liq tasodifiy olinganda banklarning deyarli yarmi boshqa sinfga o‘tadi. U faqat oqilona </w:t>
      </w:r>
      <w:r>
        <w:lastRenderedPageBreak/>
      </w:r>
      <w:r>
        <w:t xml:space="preserve">asoslangan vaznlar doirasida, ya’ni aktivlar sifati bloki yetakchi bo‘lgan holatda banklarning nisbiy holati barqaror ekanini ko‘rsatadi. </w:t>
      </w:r>
      <w:r>
        <w:rPr/>
        <w:t xml:space="preserve">Yuqoridagi tahlil natijalari uchta amaliy xulos</w:t>
      </w:r>
      <w:r>
        <w:t xml:space="preserve">aga olib keladi. Birinchidan, nazorat organi qaysi banklarga kuchaytirilgan e’tibor qaratish kerakligini aniqlashda </w:t>
      </w:r>
      <w:r>
        <w:rPr/>
        <w:t xml:space="preserve">tayanch vaznlar</w:t>
      </w:r>
      <w:r>
        <w:t xml:space="preserve">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w:t>
      </w:r>
      <w:r>
        <w:rPr/>
        <w:t xml:space="preserve"> Tahlilda bunday holat, masalan, “Biznesni rivojlantirish banki” ATB ning 2021-yildagi ko‘rsatkichida kuzatilgan: vaznlar tayanch vaznlar atrofida o‘zgarganda uning sinfi atigi 51,2 foiz holatda saqlanadi, vaznlar to‘liq tasodifiy olinganda esa eng sezgir kuzatuv “Xalq banki” ATB ning 2024-yildagi ko‘rsatkichi bo‘lib, uning sinfi 39,4 foiz holatda saqlanadi.</w:t>
      </w:r>
      <w:r>
        <w:t xml:space="preserve">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rPr/>
        <w:t xml:space="preserve">Vaznlardan tashqari, i</w:t>
      </w:r>
      <w:r>
        <w:t xml:space="preserve">ntegral indeksning ikkinchi metodik elementi – barqarorlik sinflari chegaralari, ya’ni 3,25; 2,5 va 1,75 ball</w:t>
      </w:r>
      <w:r>
        <w:rPr/>
        <w:t xml:space="preserve"> hisoblanadi</w:t>
      </w:r>
      <w:r>
        <w:t xml:space="preserve">. </w:t>
      </w:r>
      <w:r>
        <w:rPr/>
        <w:t xml:space="preserve">Ular 3.1-paragrafda 1–4 ballik shkalani teng to‘rt oraliqqa bo‘lish yo‘li bilan oldindan belgilangan edi.</w:t>
      </w:r>
      <w:r>
        <w:t xml:space="preserve"> Ularni empirik tekshirish uchun 25 ta bank panelida</w:t>
      </w:r>
      <w:r>
        <w:rPr/>
        <w:t xml:space="preserve"> MBII-8 bo‘yicha</w:t>
      </w:r>
      <w:r>
        <w:t xml:space="preserve">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line="240" w:lineRule="auto"/>
        <w:jc w:val="both"/>
      </w:pPr>
      <w:r>
        <w:rPr>
          <w:sz w:val="24"/>
        </w:rPr>
        <w:t xml:space="preserve">Izoh: SQB – “O‘zsanoatqurilishbank” ATB, MKB – “Mikrokreditbank” ATB, BRB – “Biznesni rivojlantirish banki” ATB.</w:t>
      </w:r>
    </w:p>
    <w:p w:rsidR="005603EC" w:rsidRDefault="00AB61AC">
      <w:pPr>
        <w:pStyle w:val="af"/>
        <w:spacing w:before="120" w:after="240" w:line="240" w:lineRule="auto"/>
        <w:jc w:val="center"/>
      </w:pPr>
      <w:r>
        <w:rPr>
          <w:b/>
        </w:rPr>
        <w:t xml:space="preserve">3.2.1-rasm</w:t>
      </w:r>
      <w:r>
        <w:rPr>
          <w:b/>
        </w:rPr>
        <w:t xml:space="preserve">. Monte-Karlo tahlilida banklar barqarorlik sinfining saqlanish ulushi, foizda</w:t>
      </w:r>
      <w:r>
        <w:rPr>
          <w:rStyle w:val="aff8"/>
        </w:rPr>
        <w:footnoteReference w:id="433"/>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 xml:space="preserve">Integral indeks sinflari bo‘yicha muammo hodisalarining yuz berish chastotasi, </w:t>
      </w:r>
      <w:r>
        <w:rPr>
          <w:b/>
          <w:bCs/>
        </w:rPr>
        <w:t xml:space="preserve">2021–2024-yillar kuzatuvlari</w:t>
      </w:r>
      <w:r>
        <w:rPr>
          <w:rStyle w:val="aff8"/>
        </w:rPr>
        <w:footnoteReference w:id="4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Barqarorlik sinfi</w:t>
            </w:r>
          </w:p>
        </w:tc>
        <w:tc>
          <w:tcPr>
            <w:tcW w:w="14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Integral indeks, ball</w:t>
            </w:r>
          </w:p>
        </w:tc>
        <w:tc>
          <w:tcPr>
            <w:tcW w:w="128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Kuzatuvlar soni</w:t>
            </w:r>
          </w:p>
        </w:tc>
        <w:tc>
          <w:tcPr>
            <w:tcW w:w="217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Keyingi to‘rt chorakda muammo hodisasi yuz bergan kuzatuvlar</w:t>
            </w:r>
          </w:p>
        </w:tc>
        <w:tc>
          <w:tcPr>
            <w:tcW w:w="14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Ulushi, %</w:t>
            </w:r>
          </w:p>
        </w:tc>
        <w:tc>
          <w:tcPr>
            <w:tcW w:w="14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95 % ishonch oralig‘i (Wilson), %</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 barqaror</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 ≤ MBII</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0,8–5,0</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II – qoniqarli</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 MBII &lt; 3,25</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98</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7,9–21,4</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III – zaif</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 ≤ MBII &lt; 2,50</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90,0</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59,6–98,2</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IV – nobarqaror</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MBII &lt; 1,75</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bl>
    <w:p w:rsidR="005603EC" w:rsidRDefault="00AB61AC">
      <w:pPr>
        <w:pStyle w:val="af"/>
        <w:spacing w:line="240" w:lineRule="auto"/>
        <w:jc w:val="both"/>
      </w:pPr>
      <w:r>
        <w:rPr>
          <w:sz w:val="24"/>
        </w:rPr>
        <w:t xml:space="preserve">Izoh: 25 ta bank paneli, milliy hisobot asosidagi 8 ko‘rsatkichli choraklik indeks</w:t>
      </w:r>
      <w:r>
        <w:rPr>
          <w:sz w:val="24"/>
        </w:rPr>
        <w:t xml:space="preserve"> (MBII-8)</w:t>
      </w:r>
      <w:r>
        <w:rPr>
          <w:sz w:val="24"/>
        </w:rPr>
        <w:t xml:space="preserve">; muammo hodisalari har bir kuzatuvdan keyingi to‘rt chorak, ya’ni 2025-yil oxirigacha bo‘lgan davrda kuzatilgan. 2025-yil kuzatuvlari keyingi to‘rt chorak ma’lumotlari to‘liq bo‘lmagani sababli kiritilmagan.</w:t>
      </w:r>
    </w:p>
    <w:p w:rsidR="005603EC" w:rsidRDefault="00AB61AC">
      <w:pPr>
        <w:pStyle w:val="af"/>
        <w:spacing w:after="0" w:line="360" w:lineRule="auto"/>
        <w:ind w:firstLine="709"/>
        <w:jc w:val="both"/>
      </w:pPr>
      <w:r>
        <w:t xml:space="preserve">Jadvaldan ko‘rinib turibdiki, </w:t>
      </w:r>
      <w:r>
        <w:rPr/>
        <w:t xml:space="preserve">sinflar chegaralari tahlil davri </w:t>
      </w:r>
      <w:r>
        <w:rPr/>
        <w:t xml:space="preserve">ma’lumotlarida aniq farqlanadi. Xususan, I sinfdagi</w:t>
      </w:r>
      <w:r>
        <w:t xml:space="preserve"> banklarda keyingi bir yil ichida muammo yuz berish ehtimoli 2,0 foizni, II sinfda 13,3 foizni, III sinfda esa 90,0 foizni tashkil etgan.</w:t>
      </w:r>
      <w:r>
        <w:rPr/>
        <w:t xml:space="preserve"> Bu ulushlarning 95 foizlik Wilson ishonch oraliqlari</w:t>
      </w:r>
      <w:r>
        <w:rPr>
          <w:rStyle w:val="aff8"/>
        </w:rPr>
        <w:footnoteReference w:id="435"/>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w:t>
      </w:r>
      <w:r>
        <w:rPr/>
        <w:t xml:space="preserve">tasdig‘ini</w:t>
      </w:r>
      <w:r>
        <w:rPr/>
        <w:t xml:space="preserve">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w:t>
      </w:r>
      <w:r>
        <w:rPr/>
        <w:t xml:space="preserve">Bundan tashqari</w:t>
      </w:r>
      <w:r>
        <w:t xml:space="preserve">, II sinf ichida risk bir tekis taqsimlanmagan: 4.1-paragrafda </w:t>
      </w:r>
      <w:r>
        <w:rPr/>
        <w:t>ko‘rsatiladiganidek</w:t>
      </w:r>
      <w:r>
        <w:t>, 2,75 balldan past bo‘lgan banklarda muammo ehtimoli keskin oshadi, shu sababli erta ogohlantirish tizimida II sinf ikki zonaga ajratilgan.</w:t>
      </w:r>
      <w:r>
        <w:rPr/>
        <w:t xml:space="preserve"> Sinflar chegaralari MBII-13 va MBII-8 uchun bir xil bo‘lib, ular MBII-8 bo‘yicha tekshirildi, chunki 25 ta bank panelida kuzatuvlar soni yetarli. MBII-13 bo‘yicha beshta bankning 2021–2024-yillardagi 20 ta kuzatuvida ham natija shu yo‘nalishda: keyingi yilda muammo hodisasi I sinfdagi 2 ta kuzatuvda kuzatilmagan, II sinfdagi 12 ta kuzatuvning 2 tasida (17 foiz), III sinfdagi 6 ta kuzatuvning 2 tasida (33 foiz) yuz bergan. Masalan, 2023-yilda III sinfda bo‘lgan “Mikrokreditbank” va “Biznesni rivojlantirish banki” ATBlarida 2024-yilda yirik zarar qayd etilgan. Kuzatuvlar soni kamligi sababli bu natija statistik dalil emas, balki MBII-8 bo‘yicha olingan xulosani tasdiqlovchi qo‘shimcha tekshiruv hisoblanadi.</w:t>
      </w:r>
    </w:p>
    <w:p w:rsidR="005603EC" w:rsidRDefault="00AB61AC">
      <w:pPr>
        <w:pStyle w:val="af"/>
        <w:spacing w:after="0" w:line="360" w:lineRule="auto"/>
        <w:ind w:firstLine="709"/>
        <w:jc w:val="both"/>
      </w:pPr>
      <w:r>
        <w:rPr/>
        <w:t xml:space="preserve">Shundan so‘ng </w:t>
      </w:r>
      <w:r>
        <w:rPr/>
        <w:t xml:space="preserve">empirik tekshiruvdan o‘tgan, tayanch vaznli indeks</w:t>
      </w:r>
      <w:r>
        <w:t xml:space="preserve"> beshta bankning 2021–2025-yillardagi moliyaviy barqarorligi dinamikasini baholash uchun qo‘llandi </w:t>
      </w:r>
      <w:r>
        <w:rPr/>
        <w:t xml:space="preserve">(3.2.2-rasm)</w:t>
      </w:r>
      <w:r>
        <w:t xml:space="preserve">.</w:t>
      </w:r>
    </w:p>
    <w:p w:rsidR="005603EC" w:rsidRDefault="00AB61AC">
      <w:pPr>
        <w:pStyle w:val="af"/>
        <w:spacing w:after="0" w:line="360" w:lineRule="auto"/>
        <w:ind w:firstLine="709"/>
        <w:jc w:val="both"/>
      </w:pPr>
      <w:r>
        <w:rPr/>
        <w:t xml:space="preserve">3.2.2-rasmdan </w:t>
      </w:r>
      <w:r>
        <w:t xml:space="preserve">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r>
      <w:r>
        <w:rPr/>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w:t>
      </w:r>
      <w:r>
        <w:rPr/>
        <w:t xml:space="preserve">kapitallashtirish hisobiga yuz bergan. Jumladan, 2022–2025-yillarda</w:t>
      </w:r>
      <w:r>
        <w:t xml:space="preserve"> bu banklar kapitaliga mos ravishda taxminan 3 187,6 va 4 160,4 mlrd so‘m, “Mikrokreditbank” ATB kapitaliga esa 5 359,2 mlrd so‘m kiritilgan</w:t>
      </w:r>
      <w:r>
        <w:rPr>
          <w:rStyle w:val="aff8"/>
        </w:rPr>
        <w:footnoteReference w:id="436"/>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w:t>
      </w:r>
      <w:r>
        <w:rPr/>
        <w:t xml:space="preserve">Natijalarning umumiyligini tekshirish maqsadida i</w:t>
      </w:r>
      <w:r>
        <w:rPr/>
        <w:t xml:space="preserve">ndeks empirik vaznlar baholanishida qatnashmagan oltinchi bank – “Aloqabank” ATB ma’lumotlarida ham tekshirildi </w:t>
      </w:r>
      <w:r>
        <w:rPr/>
        <w:t xml:space="preserve">(3.2.2-rasmda</w:t>
      </w:r>
      <w:r>
        <w:rPr/>
        <w:t xml:space="preserve">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w:t>
      </w:r>
      <w:r>
        <w:rPr/>
        <w:t xml:space="preserve">indeks 3,248 ballni tashkil etib, I sinf chegarasiga yaqinlashgan</w:t>
      </w:r>
      <w:r>
        <w:rPr/>
        <w:t xml:space="preserve">. Demak, tanlanmadan tashqari bankda ham ΔMBII (−0,47 ball) va uning asosiy manbalari – aktivlar sifati va daromadlilik bloklari – beshta bank bo‘yicha olingan natijalarga mos keladi.</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tbl>
      <w:tblPr>
        <w:tblStyle w:val="aff0"/>
        <w:tblW w:type="auto" w:w="0"/>
        <w:jc w:val="center"/>
        <w:tblLayout w:type="fixed"/>
        <w:tblLook w:firstColumn="1" w:firstRow="1" w:lastColumn="0" w:lastRow="0" w:noHBand="0" w:noVBand="1" w:val="04A0"/>
        <w:tblLayout w:type="fixed"/>
      </w:tblPr>
      <w:tblGrid>
        <w:gridCol w:w="3685"/>
        <w:gridCol w:w="1020"/>
        <w:gridCol w:w="1020"/>
        <w:gridCol w:w="1020"/>
        <w:gridCol w:w="1020"/>
        <w:gridCol w:w="1020"/>
      </w:tblGrid>
      <w:tr>
        <w:tc>
          <w:tcPr>
            <w:tcW w:type="dxa" w:w="3685"/>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70AD47"/>
                <w:sz w:val="24"/>
                <w:szCs w:val="24"/>
              </w:rPr>
              <w:t xml:space="preserve">━━ </w:t>
            </w:r>
            <w:r>
              <w:rPr>
                <w:rFonts w:ascii="Times New Roman" w:hAnsi="Times New Roman" w:eastAsia="Times New Roman" w:cs="Times New Roman"/>
                <w:b w:val="0"/>
                <w:sz w:val="24"/>
                <w:szCs w:val="24"/>
              </w:rPr>
              <w:t>“Xalq banki”</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2,66</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2,96</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3,20</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3,38</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FFC000"/>
                <w:sz w:val="24"/>
                <w:szCs w:val="24"/>
              </w:rPr>
              <w:t xml:space="preserve">━━ </w:t>
            </w:r>
            <w:r>
              <w:rPr>
                <w:rFonts w:ascii="Times New Roman" w:hAnsi="Times New Roman" w:eastAsia="Times New Roman" w:cs="Times New Roman"/>
                <w:b w:val="0"/>
                <w:sz w:val="24"/>
                <w:szCs w:val="24"/>
              </w:rPr>
              <w:t>“Biznesni rivojlantirish banki”</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2,51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2,03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2,58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3,23</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7030A0"/>
                <w:sz w:val="24"/>
                <w:szCs w:val="24"/>
              </w:rPr>
              <w:t xml:space="preserve">━━ </w:t>
            </w:r>
            <w:r>
              <w:rPr>
                <w:rFonts w:ascii="Times New Roman" w:hAnsi="Times New Roman" w:eastAsia="Times New Roman" w:cs="Times New Roman"/>
                <w:b w:val="0"/>
                <w:sz w:val="24"/>
                <w:szCs w:val="24"/>
              </w:rPr>
              <w:t>“Ipoteka-bank”</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2,69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3,11</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2A78D6"/>
                <w:sz w:val="24"/>
                <w:szCs w:val="24"/>
              </w:rPr>
              <w:t xml:space="preserve">━━ </w:t>
            </w:r>
            <w:r>
              <w:rPr>
                <w:rFonts w:ascii="Times New Roman" w:hAnsi="Times New Roman" w:eastAsia="Times New Roman" w:cs="Times New Roman"/>
                <w:b w:val="0"/>
                <w:sz w:val="24"/>
                <w:szCs w:val="24"/>
              </w:rPr>
              <w:t>“O‘zsanoatqurilishbank”</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EB6834"/>
                <w:sz w:val="24"/>
                <w:szCs w:val="24"/>
              </w:rPr>
              <w:t xml:space="preserve">━━ </w:t>
            </w:r>
            <w:r>
              <w:rPr>
                <w:rFonts w:ascii="Times New Roman" w:hAnsi="Times New Roman" w:eastAsia="Times New Roman" w:cs="Times New Roman"/>
                <w:b w:val="0"/>
                <w:sz w:val="24"/>
                <w:szCs w:val="24"/>
              </w:rPr>
              <w:t>“Mikrokreditbank”</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2,18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2,31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2,47</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00A3A3"/>
                <w:sz w:val="24"/>
                <w:szCs w:val="24"/>
              </w:rPr>
              <w:t xml:space="preserve">╍╍ </w:t>
            </w:r>
            <w:r>
              <w:rPr>
                <w:rFonts w:ascii="Times New Roman" w:hAnsi="Times New Roman" w:eastAsia="Times New Roman" w:cs="Times New Roman"/>
                <w:b w:val="0"/>
                <w:sz w:val="24"/>
                <w:szCs w:val="24"/>
              </w:rPr>
              <w:t>“Aloqabank” (tanlanmadan tashqari)</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3,01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3,10</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2,78</w:t>
            </w:r>
          </w:p>
        </w:tc>
      </w:tr>
    </w:tbl>
    <w:p w:rsidR="005603EC" w:rsidRDefault="00AB61AC">
      <w:pPr>
        <w:pStyle w:val="af"/>
        <w:spacing w:line="240" w:lineRule="auto"/>
        <w:jc w:val="both"/>
      </w:pPr>
      <w:r>
        <w:rPr>
          <w:sz w:val="24"/>
        </w:rPr>
        <w:t xml:space="preserve">Izoh: qizil uzuq chiziqlar – I va II sinflar (3,25 ball) hamda II va III sinflar (2,50 ball) chegaralari.</w:t>
      </w:r>
    </w:p>
    <w:p w:rsidR="005603EC" w:rsidRDefault="00AB61AC">
      <w:pPr>
        <w:pStyle w:val="af"/>
        <w:spacing w:before="120" w:after="240" w:line="240" w:lineRule="auto"/>
        <w:jc w:val="center"/>
      </w:pPr>
      <w:r>
        <w:rPr>
          <w:b/>
        </w:rPr>
        <w:t xml:space="preserve">3.2.2-rasm</w:t>
      </w:r>
      <w:r>
        <w:rPr>
          <w:b/>
        </w:rPr>
        <w:t xml:space="preserve">. Tanlangan banklarda moliyaviy barqarorlikning integral indeksi, MHXS hisobotlari asosida, 2021–2025-yillar</w:t>
      </w:r>
      <w:r>
        <w:rPr>
          <w:rStyle w:val="aff8"/>
        </w:rPr>
        <w:footnoteReference w:id="437"/>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w:t>
      </w:r>
      <w:r>
        <w:rPr/>
        <w:t xml:space="preserve">tayanch vazn</w:t>
      </w:r>
      <w:r>
        <w:rPr/>
        <w:t xml:space="preserve">i barcha empirik baholar oralig‘ida (0,27–0,57) joylashadi va tarqoqlik usullarining o‘rtachasiga (</w:t>
      </w:r>
      <w:r>
        <w:rPr/>
        <w:t xml:space="preserve">0,30</w:t>
      </w:r>
      <w:r>
        <w:rPr/>
        <w:t xml:space="preserve">) deyarli teng, bashorat kuchiga asoslangan logit </w:t>
      </w:r>
      <w:r>
        <w:rPr/>
        <w:lastRenderedPageBreak/>
      </w:r>
      <w:r>
        <w:rPr/>
        <w:t>usulida esa bu blok yagona statistik ahamiyatli blok bo‘ldi.</w:t>
      </w:r>
      <w:r>
        <w:t xml:space="preserve"> Ikkinchidan, vaznlar tanlovi banklar tartibini </w:t>
      </w:r>
      <w:r>
        <w:rPr/>
        <w:t xml:space="preserve">deyarli o‘zgartirmaydi. Xususan, tartib</w:t>
      </w:r>
      <w:r>
        <w:rPr/>
        <w:t xml:space="preserve">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xml:space="preserve">. Shu sababli </w:t>
      </w:r>
      <w:r>
        <w:rPr/>
        <w:t xml:space="preserve">tayanch vaznlar</w:t>
      </w:r>
      <w:r>
        <w:t xml:space="preserve">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w:t>
      </w:r>
      <w:r>
        <w:rPr/>
        <w:t xml:space="preserve">tayanch vazn</w:t>
      </w:r>
      <w:r>
        <w:t xml:space="preserve">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 xml:space="preserve">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w:t>
      </w:r>
      <w:r>
        <w:rPr/>
        <w:t xml:space="preserve">. Jumladan,</w:t>
      </w:r>
      <w:r>
        <w:t xml:space="preserve"> P. Athanasoglou, S. Brissimis va M. Delis bank daromadliligiga bank, tarmoq va makroiqtisodiy omillar ta’sirini dinamik panel modeli yordamida o‘rganib, daromadlilikning sezilarli darajada inersiyaga ega ekanini ko‘rsatgan</w:t>
      </w:r>
      <w:r>
        <w:rPr>
          <w:rStyle w:val="aff8"/>
        </w:rPr>
        <w:footnoteReference w:id="438"/>
      </w:r>
      <w:r>
        <w:t>, L. Laeven va R. Levine esa bankning to‘lovga qobiliyatsizlik riskini Z-score ko‘rsatkichi orqali o‘lchab, uning mulkchilik tuzilmasi va tartibga solish bilan bog‘liqligini aniqlagan</w:t>
      </w:r>
      <w:r>
        <w:rPr>
          <w:rStyle w:val="aff8"/>
        </w:rPr>
        <w:footnoteReference w:id="439"/>
      </w:r>
      <w:r>
        <w:t xml:space="preserve">. O‘zbekistonda esa bank barqarorligi omillarini bank darajasidagi panel ma’lumotlar asosida, ayniqsa integral ko‘rsatkich orqali baholashga bag‘ishlangan tadqiqotlar </w:t>
      </w:r>
      <w:r>
        <w:rPr/>
        <w:t xml:space="preserve">deyarli mavjud emas. Mavjud ishlarda esa ko‘rsatkichlar</w:t>
      </w:r>
      <w:r>
        <w:t xml:space="preserve"> alohida-alohida tahlil qilinadi va ularning omillari ekonometrik jihatdan sinovdan o‘tkazilmaydi</w:t>
      </w:r>
      <w:r>
        <w:rPr>
          <w:rStyle w:val="aff8"/>
        </w:rPr>
        <w:footnoteReference w:id="440"/>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spacing w:after="0" w:line="360" w:lineRule="auto"/>
        <w:ind w:firstLine="709"/>
        <w:jc w:val="both"/>
      </w:pPr>
      <w:r>
        <w:rPr/>
        <w:t xml:space="preserve">3.3.1-jadvalda </w:t>
      </w:r>
      <w:r>
        <w:t xml:space="preserve">keltirilgan gipotezalarning har biri xalqaro tadqiqotlarda tasdiqlangan mexanizmga tayanadi. Birinchi gipoteza davlat banklarining siyosiy maqsadlarda kreditlash va yumshoq byudjet cheklovi sharoitida faoliyat yuritishi bilan izohlanadi</w:t>
      </w:r>
      <w:r>
        <w:rPr/>
        <w:t xml:space="preserve">. Xususan,</w:t>
      </w:r>
      <w:r>
        <w:t xml:space="preserve">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1"/>
      </w:r>
      <w:r>
        <w:rPr>
          <w:rStyle w:val="aff8"/>
        </w:rPr>
        <w:footnoteReference w:id="442"/>
      </w:r>
      <w:r>
        <w:t xml:space="preserve">. Ikkinchi gipoteza D. Foos, L. Norden va M. Weber </w:t>
      </w:r>
      <w:r>
        <w:rPr/>
        <w:t xml:space="preserve">tadqiqotiga asoslanadi. Ushbu mualliflar kreditlarning</w:t>
      </w:r>
      <w:r>
        <w:t xml:space="preserve"> g‘ayrioddiy tez o‘sishi keyingi uch yilda kredit zaxiralarining oshishi va kapitallashuvning yomonlashuviga olib kelishini </w:t>
      </w:r>
      <w:r>
        <w:lastRenderedPageBreak/>
      </w:r>
      <w:r>
        <w:t>ko‘rsatgan</w:t>
      </w:r>
      <w:r>
        <w:rPr>
          <w:rStyle w:val="aff8"/>
        </w:rPr>
        <w:footnoteReference w:id="443"/>
      </w:r>
      <w:r>
        <w:t xml:space="preserve">. Uchinchi gipoteza A. Demirgüç-Kunt va H. Huizinga </w:t>
      </w:r>
      <w:r>
        <w:rPr/>
        <w:t xml:space="preserve">xulosasiga tayanadi. Unga ko‘ra, depozit bo‘lmagan</w:t>
      </w:r>
      <w:r>
        <w:t xml:space="preserve">, ya’ni ulgurji moliyalashtirishga ko‘proq tayanadigan banklar riskliroq bo‘ladi</w:t>
      </w:r>
      <w:r>
        <w:rPr>
          <w:rStyle w:val="aff8"/>
        </w:rPr>
        <w:footnoteReference w:id="444"/>
      </w:r>
      <w:r>
        <w:t xml:space="preserve">. </w:t>
      </w:r>
      <w:r>
        <w:rPr/>
        <w:t xml:space="preserve">To‘rtinchi gipoteza asosiy faoliyatdan olinadigan barqaror daromad bank kapitalini ichki manbalar hisobiga to‘ldirish imkonini berishi bilan izohlanadi. B</w:t>
      </w:r>
      <w:r>
        <w:t xml:space="preserve">eshinchi gipoteza esa muammoli kreditlarning makroiqtisodiy omillariga bag‘ishlangan tadqiqotlarga asoslanadi</w:t>
      </w:r>
      <w:r>
        <w:rPr/>
        <w:t xml:space="preserve">. Jumladan,</w:t>
      </w:r>
      <w:r>
        <w:t xml:space="preserve">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5"/>
      </w:r>
      <w:r>
        <w:rPr>
          <w:rStyle w:val="aff8"/>
        </w:rPr>
        <w:footnoteReference w:id="446"/>
      </w:r>
      <w:r>
        <w:rPr>
          <w:rStyle w:val="aff8"/>
        </w:rPr>
        <w:footnoteReference w:id="447"/>
      </w:r>
      <w:r>
        <w:t>.</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Gipoteza</w:t>
            </w:r>
          </w:p>
        </w:tc>
        <w:tc>
          <w:tcPr>
            <w:tcW w:w="396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Kutilgan ta’sir</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H1</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banklarining moliyaviy barqarorligi xususiy banklarnikidan past</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manfiy</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H2</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Jadal kreditlash bir yildan keyin barqarorlikni pasaytiradi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4 va 8 chorak lag bilan</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manfiy</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H3</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Barqaror depozit bazasi barqarorlikni oshiradi</w:t>
            </w:r>
          </w:p>
        </w:tc>
        <w:tc>
          <w:tcPr>
            <w:tcW w:w="260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musbat</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H4</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faoliyatdan daromad olish qobiliyati barqarorlikni oshiradi</w:t>
            </w:r>
          </w:p>
        </w:tc>
        <w:tc>
          <w:tcPr>
            <w:tcW w:w="260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musbat</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H5</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Iqtisodiy o‘sish kredit riskini kamaytiradi, pul-kredit siyosatining qat’iylashuvi esa oshiradi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asosiy stavka, so‘m kursi, inflyatsiya</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Muammoli kreditlar ulushiga: YaIM – manfiy; stavka va so‘m qadrsizlanishi – musbat; inflyatsiya – noaniq</w:t>
            </w:r>
          </w:p>
        </w:tc>
      </w:tr>
    </w:tbl>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9"/>
      </w:r>
      <w:r>
        <w:t>, yuqori likvid aktivlar, kredit zaxiralari, foizli daromad va xarajatlar, operatsion xarajatlar va sof foyda “SNS” reyting agentligining banklar ko‘rsatkichlari bazasidan</w:t>
      </w:r>
      <w:r>
        <w:rPr>
          <w:rStyle w:val="aff8"/>
        </w:rPr>
        <w:footnoteReference w:id="450"/>
      </w:r>
      <w:r>
        <w:t>, makroiqtisodiy ko‘rsatkichlar esa Markaziy bankning statistik byulletenidan olindi</w:t>
      </w:r>
      <w:r>
        <w:rPr>
          <w:rStyle w:val="aff8"/>
        </w:rPr>
        <w:footnoteReference w:id="451"/>
      </w:r>
      <w:r>
        <w:t>. Ikki bank manbasi bank nomlari bo‘yicha birlashtirildi, ma’lum xato qiymatlar tahlildan chiqarildi</w:t>
      </w:r>
      <w:r>
        <w:rPr>
          <w:rStyle w:val="aff8"/>
        </w:rPr>
        <w:footnoteReference w:id="452"/>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t>2025-yil holatiga ulardan 9 tasi davlat ishtirokidagi bank, 2023-yilda xususiylashtirilgan “Ipoteka-bank” ATB esa xususiylashtirilgunga qadar davlat banki sifatida hisobga olindi</w:t>
      </w:r>
      <w:r>
        <w:rPr>
          <w:rStyle w:val="aff8"/>
        </w:rPr>
        <w:footnoteReference w:id="453"/>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w:t>
      </w:r>
      <w:r>
        <w:rPr/>
        <w:t xml:space="preserve">Bu panel indeksi 3.2-paragrafda kiritilgan MBII-8 belgisi bilan ifodalanadi.</w:t>
      </w:r>
      <w:r>
        <w:t xml:space="preserve"> Natijalarning ishonchliligini tekshirish uchun muqobil bog‘liq o‘zgaruvchi sifatida xalqaro tadqiqotlarda keng qo‘llanadigan Z-score ko‘rsatkichi olindi</w:t>
      </w:r>
      <w:r>
        <w:rPr>
          <w:rStyle w:val="aff8"/>
        </w:rPr>
        <w:footnoteReference w:id="454"/>
      </w:r>
      <w:r>
        <w:rPr>
          <w:rStyle w:val="aff8"/>
        </w:rPr>
        <w:footnoteReference w:id="455"/>
      </w:r>
      <w:r>
        <w:rPr/>
        <w:t xml:space="preserve">. Bu ko‘rsatkich aktivlar rentabelligi</w:t>
      </w:r>
      <w:r>
        <w:t xml:space="preserve"> va kapitalning aktivlarga nisbati yig‘indisining aktivlar rentabelligi standart chetlanishiga nisbati sifatida hisoblanadi va bank zarar ko‘rib kapitalini yo‘qotishi uchun daromadlilik </w:t>
      </w:r>
      <w:r>
        <w:lastRenderedPageBreak/>
      </w:r>
      <w:r>
        <w:t xml:space="preserve">o‘rtacha darajasidan necha standart chetlanishga pasayishi kerakligini ko‘rsatadi. Standart chetlanish L. Lepetit va F. Strobel tavsiyasiga muvofiq </w:t>
      </w:r>
      <w:r>
        <w:rPr/>
        <w:t xml:space="preserve">8 chorakli (tanlanma boshida kamida 4 chorakli) siljuvchi oyna bo‘yicha</w:t>
      </w:r>
      <w:r>
        <w:t xml:space="preserve"> hisoblandi</w:t>
      </w:r>
      <w:r>
        <w:rPr>
          <w:rStyle w:val="aff8"/>
        </w:rPr>
        <w:footnoteReference w:id="456"/>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Kuzatuvlar</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Standart chetlanish</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Minimum</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Mediana</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Maksimum</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Panel integral indeksi (MBII-8),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ln(Z-score)</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4,43</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 aktivlar,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Yuqori likvid aktivlar / aktivlar,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78,1</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75,9</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 mlrd so‘m)</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11,89</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(yillik),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51,2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349,1</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86,7</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21,0</w:t>
            </w:r>
          </w:p>
        </w:tc>
      </w:tr>
    </w:tbl>
    <w:p w:rsidR="005603EC" w:rsidRDefault="00AB61AC">
      <w:pPr>
        <w:pStyle w:val="af"/>
        <w:spacing w:line="240" w:lineRule="auto"/>
        <w:jc w:val="both"/>
      </w:pPr>
      <w:r>
        <w:rPr>
          <w:sz w:val="24"/>
        </w:rPr>
        <w:t xml:space="preserve">Izoh: muammoli kreditlar ulushi, kreditlar o‘sishi, depozitlar/aktivlar, sof foiz marjasi va ln(Z-score) regressiyalardagi kabi 1 va 99 foizli persentillar bo‘yicha vinzorlangan.</w:t>
      </w:r>
    </w:p>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r>
      <w:r>
        <w:t xml:space="preserve">ball va eng katta tafovut likvidlik blokiga to‘g‘ri keladi (2,78 ball, standart chetlanish 0,94). Kapital bloki esa barcha banklarda eng yuqori </w:t>
      </w:r>
      <w:r>
        <w:rPr/>
        <w:t xml:space="preserve">4 ball bilan baholangan, chunki tanlanmadagi</w:t>
      </w:r>
      <w:r>
        <w:t xml:space="preserve">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w:t>
      </w:r>
      <w:r>
        <w:rPr/>
        <w:t xml:space="preserve">Shu bilan birga, k</w:t>
      </w:r>
      <w:r>
        <w:t xml:space="preserve">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8"/>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w:t>
      </w:r>
      <w:r>
        <w:rPr/>
        <w:t xml:space="preserve">2024-yilda davlat banklari indeksining 2,88 ballgacha pasayishiga ularning aktivlar rentabelligi medianasining 0,1 foizgacha tushib ketishi sabab bo‘lgan. Bu yilda to‘qqizta davlat bankidan beshtasida ROA 0,13 foizdan oshmagan, “Mikrokreditbank” va “Biznesni rivojlantirish banki” ATBlari esa </w:t>
      </w:r>
      <w:r>
        <w:rPr/>
        <w:t xml:space="preserve">yilni zarar</w:t>
      </w:r>
      <w:r>
        <w:rPr/>
        <w:t xml:space="preserve"> bilan yakunlagan, “Mikrokreditbank” ATB zarari esa II bobda aniqlangan yashirin kredit riskining bir yo‘la tan olinishi bilan bog‘liq. 2025-yilda farq 0,47 ballgacha qisqargan. Bunga davlat banklari indeksining 2,88 dan 3,15 ballgacha tiklanishi bilan birga boshqa banklar indeksining 2022-yildagi 3,89 dan 3,61 ballgacha izchil pasayishi sabab bo‘lgan.</w:t>
      </w:r>
      <w:r>
        <w:lastRenderedPageBreak/>
      </w:r>
      <w:r>
        <w:t xml:space="preserve"> Boshqa banklarda bu pasayish likvidlik blokining </w:t>
      </w:r>
      <w:r>
        <w:rPr/>
        <w:t xml:space="preserve">yomonlashuvi bilan izohlanadi. Xususan, ularda</w:t>
      </w:r>
      <w:r>
        <w:t xml:space="preserve">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9"/>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w:t>
      </w:r>
      <w:r>
        <w:rPr/>
        <w:t xml:space="preserve">moliyalashtirish modelidagi tafovutdir. Jumladan, davlat</w:t>
      </w:r>
      <w:r>
        <w:t xml:space="preserve">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r>
      <w:r>
        <w:t xml:space="preserve">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w:t>
      </w:r>
      <w:r>
        <w:rPr/>
        <w:t xml:space="preserve">1,65–4,90 barobar</w:t>
      </w:r>
      <w:r>
        <w:t xml:space="preserve">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 xml:space="preserve">3.3.3-rasm. Davlat banklari va boshqa banklarda </w:t>
      </w:r>
      <w:r>
        <w:rPr>
          <w:b/>
        </w:rPr>
        <w:t xml:space="preserve">Z-score logarifmining medianasi, 2022–2025-yillarning IV choragi</w:t>
      </w:r>
      <w:r>
        <w:rPr>
          <w:rStyle w:val="aff8"/>
        </w:rPr>
        <w:footnoteReference w:id="460"/>
      </w:r>
    </w:p>
    <w:p w:rsidR="005603EC" w:rsidRDefault="00AB61AC">
      <w:pPr>
        <w:pStyle w:val="af"/>
        <w:spacing w:after="0" w:line="360" w:lineRule="auto"/>
        <w:ind w:firstLine="709"/>
        <w:jc w:val="both"/>
      </w:pPr>
      <w:r>
        <w:t xml:space="preserve">Rasmdan ko‘rinib turibdiki, Z-score bo‘yicha davlat banklari </w:t>
      </w:r>
      <w:r>
        <w:rPr/>
        <w:t>2022–2025-yillarda</w:t>
      </w:r>
      <w:r>
        <w:t xml:space="preserve"> boshqa banklarga nisbatan </w:t>
      </w:r>
      <w:r>
        <w:rPr/>
        <w:t xml:space="preserve">barqarorroq ko‘rinadi. Xususan, 2025-yilda</w:t>
      </w:r>
      <w:r>
        <w:t xml:space="preserve">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w:t>
      </w:r>
      <w:r>
        <w:rPr/>
        <w:t xml:space="preserve">kapitalning aktivlarga nisbati esa boshqa banklarnikidan past bo‘lsa-da (2022–2025-yillarda medianasi 13,3–14,0 foizga nisbatan 15,8–16,6 foiz), aktivlar rentabelligining standart chetlanishi ancha kichik (2025-yilda 1,16 foiz punktga nisbatan 0,71 foiz punkt).</w:t>
      </w:r>
      <w:r>
        <w:t xml:space="preserve"> Natijada Z-score davlat ko‘magini bankning o‘z barqarorligi sifatida qabul qiladi, integral </w:t>
      </w:r>
      <w:r>
        <w:lastRenderedPageBreak/>
      </w:r>
      <w:r>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rPr/>
        <w:t xml:space="preserve">Tavsifiy tahlilda aniqlangan farqlarni ekonometrik jihatdan tekshirish va o</w:t>
      </w:r>
      <w:r>
        <w:t xml:space="preserve">millar ta’sirini baholash uchun quyidagi panel regressiya modeli qo‘llandi:</w:t>
      </w:r>
    </w:p>
    <w:p w:rsidR="005603EC" w:rsidRDefault="00AB61AC">
      <w:pPr>
        <w:pStyle w:val="af"/>
        <w:spacing w:after="0" w:line="360" w:lineRule="auto"/>
        <w:jc w:val="center"/>
      </w:pPr>
      <w:r>
        <w:rPr>
          <w:i/>
          <w:sz w:val="26"/>
        </w:rPr>
        <w:t xml:space="preserve">MBII-8</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1"/>
      </w:r>
      <w:r>
        <w:rPr>
          <w:rStyle w:val="aff8"/>
        </w:rPr>
        <w:footnoteReference w:id="462"/>
      </w:r>
      <w:r>
        <w:t>. Usullar o‘rtasida tanlov Breusch–Pagan va Hausman testlari asosida amalga oshirildi</w:t>
      </w:r>
      <w:r>
        <w:rPr>
          <w:rStyle w:val="aff8"/>
        </w:rPr>
        <w:footnoteReference w:id="463"/>
      </w:r>
      <w:r>
        <w:rPr>
          <w:rStyle w:val="aff8"/>
        </w:rPr>
        <w:footnoteReference w:id="464"/>
      </w:r>
      <w:r>
        <w:t>. Standart xatolar heteroskedastiklik va avtokorrelyatsiyani hisobga olish uchun bank bo‘yicha klasterlangan. Indeksning inersiyasini hisobga oluvchi dinamik model esa qisqa panellardagi siljishni</w:t>
      </w:r>
      <w:r>
        <w:rPr>
          <w:rStyle w:val="aff8"/>
        </w:rPr>
        <w:footnoteReference w:id="465"/>
      </w:r>
      <w:r>
        <w:t xml:space="preserve"> bartaraf etish maqsadida </w:t>
      </w:r>
      <w:r>
        <w:lastRenderedPageBreak/>
      </w:r>
      <w:r>
        <w:t>T. Anderson va C. Hsiao usuli bo‘yicha birinchi farqlarda, indeksning ikki chorak oldingi qiymatini instrument sifatida qo‘llab baholandi</w:t>
      </w:r>
      <w:r>
        <w:rPr>
          <w:rStyle w:val="aff8"/>
        </w:rPr>
        <w:footnoteReference w:id="466"/>
      </w:r>
      <w:r>
        <w:rPr>
          <w:rStyle w:val="aff8"/>
        </w:rPr>
        <w:footnoteReference w:id="467"/>
      </w:r>
      <w:r>
        <w:t xml:space="preserve">. Omillar o‘rtasidagi multikollinearlik dispersiya inflyatsiyasi koeffitsiyenti </w:t>
      </w:r>
      <w:r>
        <w:rPr/>
        <w:t xml:space="preserve">(VIF) orqali tekshirildi. Natijalarga ko‘ra, uning eng yuqori</w:t>
      </w:r>
      <w:r>
        <w:t xml:space="preserve">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Pooled OLS</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RE</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FE (bank va chorak)</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Dinamik (Anderson–Hsiao)</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MBII-8 (t−1)</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0,502*** (0,185)</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0,057 (0,084)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−0,071 (0,091)</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0,029 (0,139)</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0,274*** (0,095)</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(t−4), %</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−0,0009*** (0,0003)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0,0001 (0,0002)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0,0003 (0,0002)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−0,0003 (0,0003)</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0,011*** (0,002)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0,009*** (0,002)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0,007*** (0,003)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0,008*** (0,001)</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0,021* (0,013)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0,012*** (0,004)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0,009** (0,004)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0,022*** (0,003)</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−0,278 (0,205)</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0,364* (0,215)</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Chorak effektlari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r>
      <w:tr w:rsidR="005603EC" w:rsidTr="005603EC">
        <w:trPr>
          <w:cantSplit/>
        </w:trPr>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 (umumiy)</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 (bank ichidagi)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Testlar</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Breusch–Pagan LM = 616,1 (p &lt; 0,001)</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Hausman χ²(4) = 17,34 (p = 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t xml:space="preserve">statistik ahamiyatli ta’sir ko‘rsatadi </w:t>
      </w:r>
      <w:r>
        <w:rPr/>
        <w:t xml:space="preserve">(barcha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9"/>
      </w:r>
      <w:r>
        <w:t xml:space="preserve">. Ikkinchidan, sof foiz marjasi integral indeksga </w:t>
      </w:r>
      <w:r>
        <w:rPr/>
        <w:t xml:space="preserve">musbat ta’sir ko‘rsatadi. Xususan, marjaning</w:t>
      </w:r>
      <w:r>
        <w:t xml:space="preserve"> 1 foiz punktga oshishi qayd etilgan effektli modelga ko‘ra indeksni 0,009 ballga, dinamik modelga ko‘ra 0,022 ballga oshiradi. Bu </w:t>
      </w:r>
      <w:r>
        <w:rPr/>
        <w:t xml:space="preserve">to‘rtinchi gipotezani tasdiqlaydi, ya’ni asosiy</w:t>
      </w:r>
      <w:r>
        <w:t xml:space="preserve">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 xml:space="preserve">Dinamik model integral indeksning sezilarli </w:t>
      </w:r>
      <w:r>
        <w:rPr/>
        <w:t xml:space="preserve">inersiyaga ega ekanini ko‘rsatadi. Xususan, oldingi</w:t>
      </w:r>
      <w:r>
        <w:t xml:space="preserve">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70"/>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r>
      <w:r>
        <w:t xml:space="preserve">ulushining 10 foiz punktga barqaror oshishi uzoq muddatda indeksni </w:t>
      </w:r>
      <w:r>
        <w:rPr/>
        <w:t xml:space="preserve">qariyb 0,17 ballga oshiradi</w:t>
      </w:r>
      <w:r>
        <w:t xml:space="preserve">. Bu natija P. Athanasoglou va hammualliflar xulosasiga mos keladi</w:t>
      </w:r>
      <w:r>
        <w:rPr>
          <w:rStyle w:val="aff8"/>
        </w:rPr>
        <w:footnoteReference w:id="471"/>
      </w:r>
      <w:r>
        <w:t xml:space="preserve">, biroq inersiyaning nisbatan pastligi bir martalik zararlar va qayta kapitallashtirishlar bilan izohlanadi. </w:t>
      </w:r>
      <w:r>
        <w:rPr/>
        <w:t xml:space="preserve">Mazkur holat</w:t>
      </w:r>
      <w:r>
        <w:t xml:space="preserve"> indeksni har chorakda hisoblash zarurligini asoslaydi.</w:t>
      </w:r>
    </w:p>
    <w:p w:rsidR="005603EC" w:rsidRDefault="00AB61AC">
      <w:pPr>
        <w:pStyle w:val="af"/>
        <w:spacing w:after="0" w:line="360" w:lineRule="auto"/>
        <w:ind w:firstLine="709"/>
        <w:jc w:val="both"/>
      </w:pPr>
      <w:r>
        <w:t xml:space="preserve">Kreditlar o‘sishining ta’siri spetsifikatsiyaga bog‘liq bo‘lgan. Banklar o‘rtasidagi farqni ham hisobga oluvchi Pooled modelda to‘rt chorak oldingi kreditlar o‘sishi indeksni 1 foiz darajada </w:t>
      </w:r>
      <w:r>
        <w:rPr/>
        <w:t xml:space="preserve">ahamiyatli pasaytiradi. Boshqacha aytganda, kreditlarning yillik</w:t>
      </w:r>
      <w:r>
        <w:t xml:space="preserve"> o‘sishi 50 foiz punktga yuqori bo‘lgan bankda bir yildan keyin </w:t>
      </w:r>
      <w:r>
        <w:rPr/>
        <w:t xml:space="preserve">indeks qariyb 0,04 ballga past bo‘ladi</w:t>
      </w:r>
      <w:r>
        <w:t xml:space="preserve">.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w:t>
      </w:r>
      <w:r>
        <w:rPr/>
        <w:t xml:space="preserve">(koeffitsiyent qayd etilgan effektli modelda +0,0005, p = 0,05, tasodifiy effektlar modelida +0,0005, p = 0,007)</w:t>
      </w:r>
      <w:r>
        <w:rPr/>
        <w:t xml:space="preserve">, Z-score bo‘yicha esa sakkiz chorak lagli ta’sir barcha modellarda ahamiyatsiz. </w:t>
      </w:r>
      <w:r>
        <w:rPr/>
        <w:t xml:space="preserve">Demak, jadal kreditlashning Z-score ga ta’siri asosan bir yil ichida namoyon bo‘ladi (3.3.5-jadval).</w:t>
      </w:r>
      <w:r>
        <w:t xml:space="preserve"> Buning sababi quyida satellit model natijalari orqali tushuntiriladi. Bank hajmining </w:t>
      </w:r>
      <w:r>
        <w:rPr/>
        <w:t xml:space="preserve">ta’siri ham barqaror emas, chunki u faqat</w:t>
      </w:r>
      <w:r>
        <w:t xml:space="preserve">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1-model: moliyalashtirish tuzilmasi nazoratisiz</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2-model: depozitlar ulushi va sof foiz marjasi nazorati bilan</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−0,690*** (0,185)</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−0,344* (0,202)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0,095 (0,093)</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0,119 (0,080)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0,0109*** (0,0025)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0,018 (0,014)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r>
      <w:tr w:rsidR="005603EC" w:rsidTr="005603EC">
        <w:trPr>
          <w:cantSplit/>
        </w:trPr>
        <w:tc>
          <w:tcPr>
            <w:tcW w:w="340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ta’sirining </w:t>
            </w:r>
            <w:r>
              <w:rPr>
                <w:rFonts w:ascii="Times New Roman" w:hAnsi="Times New Roman" w:eastAsia="Times New Roman" w:cs="Times New Roman"/>
                <w:sz w:val="24"/>
                <w:szCs w:val="24"/>
              </w:rPr>
              <w:t xml:space="preserve">moliyalashtirish modeli orqali</w:t>
            </w:r>
            <w:r>
              <w:rPr>
                <w:rFonts w:ascii="Times New Roman" w:hAnsi="Times New Roman" w:eastAsia="Times New Roman" w:cs="Times New Roman"/>
                <w:sz w:val="24"/>
                <w:szCs w:val="24"/>
              </w:rPr>
              <w:t xml:space="preserve"> izohlanadigan qismi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t>bank hajmi va chorak effektlari nazorat qilinganda</w:t>
      </w:r>
      <w:r>
        <w:t xml:space="preserve">, </w:t>
      </w:r>
      <w:r>
        <w:rPr/>
        <w:t xml:space="preserve">davlat banklarining integral indeksi boshqa banklarnikidan o‘rtacha 0,69</w:t>
      </w:r>
      <w:r>
        <w:t xml:space="preserve">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w:t>
      </w:r>
      <w:r>
        <w:rPr/>
        <w:t xml:space="preserve">Olingan natijalar</w:t>
      </w:r>
      <w:r>
        <w:t xml:space="preserve"> davlat banklarini isloh qilishda faqat xususiylashtirish bilan cheklanmasdan, ularning resurs bazasini depozitlar hisobiga diversifikatsiya qilish </w:t>
      </w:r>
      <w:r>
        <w:lastRenderedPageBreak/>
      </w:r>
      <w:r>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232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Pooled OLS</w:t>
            </w:r>
          </w:p>
        </w:tc>
        <w:tc>
          <w:tcPr>
            <w:tcW w:w="232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RE</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FE (bank va chorak)</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0,184 (0,134)</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−0,246 (0,150)</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−0,776* (0,430)</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(t−4), %</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−0,0021*** (0,0008)</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−0,0017** (0,0008)</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−0,0027** (0,0012)</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−0,012** (0,006)</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−0,011 (0,008)</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−0,013 (0,009)</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0,017 (0,025)</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−0,005 (0,014)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−0,016 (0,016)</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−0,371 (0,427)</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0,544 (0,413)</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Hausman testi</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χ²(4) = 6,83 (p = 0,145)</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 xml:space="preserve">Jadvaldan ko‘rinib turibdiki, Z-score bo‘yicha natijalar integral indeks natijalaridan ikki jihatdan farq qiladi. Birinchidan, kreditlar o‘sishining salbiy ta’siri bu yerda barcha uchta modelda, </w:t>
      </w:r>
      <w:r>
        <w:rPr/>
        <w:t xml:space="preserve">jumladan qayd etilgan effektli modelda ham statistik ahamiyatli. RE va FE modellariga ko‘ra, kreditlarning yillik </w:t>
      </w:r>
      <w:r>
        <w:rPr/>
        <w:t xml:space="preserve">o‘sishining</w:t>
      </w:r>
      <w:r>
        <w:rPr/>
        <w:t xml:space="preserve"> 10 foiz punktga oshishi bir yildan keyin Z-score ni 1,7–2,7 foizga pasaytiradi, Hausman testi esa bu holatda tasodifiy effektlar modelini rad etmaydi (p = 0,145).</w:t>
      </w:r>
      <w:r>
        <w:t xml:space="preserve"> Bu ikkinchi gipotezani tasdiqlaydi va D. Foos hamda hammualliflar natijasi bilan mos keladi</w:t>
      </w:r>
      <w:r>
        <w:rPr>
          <w:rStyle w:val="aff8"/>
        </w:rPr>
        <w:footnoteReference w:id="474"/>
      </w:r>
      <w:r>
        <w:t xml:space="preserve">. </w:t>
      </w:r>
      <w:r>
        <w:rPr/>
        <w:t xml:space="preserve">Fikrimizcha, j</w:t>
      </w:r>
      <w:r>
        <w:t xml:space="preserve">adal kreditlash avvalo daromadlilikning tebranuvchanligini oshiradi, bu esa Z-score da darhol aks etadi. Ikkinchidan, davlat banki o‘zgaruvchisi Z-score ga ahamiyatli ta’sir ko‘rsatmaydi, tasodifiy effektlar modelida esa uning koeffitsiyenti hatto musbat. Bu 3.3.3-rasmda </w:t>
      </w:r>
      <w:r>
        <w:rPr/>
        <w:t xml:space="preserve">aniqlangan holatni tasdiqlaydi, ya’ni Z-score</w:t>
      </w:r>
      <w:r>
        <w:t xml:space="preserve"> davlat banklarining zaifligini aniqlamaydi, chunki davlat ko‘magi ularning daromadliligini barqarorlashtiradi. Depozitlar ulushining Z-score ga ta’siri esa faqat Pooled modelda ahamiyatli va manfiy bo‘lib, </w:t>
      </w:r>
      <w:r>
        <w:lastRenderedPageBreak/>
      </w:r>
      <w:r>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FE (bank effektlari)</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Pooled OLS</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(t−1),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0,623*** (0,051)</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0,805*** (0,061)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(t−4),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0,0011 (0,0037)</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0,0055 (0,0038)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(t−8),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−0,0012 (0,0014)</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−0,0006 (0,0010)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1,119 (1,216)</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0,205 (0,151)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−1,437*** (0,498)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−1,927*** (0,588)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stavka,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0,705* (0,398)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0,999** (0,438)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 dollari kursi o‘zgarishi,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−0,018 (0,040)</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−0,066*** (0,023)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Inflyatsiya,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−0,165 (0,118)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−0,188 (0,130)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0,133 (0,304)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r>
      <w:tr w:rsidR="005603EC" w:rsidTr="005603EC">
        <w:trPr>
          <w:cantSplit/>
        </w:trPr>
        <w:tc>
          <w:tcPr>
            <w:tcW w:w="340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 (bank ichidagi)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6"/>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r>
      <w:r>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7"/>
      </w:r>
      <w:r>
        <w:t xml:space="preserve">. </w:t>
      </w:r>
      <w:r>
        <w:rPr/>
        <w:t xml:space="preserve">AQSh dollari kursining (so‘m qadrsizlanishining) ta’siri esa</w:t>
      </w:r>
      <w:r>
        <w:t xml:space="preserve">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t xml:space="preserve"> </w:t>
      </w:r>
      <w:r>
        <w:rPr/>
        <w:t xml:space="preserve">Shuni ta’kidlash joizki, YaIM o‘sishi va asosiy stavka bo‘yicha olingan baholar</w:t>
      </w:r>
      <w:r>
        <w:rPr/>
        <w:t xml:space="preserve"> faqat sakkiz chorakni qamraydi va o‘rtacha muammoli kreditlar darajasi (3,5 foiz) bilan solishtirganda iqtisodiy jihatdan juda yuqori, shu sababli 4.2-paragrafda bu sezgirlik uzoqroq davr ma’lumotlari asosida qayta </w:t>
      </w:r>
      <w:r>
        <w:rPr/>
        <w:t xml:space="preserve">baholanadi</w:t>
      </w:r>
      <w:r>
        <w:rPr/>
        <w:t xml:space="preserve">.</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8"/>
      </w:r>
      <w:r>
        <w:t xml:space="preserve">, birinchi qarashda ikkinchi gipotezani rad etadi. Biroq bu natija II bobda aniqlangan holat </w:t>
      </w:r>
      <w:r>
        <w:rPr/>
        <w:t xml:space="preserve">bilan to‘liq izohlanadi. Ma’lumki, milliy tasnif</w:t>
      </w:r>
      <w:r>
        <w:t xml:space="preserve"> kredit riskini MHXS 9 ga nisbatan </w:t>
      </w:r>
      <w:r>
        <w:rPr/>
        <w:t xml:space="preserve">1,65–4,90 barobar</w:t>
      </w:r>
      <w:r>
        <w:t xml:space="preserve">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Gipoteza</w:t>
            </w:r>
          </w:p>
        </w:tc>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Integral indeks (MBII-8)</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Z-score</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Muammoli kreditlar ulushi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Xulosa</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H1. Davlat ulushi barqarorlikni pasaytiradi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−0,69*** (yarmi moliyalashtirish modeli orqali)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 bo‘yicha tasdiqlandi, Z-score uni aniqlamaydi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H2. Jadal kreditlash barqarorlikni pasaytiradi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Pooled modelda manfiy*** (4 va 8 chorak lag), </w:t>
            </w:r>
            <w:r>
              <w:rPr>
                <w:rFonts w:ascii="Times New Roman" w:hAnsi="Times New Roman" w:eastAsia="Times New Roman" w:cs="Times New Roman"/>
                <w:sz w:val="24"/>
                <w:szCs w:val="24"/>
              </w:rPr>
              <w:t xml:space="preserve">bank ichida manfiy ta’sir aniqlanmadi</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barcha modellarda manfiy (**/***) (4 chorak lag); 8 chorak lag – ahamiyatsiz</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H3. Depozit bazasi barqarorlikni oshiradi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barcha modellarda musbat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Pooled modelda manfiy**</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 bo‘yicha tasdiqlandi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H4. Sof foiz marjasi barqarorlikni oshiradi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barcha modellarda musbat (Pooled modelda *, RE, FE va dinamik modellarda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Tasdiqlandi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H5. YaIM o‘sishi kredit riskini kamaytiradi, asosiy stavka oshiradi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chorak effektlari orqali nazorat qilindi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manfiy***, stavka: musbat (*/**)</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Tasdiqlandi</w:t>
            </w:r>
          </w:p>
        </w:tc>
      </w:tr>
    </w:tbl>
    <w:p w:rsidR="005603EC" w:rsidRDefault="00AB61AC">
      <w:pPr>
        <w:pStyle w:val="af"/>
        <w:spacing w:after="0" w:line="360" w:lineRule="auto"/>
        <w:ind w:firstLine="709"/>
        <w:jc w:val="both"/>
      </w:pPr>
      <w:r>
        <w:t xml:space="preserve">Jadvaldan ko‘rinib turibdiki, </w:t>
      </w:r>
      <w:r>
        <w:rPr/>
        <w:t xml:space="preserve">beshta gipotezadan to‘rttasi (H1, H3 va H4 – integral indeks bo‘yicha, H5 – muammoli kreditlar bo‘yicha) tasdiqlangan, bittasi (H2) qisman tasdiqlangan</w:t>
      </w:r>
      <w:r>
        <w:t xml:space="preserve">.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rPr/>
        <w:t xml:space="preserve">Biroq n</w:t>
      </w:r>
      <w:r>
        <w:t xml:space="preserve">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r>
      <w:r>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t xml:space="preserve">qariyb 0,17 ballga oshiradi</w:t>
      </w:r>
      <w:r>
        <w:t xml:space="preserve">.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 xml:space="preserve">Ikkinchi bobda aniqlangan muammolar – aktivlar sifatining milliy hisobotda </w:t>
      </w:r>
      <w:r>
        <w:rPr/>
        <w:t xml:space="preserve">kamaytirib</w:t>
      </w:r>
      <w:r>
        <w:t xml:space="preserve">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w:t>
      </w:r>
      <w:r>
        <w:rPr/>
        <w:t xml:space="preserve">, “Aloqabank” ATB niki 3,248 va 2,78 ballni (ikkala variantda II sinf)</w:t>
      </w:r>
      <w:r>
        <w:t xml:space="preserve"> tashkil etadi. </w:t>
      </w:r>
      <w:r>
        <w:rPr/>
        <w:t xml:space="preserve">ΔMBII mos ravishda −0,46; −0,66 va −0,47 ballga teng bo‘lib, uning 56–86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 xml:space="preserve">aktivlar sifati blokining </w:t>
      </w:r>
      <w:r>
        <w:rPr/>
        <w:t xml:space="preserve">tayanch vazn</w:t>
      </w:r>
      <w:r>
        <w:rPr/>
        <w:t xml:space="preserve">i (0,30) empirik baholar oralig‘ida (0,27–0,57) joylashishini va bu blok bashorat jihatidan yagona ahamiyatli blok ekanini ko‘rsatdi, tarqoqlik usullari esa daromadlilik blokiga eng yuqori vazn berdi</w:t>
      </w:r>
      <w:r>
        <w:t xml:space="preserve">. </w:t>
      </w:r>
      <w:r>
        <w:rPr/>
        <w:t xml:space="preserve">Tayanch vaznlar</w:t>
      </w:r>
      <w:r>
        <w:t xml:space="preserve"> va empirik vaznlar asosidagi banklar tartibi o‘rtasidagi </w:t>
      </w:r>
      <w:r>
        <w:rPr/>
        <w:t>korrelyatsiya 0,95–0,98 ni</w:t>
      </w:r>
      <w:r>
        <w:t xml:space="preserve"> tashkil etdi, Monte-Karlo tahlilida esa vaznlar </w:t>
      </w:r>
      <w:r>
        <w:lastRenderedPageBreak/>
      </w:r>
      <w:r>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xml:space="preserve">. Shu bilan birga, empirik usullar daromadlilik blokiga </w:t>
      </w:r>
      <w:r>
        <w:rPr/>
        <w:t xml:space="preserve">tayanch vazn</w:t>
      </w:r>
      <w:r>
        <w:t xml:space="preserve">idan yuqori vazn bergan</w:t>
      </w:r>
      <w:r>
        <w:rPr/>
        <w:t xml:space="preserve">i sababli</w:t>
      </w:r>
      <w:r>
        <w:t xml:space="preserve">,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t>bank hajmi va chorak effektlari nazorat qilinganda</w:t>
      </w:r>
      <w:r>
        <w:t xml:space="preserve"> </w:t>
      </w:r>
      <w:r>
        <w:rPr/>
        <w:t xml:space="preserve">boshqa banklarnikidan 0,69 ballga past</w:t>
      </w:r>
      <w:r>
        <w:t xml:space="preserve">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w:t>
      </w:r>
      <w:r>
        <w:rPr/>
        <w:t xml:space="preserve">davlat banklarini boshqa banklardan barqarorroq</w:t>
      </w:r>
      <w:r>
        <w:t xml:space="preserve">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r>
      <w:r>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 xml:space="preserve">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w:t>
      </w:r>
      <w:r>
        <w:rPr/>
        <w:t xml:space="preserve">va guruhlab tahlil tizimlari, risklarni kompleks baholash tizimlari hamda</w:t>
      </w:r>
      <w:r>
        <w:t xml:space="preserve"> statistik bashorat modellariga ajratilgan hamda nazorat organlarining ko‘pchiligi ularni birgalikda qo‘llashi qayd etilgan</w:t>
      </w:r>
      <w:r>
        <w:rPr>
          <w:rStyle w:val="aff8"/>
        </w:rPr>
        <w:footnoteReference w:id="480"/>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1"/>
      </w:r>
      <w:r>
        <w:t xml:space="preserve">. II bob tahlili O‘zbekistonda xuddi shunday muammo </w:t>
      </w:r>
      <w:r>
        <w:rPr/>
        <w:t xml:space="preserve">mavjudligini ko‘rsatdi. Xususan, “Mikrokreditbank” ATB ning</w:t>
      </w:r>
      <w:r>
        <w:t xml:space="preserve">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spacing w:after="0" w:line="360" w:lineRule="auto"/>
        <w:ind w:firstLine="709"/>
        <w:jc w:val="both"/>
      </w:pPr>
      <w:r>
        <w:rPr/>
        <w:t xml:space="preserve">4.1.1-jadvaldan </w:t>
      </w:r>
      <w:r>
        <w:t xml:space="preserve">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2"/>
      </w:r>
      <w:r>
        <w:rPr>
          <w:rStyle w:val="aff8"/>
        </w:rPr>
        <w:footnoteReference w:id="483"/>
      </w:r>
      <w:r>
        <w:t xml:space="preserve">. Ikkinchisi, A. Demirgüç-Kunt va E. Detragiache tomonidan bank inqirozlarini tahlil qilishda qo‘llangan logit </w:t>
      </w:r>
      <w:r>
        <w:lastRenderedPageBreak/>
      </w:r>
      <w:r>
        <w:t>modellar bo‘lib, ular muammo ehtimolini bir nechta omil asosida baholaydi</w:t>
      </w:r>
      <w:r>
        <w:rPr>
          <w:rStyle w:val="aff8"/>
        </w:rPr>
        <w:footnoteReference w:id="484"/>
      </w:r>
      <w:r>
        <w:t>. E. Davis va D. Karim bu ikki yondashuvni solishtirib, logit modellar ko‘p mamlakatli global tizimlar uchun, signallar usuli esa alohida mamlakat uchun qurilgan tizimlarda maqbulroq ekanini ko‘rsatgan</w:t>
      </w:r>
      <w:r>
        <w:rPr>
          <w:rStyle w:val="aff8"/>
        </w:rPr>
        <w:footnoteReference w:id="485"/>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6"/>
      </w:r>
      <w:r>
        <w:t>. Yevropa banklari misolida F. Betz va hammualliflar bank darajasidagi ko‘rsatkichlarni makroiqtisodiy ko‘rsatkichlar bilan birlashtirish bashorat aniqligini oshirishini aniqlagan</w:t>
      </w:r>
      <w:r>
        <w:rPr>
          <w:rStyle w:val="aff8"/>
        </w:rPr>
        <w:footnoteReference w:id="487"/>
      </w:r>
      <w:r>
        <w:t>, L. Chiaramonte va F. Poli esa Z-score muammoga uchragan banklarning 75 foizini to‘g‘ri aniqlashini ko‘rsatgan</w:t>
      </w:r>
      <w:r>
        <w:rPr>
          <w:rStyle w:val="aff8"/>
        </w:rPr>
        <w:footnoteReference w:id="488"/>
      </w:r>
      <w:r>
        <w:t>. Biroq bu natijalar xususiy banklar ustun bo‘lgan bank tizimlarida olingan bo‘lib, davlat ulushi yuqori bo‘lgan tizimda ularning qo‘llanilishi alohida tekshirilishi lozim.</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Yondashuv</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Mohiyati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Afzalligi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Cheklovi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Nazorat reytinglari (CAMELS)</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Joyida tekshiruv natijasida bankka 1–5 ball beriladi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Sifat omillarini, jumladan boshqaruv sifatini hisobga oladi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Tekshiruvlar oralig‘ida eskiradi, bashorat elementi yo‘q</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Signallar usuli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Har bir ko‘rsatkich chegaradan o‘tganda signal beriladi, chegara xatolar nisbati bo‘yicha tanlanadi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Sodda, natijasi oson talqin qilinadi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alohida baholanadi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Statistik bashorat modellari (logit, probit)</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ehtimoli bir nechta ko‘rsatkich orqali baholanadi (AQSh Federal rezerv tizimidagi FIMS modeli)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Ehtimol shaklidagi miqdoriy natija beradi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Bozor va buxgalteriya ko‘rsatkichlari (Z-score)</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va daromadlilikning tebranuvchanlikka nisbati</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Kam ma’lumot talab qiladi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 asosidagi tizim (taklif)</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 qiymatiga qarab bank uch zonadan biriga kiritiladi, har bir zona uchun choralar belgilanadi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Bashorat kuchini bloklar bo‘yicha sabab tahlili bilan birlashtiradi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Chegaralar muntazam qayta tekshirilishi lozim</w:t>
            </w:r>
          </w:p>
        </w:tc>
      </w:tr>
    </w:tbl>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w:t>
      </w:r>
      <w:r>
        <w:rPr/>
        <w:t xml:space="preserve">yo‘qotishi,</w:t>
      </w:r>
      <w:r>
        <w:t xml:space="preserve">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r>
      <w:r>
        <w:t xml:space="preserve">davrda xususiy banklar ham faoliyatni kengaytirish maqsadida kapitalini oshirgan. Hisob-kitoblar 3.3-paragrafda shakllantirilgan 25 ta bank paneli </w:t>
      </w:r>
      <w:r>
        <w:rPr/>
        <w:t xml:space="preserve">va integral indeksning shu panel uchun milliy hisobot ma’lumotlari asosida hisoblanadigan 8 ko‘rsatkichli choraklik varianti (3.2-paragrafda kiritilgan MBII-8) bo‘yicha</w:t>
      </w:r>
      <w:r>
        <w:t xml:space="preserve">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90"/>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Chorak</w:t>
            </w:r>
          </w:p>
        </w:tc>
        <w:tc>
          <w:tcPr>
            <w:tcW w:w="28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Chorak zararining kapitalga nisbati, %</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48,2</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23,0</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8,3</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43,4</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III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w:t>
            </w:r>
          </w:p>
        </w:tc>
      </w:tr>
    </w:tbl>
    <w:p w:rsidR="005603EC" w:rsidRDefault="00AB61AC">
      <w:pPr>
        <w:pStyle w:val="af"/>
        <w:spacing w:after="0" w:line="360" w:lineRule="auto"/>
        <w:ind w:firstLine="709"/>
        <w:jc w:val="both"/>
      </w:pPr>
      <w:r>
        <w:t xml:space="preserve">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w:t>
      </w:r>
      <w:r>
        <w:rPr/>
        <w:t xml:space="preserve">banki”), xususiylashtirilgan “Ipoteka-bank” ATB da va kichik xususiy “Garant bank”</w:t>
      </w:r>
      <w:r>
        <w:t xml:space="preserve">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r>
      <w:r>
        <w:t xml:space="preserve">aniqlanadi. To‘rt chorak muddat nazorat organi va bank rahbariyatiga tuzatish choralarini ko‘rish uchun yetarli vaqtni ta’minlaydi. Tahlil davri </w:t>
      </w:r>
      <w:r>
        <w:rPr/>
        <w:t xml:space="preserve">2021–2025-yillarni qamraydi. Bunda muammo hodisalari</w:t>
      </w:r>
      <w:r>
        <w:t xml:space="preserve">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w:t>
      </w:r>
      <w:r>
        <w:rPr/>
        <w:t xml:space="preserve">foizi,</w:t>
      </w:r>
      <w:r>
        <w:t xml:space="preserve"> muammo hodisasidan oldingi davrga to‘g‘ri keladi. Ko‘rsatkichlarning bashorat kuchi ROC egri chizig‘i ostidagi maydon (AUC) bilan o‘lchandi</w:t>
      </w:r>
      <w:r>
        <w:rPr>
          <w:rStyle w:val="aff8"/>
        </w:rPr>
        <w:footnoteReference w:id="491"/>
      </w:r>
      <w:r>
        <w:t xml:space="preserve">. Bu ko‘rsatkich tasodifiy tanlangan muammoli bankning ko‘rsatkichi tasodifiy tanlangan sog‘lom bankning ko‘rsatkichidan yomonroq bo‘lish </w:t>
      </w:r>
      <w:r>
        <w:rPr/>
        <w:t xml:space="preserve">ehtimolini bildiradi. Bunda 0,5 qiymat</w:t>
      </w:r>
      <w:r>
        <w:t xml:space="preserve"> bashorat kuchi yo‘qligini, 1 esa mukammal bashoratni anglatadi, amaliyotda esa 0,7 dan yuqori qiymat qoniqarli, 0,8 dan yuqorisi esa yaxshi deb hisoblanadi</w:t>
      </w:r>
      <w:r>
        <w:rPr>
          <w:rStyle w:val="aff8"/>
        </w:rPr>
        <w:footnoteReference w:id="492"/>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Kuzatuvlar soni</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Shundan hodisadan oldingi</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AUC</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95 % ishonch oralig‘i</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0,895</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0,81 – 0,96</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MBII-8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0,864</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 – 0,95</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0,862</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 – 0,94</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0,777</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 – 0,86</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0,751</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 – 0,85</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0,579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 – 0,69</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 aktivlar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0,445</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0,34 – 0,55</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ln(Z-score)</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r>
      <w:r>
        <w:t xml:space="preserve">Jadvaldan ko‘rinib turibdiki, integral indeks muammo hodisalarini </w:t>
      </w:r>
      <w:r>
        <w:rPr/>
        <w:t xml:space="preserve">yaxshi bashorat qiladi. Xususan, uning AUC</w:t>
      </w:r>
      <w:r>
        <w:t xml:space="preserve"> qiymati 0,864 ni tashkil etib, ishonch oralig‘ining quyi chegarasi </w:t>
      </w:r>
      <w:r>
        <w:rPr/>
        <w:t xml:space="preserve">(0,76) ham qoniqarli daraja hisoblangan 0,7</w:t>
      </w:r>
      <w:r>
        <w:t xml:space="preserve">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4"/>
      </w:r>
      <w:r>
        <w:t xml:space="preserve">.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w:t>
      </w:r>
      <w:r>
        <w:rPr/>
        <w:t xml:space="preserve">manbaini</w:t>
      </w:r>
      <w:r>
        <w:t xml:space="preserve"> bloklar bo‘yicha ko‘rsatish va bir vaqtning o‘zida daromadlilik va likvidlik holatini hisobga olishdadir. Ko‘rsatkichlarning bashorat kuchidagi farq 4.1.1-rasmda yaqqol ko‘rinadi.</w:t>
      </w:r>
    </w:p>
    <w:p w:rsidR="005603EC" w:rsidRDefault="00AB61AC">
      <w:pPr>
        <w:pStyle w:val="af"/>
        <w:spacing w:after="0" w:line="360" w:lineRule="auto"/>
        <w:ind w:firstLine="709"/>
        <w:jc w:val="both"/>
      </w:pPr>
      <w:r>
        <w:rPr/>
        <w:t xml:space="preserve">4.1.1-rasmdan </w:t>
      </w:r>
      <w:r>
        <w:t xml:space="preserve">ko‘rinib turibdiki, integral indeks va muammoli kreditlar ulushining ROC egri chiziqlari tasodifiy bashorat chizig‘idan ancha yuqorida joylashgan. Masalan, noto‘g‘ri signallar ulushi 10 foiz bo‘lganda integral indeks muammo hodisalarining </w:t>
      </w:r>
      <w:r>
        <w:rPr/>
        <w:t xml:space="preserve">73 foizini</w:t>
      </w:r>
      <w:r>
        <w:t xml:space="preserve"> oldindan aniqlaydi. Z-score ning egri chizig‘i esa tasodifiy bashorat chizig‘i atrofida va ayrim qismlarda undan pastda joylashgan. Bu holatni 3.3-paragrafda aniqlangan </w:t>
      </w:r>
      <w:r>
        <w:rPr/>
        <w:t xml:space="preserve">omil izohlaydi. Gap shundaki, Z-score</w:t>
      </w:r>
      <w:r>
        <w:t xml:space="preserv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5"/>
      </w:r>
      <w:r>
        <w:t xml:space="preserve"> davlat ulushi yuqori bo‘lgan O‘zbekiston bank tizimida tasdiqlanmaydi, bu esa milliy sharoitga moslashtirilgan integral ko‘rsatkichdan foydalanish zarurligini asoslaydi.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342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6"/>
      </w:r>
    </w:p>
    <w:p w:rsidR="005603EC" w:rsidRDefault="00AB61AC">
      <w:pPr>
        <w:pStyle w:val="af"/>
        <w:spacing w:after="0" w:line="360" w:lineRule="auto"/>
        <w:ind w:firstLine="709"/>
        <w:jc w:val="both"/>
      </w:pPr>
      <w:r>
        <w:rPr/>
        <w:t xml:space="preserve">Keyingi bosqichda i</w:t>
      </w:r>
      <w:r>
        <w:t xml:space="preserve">ntegral indeks qiymatini muammo ehtimoliga aylantirish uchun logit modellar baholandi. Logit model bog‘liq o‘zgaruvchi ikki qiymatli bo‘lgan holatda </w:t>
      </w:r>
      <w:r>
        <w:lastRenderedPageBreak/>
      </w:r>
      <w:r>
        <w:t>hodisa ehtimolini omillarning logistik funksiyasi sifatida ifodalaydi</w:t>
      </w:r>
      <w:r>
        <w:rPr>
          <w:rStyle w:val="aff8"/>
        </w:rPr>
        <w:footnoteReference w:id="497"/>
      </w:r>
      <w:r>
        <w:rPr>
          <w:rStyle w:val="aff8"/>
        </w:rPr>
        <w:footnoteReference w:id="498"/>
      </w:r>
      <w:r>
        <w:t xml:space="preserve">. Taqqoslash maqsadida Z-score asosidagi, indeks bloklari asosidagi va davlat </w:t>
      </w:r>
      <w:r>
        <w:rPr/>
        <w:t xml:space="preserve">banklari uchun fiktiv o‘zgaruvchi kiritilgan</w:t>
      </w:r>
      <w:r>
        <w:t xml:space="preserve">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1-model</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2-model</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3-model</w:t>
            </w:r>
          </w:p>
        </w:tc>
        <w:tc>
          <w:tcPr>
            <w:tcW w:w="141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4-model</w:t>
            </w:r>
          </w:p>
        </w:tc>
        <w:tc>
          <w:tcPr>
            <w:tcW w:w="141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5-model</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Konstanta</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9,61*** (3,18)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(2,31)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19,14*** (5,99)</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4,36** (1,92)</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12,29*** (3,99)</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MBII-8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(1,12)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−7,05*** (1,88)</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−4,49*** (1,27)</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ln(Z-score)</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 (0,78)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 (0,53)</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−2,05*** (0,50)</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 (0,34)</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 (0,34)</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(0,79)</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Psevdo-R²</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0,53</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0,35</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AUC</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0,864</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0,581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0,955</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0,911</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w:t>
      </w:r>
      <w:r>
        <w:rPr/>
        <w:t xml:space="preserve">u kiritilgan barcha modellarda (1-, 3- va 5-modellar)</w:t>
      </w:r>
      <w:r>
        <w:t xml:space="preserve">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w:t>
      </w:r>
      <w:r>
        <w:rPr/>
        <w:t xml:space="preserve">qiziqarli natija beradi. Unga ko‘ra, integral indeks</w:t>
      </w:r>
      <w:r>
        <w:t xml:space="preserve"> bir xil bo‘lganda davlat banklarida muammo hodisasi ehtimoli pastroq (koeffitsiyent </w:t>
      </w:r>
      <w:r>
        <w:lastRenderedPageBreak/>
      </w:r>
      <w:r>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spacing w:after="0" w:line="360" w:lineRule="auto"/>
        <w:ind w:firstLine="709"/>
        <w:jc w:val="both"/>
      </w:pPr>
      <w:r>
        <w:rPr/>
        <w:t xml:space="preserve">4.1.2-rasmdan </w:t>
      </w:r>
      <w:r>
        <w:t xml:space="preserve">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w:t>
      </w:r>
      <w:r>
        <w:rPr/>
        <w:t xml:space="preserve">kamida har</w:t>
      </w:r>
      <w:r>
        <w:t xml:space="preserve"> to‘rtinchi bankda bir yil ichida jiddiy zarar kutiladi. Shu sababli erta ogohlantirish tizimining chegaralarini aynan shu ikki nuqta atrofida belgilash maqsadga muvofiq. Chegaralarni aniqlash uchun G. Kaminsky va C. Reinhart</w:t>
      </w:r>
      <w:r>
        <w:rPr/>
        <w:t xml:space="preserve">ning</w:t>
      </w:r>
      <w:r>
        <w:t xml:space="preserve"> signallar usuli qo‘llandi</w:t>
      </w:r>
      <w:r>
        <w:rPr>
          <w:rStyle w:val="aff8"/>
        </w:rPr>
        <w:footnoteReference w:id="500"/>
      </w:r>
      <w:r>
        <w:rPr/>
        <w:t xml:space="preserve">. Bunda har bir chegara uchun ikki turdagi xato</w:t>
      </w:r>
      <w:r>
        <w:t xml:space="preserve"> hisoblandi. I tur xato muammo hodisasidan oldin signal berilmagan holatlar ulushini, II tur xato esa </w:t>
      </w:r>
      <w:r>
        <w:lastRenderedPageBreak/>
      </w:r>
      <w:r>
        <w:t xml:space="preserve">muammo yuz bermagan holatda berilgan noto‘g‘ri signallar ulushini bildiradi (</w:t>
      </w:r>
      <w:r>
        <w:rPr/>
        <w:t xml:space="preserve">4.1.5-jadval, to‘liq jadval 6-ilovada keltirilgan</w:t>
      </w:r>
      <w:r>
        <w:t xml:space="preserve">).</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501"/>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MBII-8</w:t>
            </w:r>
            <w:r>
              <w:rPr>
                <w:rFonts w:ascii="Times New Roman" w:hAnsi="Times New Roman" w:eastAsia="Times New Roman" w:cs="Times New Roman"/>
                <w:b/>
                <w:sz w:val="24"/>
                <w:szCs w:val="24"/>
              </w:rPr>
              <w:t xml:space="preserve"> chegarasi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To‘g‘ri signal</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O‘tkazib yuborilgan hodisa</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Noto‘g‘ri signal</w:t>
            </w:r>
          </w:p>
        </w:tc>
        <w:tc>
          <w:tcPr>
            <w:tcW w:w="130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 tur xato, %</w:t>
            </w:r>
          </w:p>
        </w:tc>
        <w:tc>
          <w:tcPr>
            <w:tcW w:w="130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II tur xato, %</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Shovqin/signal nisbati</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0,23</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47,2</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 xml:space="preserve">Jadvaldan ko‘rinib turibdiki, chegara oshirilishi bilan I tur xato kamayadi, II tur xato esa oshadi, ya’ni nazorat organi ko‘proq muammoni oldindan aniqlaydi, ammo ko‘proq sog‘lom banklarga ham ortiqcha e’tibor qaratadi. Ikki turdagi xatolar yig‘indisini minimallashtiruvchi chegara </w:t>
      </w:r>
      <w:r>
        <w:rPr/>
        <w:t xml:space="preserve">2,85 ballni tashkil etadi. Bunda muammo</w:t>
      </w:r>
      <w:r>
        <w:t xml:space="preserve"> hodisalarining 69 foizi oldindan aniqlanadi, sog‘lom kuzatuvlarning faqat 8,2 foizida noto‘g‘ri signal beriladi, shovqin/signal nisbati esa 0,12 ga teng. </w:t>
      </w:r>
      <w:r>
        <w:rPr/>
        <w:t xml:space="preserve">Jadvaldagi chegaralar ichida 2,75 ballik chegarada shovqin/signal nisbati eng past (0,09), ya’ni signal eng ishonchli bo‘ladi (undan past chegaralarda bu nisbat yanada kamayadi, biroq I tur xato 38 foizdan oshadi – 6-ilova)</w:t>
      </w:r>
      <w:r>
        <w:t xml:space="preserve">.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w:t>
      </w:r>
      <w:r>
        <w:rPr/>
        <w:t xml:space="preserve">maqsadga muvofiq. Jumladan, 3,25 ballik chegara</w:t>
      </w:r>
      <w:r>
        <w:t xml:space="preserve">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w:t>
      </w:r>
      <w:r>
        <w:rPr/>
        <w:t xml:space="preserve">sinov o‘tkazildi. Bunda logit model</w:t>
      </w:r>
      <w:r>
        <w:t xml:space="preserve"> faqat 2021-yil IV choragidan 2022-yil IV choragigacha bo‘lgan 113 ta kuzatuv asosida baholandi va 2023–2024-yillardagi 195 ta kuzatuvga qo‘llandi. Sinov davrida 18 ta kuzatuv muammo hodisasidan oldingi davrga to‘g‘ri </w:t>
      </w:r>
      <w:r>
        <w:lastRenderedPageBreak/>
      </w:r>
      <w:r>
        <w:t xml:space="preserve">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w:t>
      </w:r>
      <w:r>
        <w:rPr/>
        <w:t xml:space="preserve">o‘qitish davri (2021-yil IV choragi – 2022-yil IV choragi)</w:t>
      </w:r>
      <w:r>
        <w:t xml:space="preserve">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 xml:space="preserve">Natijalarning barqarorligi qo‘shimcha ravishda uch yo‘nalishda tekshirildi. Birinchidan, bir bankka tegishli kuzatuvlar o‘zaro bog‘liq </w:t>
      </w:r>
      <w:r>
        <w:rPr/>
        <w:t xml:space="preserve">bo‘lgani va</w:t>
      </w:r>
      <w:r>
        <w:rPr/>
        <w:t xml:space="preserve">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3"/>
      </w:r>
      <w:r>
        <w:rPr/>
        <w:t xml:space="preserve">. Bunda integral indeks AUC qiymatining 95 foizlik ishonch oralig‘i 0,65–0,96 ni tashkil </w:t>
      </w:r>
      <w:r>
        <w:rPr/>
        <w:t xml:space="preserve">etib,</w:t>
      </w:r>
      <w:r>
        <w:rPr/>
        <w:t xml:space="preserve"> kengaydi, biroq quyi chegarasi tasodifiy bashorat darajasidan (0,5) yuqori qoldi. Z-score bilan umumiy kuzatuvlarda integral indeksning ustunligi klasterlangan </w:t>
      </w:r>
      <w:r>
        <w:rPr/>
        <w:t xml:space="preserve">bootstrapda ham tasdiqlandi, chunki AUC farqining</w:t>
      </w:r>
      <w:r>
        <w:rPr/>
        <w:t xml:space="preserve"> ishonch oralig‘i 0,19–0,98 ni tashkil etib, noldan katta. Muammoli kreditlar ulushi bilan farq esa −0,10 dan +0,07 gacha oraliqda bo‘lib, statistik ahamiyatsiz. Ikkinchidan, muammo hodisasining </w:t>
      </w:r>
      <w:r>
        <w:rPr/>
        <w:t xml:space="preserve">muqobil ta’riflari qo‘llandi. Xususan, chorak zararining</w:t>
      </w:r>
      <w:r>
        <w:rPr/>
        <w:t xml:space="preserve">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4"/>
      </w:r>
      <w:r>
        <w:rPr/>
        <w:t xml:space="preserve">. Demak, indeksning bashorat kuchi hodisa ta’rifi va baholash usuliga nisbatan barqaror, Z-score dan ustunligi statistik ahamiyatli, biroq muammoli kreditlar </w:t>
      </w:r>
      <w:r>
        <w:rPr/>
        <w:lastRenderedPageBreak/>
      </w:r>
      <w:r>
        <w:rPr/>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 xml:space="preserve">Integral indeksning erta ogohlantirish signalini qanday berganini tadqiqotning asosiy </w:t>
      </w:r>
      <w:r>
        <w:rPr/>
        <w:t xml:space="preserve">obyektlaridan</w:t>
      </w:r>
      <w:r>
        <w:t xml:space="preserve"> bo‘lgan “Mikrokreditbank” ATB va “O‘zsanoatqurilishbank” ATB misolida ko‘rib chiqish mumkin. Dastlab “Mikrokreditbank” ATB ning integral indeksi dinamikasini ko‘rib chiqamiz (</w:t>
      </w:r>
      <w:r>
        <w:rPr/>
        <w:t xml:space="preserve">4.1.3-rasm; barcha banklar bo‘yicha choraklik indeks qiymatlari 4-ilovada keltirilgan</w:t>
      </w:r>
      <w:r>
        <w:t xml:space="preserve">).</w:t>
      </w:r>
    </w:p>
    <w:p w:rsidR="005603EC" w:rsidRDefault="00AB61AC">
      <w:pPr>
        <w:pStyle w:val="af"/>
        <w:spacing w:after="0" w:line="360" w:lineRule="auto"/>
        <w:ind w:firstLine="709"/>
        <w:jc w:val="both"/>
      </w:pPr>
      <w:r>
        <w:rPr/>
        <w:t xml:space="preserve">4.1.3-rasmdan </w:t>
      </w:r>
      <w:r>
        <w:t xml:space="preserve">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r>
      <w:r>
        <w:t xml:space="preserve">signal bergan. Bu signal bank kapitalining 43 foizini yo‘qotishiga olib kelgan 1 707,7 mlrd so‘mlik chorak zararidan </w:t>
      </w:r>
      <w:r>
        <w:rPr/>
        <w:t>(yillik zarar – 1 703,8 mlrd so‘m) oldin</w:t>
      </w:r>
      <w:r>
        <w:t xml:space="preserve"> berilgan. Zarar va qayta kapitallashtirishdan keyin indeks 2025-yilda 2,90 ballgacha oshib, sariq zonaga o‘tgan. MHXS hisobotlari asosida 3.2-paragrafda hisoblangan indeks </w:t>
      </w:r>
      <w:r>
        <w:rPr/>
        <w:t xml:space="preserve">(MBII-13) esa butun davr mobaynida 2,18–2,47 ball bilan qizil zonada, ya’ni milliy indeksdan 0,4–0,6 ball pastda bo‘lgan (bir xil tarkibdagi MBII-13 bo‘yicha ham farq 0,43–0,66 ballni tashkil etadi, 3.1.3-rasm)</w:t>
      </w:r>
      <w:r>
        <w:t xml:space="preserve">. Bunga aktivlar sifati bloki (1,28–1,53 ball) va daromadlilik bloki (1,00–1,64 ball) sabab bo‘lgan</w:t>
      </w:r>
      <w:r>
        <w:rPr/>
        <w:t xml:space="preserve">.</w:t>
      </w:r>
      <w:r>
        <w:t xml:space="preserve"> II bobda ko‘rsatilganidek, bank MHXS bo‘yicha zararni 2023-yildayoq tan olgan, milliy hisobotda esa u bir yil kechikib, 2024-yilda aks etgan. Demak, MHXS ma’lumotlari asosidagi indeks muammo haqida yanada barqaror va kuchli signal bergan, milliy indeks esa </w:t>
      </w:r>
      <w:r>
        <w:rPr/>
        <w:t xml:space="preserve">2024-yil I choragigacha chegara atrofida tebranib, kuchli signalni faqat zarardan ikki chorak oldin</w:t>
      </w:r>
      <w:r>
        <w:t xml:space="preserve"> bergan. Xuddi shunday manzara 2024-yilda kapitalining 48 foizini yo‘qotgan “Biznesni rivojlantirish banki” </w:t>
      </w:r>
      <w:r>
        <w:rPr/>
        <w:t xml:space="preserve">ATB da ham kuzatilgan. Chunonchi, uning indeksi</w:t>
      </w:r>
      <w:r>
        <w:t xml:space="preserve"> 2023-yil </w:t>
      </w:r>
      <w:r>
        <w:rPr/>
        <w:t xml:space="preserve">II choragidan boshlab qizil zonada bo‘lib, 2023-yil IV choragida 2,44 ballgacha va 2024-yil I choragida 2,20 ballgacha pasaygan, ya’ni har ikki zarardan kamida uch chorak oldin signal bergan</w:t>
      </w:r>
      <w:r>
        <w:t xml:space="preserve">. Shunga o‘xshash signal “Garant bank” ATB da (2024-yil II–III choraklarida 2,55–2,57 ball), “Ipoteka-bank” ATB da (2024-yil III choragida 2,50 ball) va “Xalq banki” ATB da (2022-yilda 2,35–2,51 ball) ham kuzatilgan. Integral indeks </w:t>
      </w:r>
      <w:r>
        <w:rPr/>
        <w:t xml:space="preserve">2022-yilda yashil zonada bo‘lgan xususiy banklardagi (“Anor bank”, “Invest Finance bank”, “Tibisi bank”) hodisalarni oldindan aniqlamagan, ulardan eng yirigi “Tibisi bank” ATB ning zararlaridir (kapitalning 12–15 foizi). O‘sha paytda, ya’ni bank faoliyatining dastlabki bosqichida, yuqori daromadlilik va kam muammoli kreditlar hisobiga uning indeksi 3,83 ballni tashkil etgan, zarar esa yangi bank xarajatlari va kredit portfelining jadal kengayishi bilan bog‘liq bo‘lishi mumkin (2022-yilda bank kreditlari qariyb 4,4 barobar oshgan)</w:t>
      </w:r>
      <w:r>
        <w:t xml:space="preserve">.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 xml:space="preserve">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w:t>
      </w:r>
      <w:r>
        <w:rPr/>
        <w:t xml:space="preserve">(MBII-8) va 3.2-paragrafda MHXS hisobotlari asosida hisoblangan yillik indeks (MBII-13)</w:t>
      </w:r>
      <w:r>
        <w:t xml:space="preserve"> sifatida taqqoslandi (4.1.4-rasm).</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rPr/>
        <w:t xml:space="preserve">4.1.4-rasmdan ko‘rinib</w:t>
      </w:r>
      <w:r>
        <w:t xml:space="preserve"> turibdiki, milliy hisobot ma’lumotlari asosidagi indeks 2021–2025-yillarda 3,17–3,61 ball oralig‘ida bo‘lib, bank asosan yashil </w:t>
      </w:r>
      <w:r>
        <w:rPr/>
        <w:t xml:space="preserve">zonada joylashgan, 2022-yil IV choragidan 2024-yil II choragigacha bo‘lgan davrda esa indeks yashil va sariq zonalar chegarasi atrofida (3,17–3,36 ball) tebrangan</w:t>
      </w:r>
      <w:r>
        <w:t xml:space="preserve">.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w:t>
      </w:r>
      <w:r>
        <w:rPr/>
        <w:t xml:space="preserve">0,45–0,80 ballni tashkil etgan. Bu farqning bir qismi indekslar tarkibidagi farq bilan bog‘liq, chunki milliy hisobot bo‘yicha MBII-8, MHXS bo‘yicha esa MBII-13 qo‘llangan. Bir xil tarkibdagi MBII-13 bo‘yicha farq 0,23–0,46 ballni, jumladan 2025-yilda 0,46 ballni (3,27 va 2,81) tashkil etadi (3.1.3-rasm). Farqning</w:t>
      </w:r>
      <w:r>
        <w:rPr/>
        <w:t xml:space="preserve"> asosiy sababi 2.3-paragrafda aniqlangan </w:t>
      </w:r>
      <w:r>
        <w:rPr/>
        <w:t xml:space="preserve">holat bilan izohlanadi, ya’ni 2025-yil yakunida</w:t>
      </w:r>
      <w:r>
        <w:t xml:space="preserve"> bankning MHXS 9 bo‘yicha 3-bosqich kreditlari ulushi milliy tasnifdagi muammoli kreditlar ulushidan qariyb uch barobar yuqori bo‘lgan. Demak, milliy hisobot ma’lumotlari asosida bank yashil zonada ko‘rinsa-da, xalqaro standartlar </w:t>
      </w:r>
      <w:r>
        <w:lastRenderedPageBreak/>
      </w:r>
      <w:r>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6"/>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spacing w:after="0" w:line="360" w:lineRule="auto"/>
        <w:ind w:firstLine="709"/>
        <w:jc w:val="both"/>
      </w:pPr>
      <w:r>
        <w:rPr/>
        <w:t xml:space="preserve">4.1.6-jadvaldan </w:t>
      </w:r>
      <w:r>
        <w:t xml:space="preserve">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w:t>
      </w:r>
      <w:r>
        <w:rPr/>
        <w:t xml:space="preserve">sinflari bilan muvofiqlashtirilgan. Xususan, yashil zona</w:t>
      </w:r>
      <w:r>
        <w:lastRenderedPageBreak/>
      </w:r>
      <w:r>
        <w:t xml:space="preserve"> I sinfga, sariq </w:t>
      </w:r>
      <w:r>
        <w:rPr/>
        <w:t xml:space="preserve">zona II sinfning yuqori qismiga (2,75–3,25 ball), qizil zona esa II sinfning quyi qismi (2,50–2,75 ball)</w:t>
      </w:r>
      <w:r>
        <w:t xml:space="preserve"> hamda III–IV sinflarga to‘g‘ri keladi. Shu bilan birga, tizim faqat indeks qiymatiga </w:t>
      </w:r>
      <w:r>
        <w:rPr/>
        <w:t xml:space="preserve">tayanmasligi kerak. Shu bois sariq yoki</w:t>
      </w:r>
      <w:r>
        <w:t xml:space="preserve">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Zona</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 qiymati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Bir yil ichida muammo ehtimoli (logit model)</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Tahlil davrida kuzatilgan hodisalar ulushi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Nazorat organining choralari</w:t>
            </w:r>
          </w:p>
        </w:tc>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rahbariyatining choralari</w:t>
            </w:r>
          </w:p>
        </w:tc>
      </w:tr>
      <w:tr w:rsidR="005603EC" w:rsidTr="005603EC">
        <w:trPr>
          <w:cantSplit/>
        </w:trPr>
        <w:tc>
          <w:tcPr>
            <w:tcW w:w="90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 va undan yuqori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5 % dan past</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2,0 % (200 kuzatuvdan 4 tasi)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Odatiy masofaviy monitoring, yiliga bir marta indeks bloklarini tahlil qilish</w:t>
            </w:r>
          </w:p>
        </w:tc>
        <w:tc>
          <w:tcPr>
            <w:tcW w:w="215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Odatiy risklarni boshqarish</w:t>
            </w:r>
          </w:p>
        </w:tc>
      </w:tr>
      <w:tr w:rsidR="005603EC" w:rsidTr="005603EC">
        <w:trPr>
          <w:cantSplit/>
        </w:trPr>
        <w:tc>
          <w:tcPr>
            <w:tcW w:w="90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 – 3,25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5–27 %</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6,8 % (74 kuzatuvdan 5 tasi)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 dan past</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27 % dan yuqori</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50,0 % (34 kuzatuvdan 17 tasi)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w:t>
      </w:r>
      <w:r>
        <w:rPr/>
        <w:t xml:space="preserve">ma’lumotlar asosidagi MBII-8 ga tayanadi, Markaziy bank esa banklarning prudensial hisobotlari asosida uni kapital monandligi, likvidlik, valyuta riski ko‘rsatkichlari va MHXS 9 bo‘yicha kreditlar bosqichlari bilan to‘ldirib, to‘liq MBII-13 ni qo‘llashi</w:t>
      </w:r>
      <w:r>
        <w:t xml:space="preserve"> mumkin.</w:t>
      </w:r>
    </w:p>
    <w:p w:rsidR="005603EC" w:rsidRDefault="00AB61AC">
      <w:pPr>
        <w:pStyle w:val="af"/>
        <w:spacing w:after="0" w:line="360" w:lineRule="auto"/>
        <w:ind w:firstLine="709"/>
        <w:jc w:val="both"/>
      </w:pPr>
      <w:r>
        <w:t xml:space="preserve">Shunday qilib, tahlil natijalari 3.1-paragrafda taklif etilgan integral indeksning </w:t>
      </w:r>
      <w:r>
        <w:rPr/>
        <w:t xml:space="preserve">(ochiq choraklik ma’lumotlar asosidagi MBII-8 varianti) tijorat</w:t>
      </w:r>
      <w:r>
        <w:t xml:space="preserve"> banklarida moliyaviy muammolarni bir yil oldin yuqori aniqlik bilan </w:t>
      </w:r>
      <w:r>
        <w:rPr/>
        <w:t xml:space="preserve">bashorat qilishini ko‘rsatdi. Xususan, uning AUC</w:t>
      </w:r>
      <w:r>
        <w:t xml:space="preserve">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w:t>
      </w:r>
      <w:r>
        <w:rPr/>
        <w:t xml:space="preserve">manbaiga</w:t>
      </w:r>
      <w:r>
        <w:t xml:space="preserve">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8"/>
      </w:r>
      <w:r>
        <w:t>. M. Sorge va K. Virolainen esa makro stress-testlarda kredit riskining makroiqtisodiy omillarga sezgirligini baholovchi “satellit” modellardan foydalanishni asosiy yondashuv sifatida ko‘rsatadi</w:t>
      </w:r>
      <w:r>
        <w:rPr>
          <w:rStyle w:val="aff8"/>
        </w:rPr>
        <w:footnoteReference w:id="509"/>
      </w:r>
      <w:r>
        <w:t xml:space="preserve">. Bazel qo‘mitasining stress-test tamoyillari ham ssenariylar </w:t>
      </w:r>
      <w:r>
        <w:rPr/>
        <w:t xml:space="preserve">yetarlicha </w:t>
      </w:r>
      <w:r>
        <w:rPr/>
        <w:t xml:space="preserve">jiddiy bo‘lishi</w:t>
      </w:r>
      <w:r>
        <w:rPr/>
        <w:t xml:space="preserve">, biroq ehtimoldan yiroq bo‘lmasligi hamda modellar va ularning</w:t>
      </w:r>
      <w:r>
        <w:t xml:space="preserve"> natijalari muntazam tekshirilishi lozimligini talab qiladi</w:t>
      </w:r>
      <w:r>
        <w:rPr>
          <w:rStyle w:val="aff8"/>
        </w:rPr>
        <w:footnoteReference w:id="510"/>
      </w:r>
      <w:r>
        <w:t xml:space="preserve">. O‘zbekistonda esa bu yo‘nalishdagi ilmiy ishlar alohida ko‘rsatkichlarni prognoz qilish </w:t>
      </w:r>
      <w:r>
        <w:rPr/>
        <w:t xml:space="preserve">bilan cheklangan. Masalan, B.T. Berdiyarov</w:t>
      </w:r>
      <w:r>
        <w:t xml:space="preserve"> likvidlik ko‘rsatkichini ARIMA modeli yordamida prognoz qilgan</w:t>
      </w:r>
      <w:r>
        <w:rPr>
          <w:rStyle w:val="aff8"/>
        </w:rPr>
        <w:footnoteReference w:id="511"/>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Ssenariy</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2026-yil</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2027-yil</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2028-yil</w:t>
            </w:r>
          </w:p>
        </w:tc>
        <w:tc>
          <w:tcPr>
            <w:tcW w:w="476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Ssenariyning asosi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2021–2025-yillardagi o‘rtacha o‘sish sur’ati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Ijobiy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Tahlil davridagi eng yuqori o‘sish sur’ati (2021-yil)</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Salbiy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Keskin salbiy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w:t>
      </w:r>
      <w:r>
        <w:rPr/>
        <w:t xml:space="preserve">inflyatsiya,</w:t>
      </w:r>
      <w:r>
        <w:t xml:space="preserve"> alohida modellashtirilmadi, chunki </w:t>
      </w:r>
      <w:r>
        <w:rPr/>
        <w:t xml:space="preserve">asosiy stavka va inflyatsiya YaIM o‘sishi bilan kuchli bog‘langan (korrelyatsiya koeffitsiyenti mos ravishda −0,76 va −0,68), 3.3-paragrafda esa asosiy stavkaning ta’siri faqat 5–10 foiz darajada, so‘m kursiniki faqat Pooled modelda ahamiyatli, inflyatsiyaniki esa ahamiyatsiz</w:t>
      </w:r>
      <w:r>
        <w:rPr/>
        <w:t xml:space="preserve"> bo‘lgan</w:t>
      </w:r>
      <w:r>
        <w:rPr/>
        <w:t xml:space="preserve">. S</w:t>
      </w:r>
      <w:r>
        <w:rPr/>
        <w:t xml:space="preserve">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w:t>
      </w:r>
      <w:r>
        <w:rPr/>
        <w:t xml:space="preserve">. Biroq</w:t>
      </w:r>
      <w:r>
        <w:t xml:space="preserve"> 2020-yil ko‘rsatkichlari tahlil va xulosalarda qo‘llanmaydi. Ma’lumotlarga ko‘ra, 2020-yilda YaIM o‘sish sur’ati yil boshidan 0,0–1,6 foizgacha pasaygan bo‘lsa-da, muammoli kreditlar ulushi 2,1–2,8 foiz </w:t>
      </w:r>
      <w:r>
        <w:lastRenderedPageBreak/>
      </w:r>
      <w:r>
        <w:t>darajasida saqlangan, 2021-yilda esa 5,7 foizgacha oshgan</w:t>
      </w:r>
      <w:r>
        <w:rPr>
          <w:rStyle w:val="aff8"/>
        </w:rPr>
        <w:footnoteReference w:id="513"/>
      </w:r>
      <w:r>
        <w:t xml:space="preserve">. Bu kreditlar bo‘yicha to‘lovlarni kechiktirish choralari tugaganidan keyin yashirin muammolar yuzaga chiqqanini ko‘rsatadi. YaIM o‘sishining turli laglari bilan baholangan modellar ichida eng yaxshi natijani to‘rt chorak </w:t>
      </w:r>
      <w:r>
        <w:rPr/>
        <w:t xml:space="preserve">lagli model bergan. Xususan, uning Akaike</w:t>
      </w:r>
      <w:r>
        <w:t xml:space="preserve"> axborot mezoni eng past (33,3), YaIM koeffitsiyenti esa 1 foiz darajada ahamiyatli. Lagsiz modelda esa YaIM koeffitsiyenti ahamiyatsiz va hatto musbat. </w:t>
      </w:r>
      <w:r>
        <w:rPr/>
        <w:t xml:space="preserve">Muammoli kreditlar ulushi va to‘rt chorak oldingi YaIM o‘sishi o‘rtasidagi bog‘liqlik 4.2.1-rasmda keltirilgan.</w:t>
      </w:r>
    </w:p>
    <w:p>
      <w:pPr>
        <w:pStyle w:val="af"/>
        <w:keepNext/>
        <w:spacing w:after="0" w:line="240" w:lineRule="auto"/>
        <w:jc w:val="center"/>
      </w:pPr>
      <w:r xmlns:a="http://schemas.openxmlformats.org/drawingml/2006/main" xmlns:c="http://schemas.openxmlformats.org/drawingml/2006/chart">
        <w:rPr>
          <w:noProof/>
        </w:rPr>
        <w:drawing>
          <wp:inline distT="0" distB="0" distL="0" distR="0">
            <wp:extent cx="5760000" cy="3240000"/>
            <wp:effectExtent l="0" t="0" r="0" b="0"/>
            <wp:docPr id="9701" name="4.2.1-rasm"/>
            <wp:cNvGraphicFramePr/>
            <a:graphic>
              <a:graphicData uri="http://schemas.openxmlformats.org/drawingml/2006/chart">
                <c:chart r:id="rId34"/>
              </a:graphicData>
            </a:graphic>
          </wp:inline>
        </w:drawing>
      </w:r>
    </w:p>
    <w:p w:rsidR="005603EC" w:rsidRDefault="00AB61AC">
      <w:pPr>
        <w:pStyle w:val="af"/>
        <w:spacing w:line="240" w:lineRule="auto"/>
        <w:jc w:val="both"/>
      </w:pPr>
      <w:r>
        <w:rPr>
          <w:sz w:val="24"/>
        </w:rPr>
        <w:t xml:space="preserve">Izoh: har bir nuqta – bir chorak; regressiya chizig‘i y = 5,14 − 0,172x (R² = 0,28, n = 20); oldingi chorak darajasi hisobga olingan baho (−0,151) 4.2.2-jadvalda.</w:t>
      </w:r>
    </w:p>
    <w:p w:rsidR="005603EC" w:rsidRDefault="00AB61AC">
      <w:pPr>
        <w:pStyle w:val="af"/>
        <w:spacing w:before="120" w:after="240" w:line="240" w:lineRule="auto"/>
        <w:jc w:val="center"/>
      </w:pPr>
      <w:r>
        <w:rPr>
          <w:b/>
        </w:rPr>
        <w:t xml:space="preserve">4.2.1-rasm. Muammoli kreditlar ulushi va to‘rt chorak oldingi YaIM o‘sish sur’ati o‘rtasidagi bog‘liqlik, 2021–2025-yillar</w:t>
      </w:r>
      <w:r>
        <w:rPr>
          <w:rStyle w:val="aff8"/>
        </w:rPr>
        <w:footnoteReference w:id="514"/>
      </w:r>
    </w:p>
    <w:p w:rsidR="005603EC" w:rsidRDefault="00AB61AC">
      <w:pPr>
        <w:pStyle w:val="af"/>
        <w:spacing w:after="0" w:line="360" w:lineRule="auto"/>
        <w:ind w:firstLine="709"/>
        <w:jc w:val="both"/>
      </w:pPr>
      <w:r>
        <w:rPr/>
        <w:t xml:space="preserve">Rasmdan ko‘rinib turibdiki, nuqtalar manfiy qiyalikka ega regressiya chizig‘i atrofida joylashgan, ya’ni YaIM o‘sishi sekinlashgan davrdan to‘rt chorak o‘tib muammoli kreditlar ulushi oshadi. Ikki ko‘rsatkich o‘rtasidagi korrelyatsiya koeffitsiyenti −0,53 ga teng bo‘lib, YaIM o‘sishining 1 foiz punktga sekinlashuvi muammoli kreditlar ulushini o‘rtacha 0,17 foiz punktga oshiradi. Eng yuqori qiymatlar 2020-yildagi pandemiya shokidan keyingi 2021-yil choraklariga to‘g‘ri keladi. Shu bilan birga, nuqtalarning chiziqdan sezilarli og‘ishi muammoli kreditlar darajasiga YaIM o‘sishidan tashqari boshqa omillar ham ta’sir qilishini ko‘rsatadi, shu sababli tizim darajasidagi modelga muammoli kreditlar ulushining oldingi chorakdagi qiymati ham kiritildi.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1-model: tizim, muammoli kreditlar ulushi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2-model: bank paneli, muammoli kreditlar ulushi</w:t>
            </w:r>
          </w:p>
        </w:tc>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3-model: bank paneli, ROA</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(t−1)</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0,494*** (0,134)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0,684*** (0,100)</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(t−4)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−0,151*** (0,059)</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−0,153** (0,060)</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−0,201*** (0,076)</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Konstanta</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2,983*** (0,874)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2,049*** (0,536)</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3,353*** (0,266)</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effektlari</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2021-y. I chorak – 2025-y. IV chorak (YaIM laglari 2020-yildan)</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2021-y. IV chorak – 2025-y. IV chorak</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2022-y. I</w:t>
            </w:r>
            <w:r>
              <w:rPr>
                <w:rFonts w:ascii="Times New Roman" w:hAnsi="Times New Roman" w:eastAsia="Times New Roman" w:cs="Times New Roman"/>
                <w:sz w:val="24"/>
                <w:szCs w:val="24"/>
              </w:rPr>
              <w:t xml:space="preserve"> chorak – 2025-y. IV chorak</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420</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r>
      <w:tr w:rsidR="005603EC" w:rsidTr="005603EC">
        <w:trPr>
          <w:cantSplit/>
        </w:trPr>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0,59</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 (bank ichidagi)</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 (bank ichidagi)</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o‘sishining 1 foiz punktga barqaror pasayishining uzoq muddatli ta’siri, foiz punkt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0,48</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bl>
    <w:p w:rsidR="005603EC" w:rsidRDefault="00AB61AC">
      <w:pPr>
        <w:pStyle w:val="af"/>
        <w:spacing w:line="240" w:lineRule="auto"/>
        <w:jc w:val="both"/>
      </w:pPr>
      <w:r>
        <w:rPr>
          <w:sz w:val="24"/>
        </w:rPr>
        <w:t xml:space="preserve">Izoh: qavs ichida standart xatolar (1-modelda – Newey–West, 2- va 3-modellarda – bank bo‘yicha klasterlangan); ***, **, * – koeffitsiyent mos ravishda 1, 5 va 10 foiz darajada statistik </w:t>
      </w:r>
      <w:r>
        <w:rPr>
          <w:sz w:val="24"/>
        </w:rPr>
        <w:t xml:space="preserve">ahamiyatli. 3-modelda choraklik ROA oldingi chorak ma’lumotini talab qilgani sababli kuzatuvlar 2022-yil I choragidan boshlanadi.</w:t>
      </w:r>
    </w:p>
    <w:p w:rsidR="005603EC" w:rsidRDefault="00AB61AC">
      <w:pPr>
        <w:pStyle w:val="af"/>
        <w:spacing w:after="0" w:line="360" w:lineRule="auto"/>
        <w:ind w:firstLine="709"/>
        <w:jc w:val="both"/>
      </w:pPr>
      <w:r>
        <w:lastRenderedPageBreak/>
      </w:r>
      <w:r>
        <w:t xml:space="preserve">Jadvaldan ko‘rinib turibdiki, ikki mustaqil yondashuv YaIM o‘sishining kredit riskiga ta’siri bo‘yicha deyarli </w:t>
      </w:r>
      <w:r>
        <w:rPr/>
        <w:t xml:space="preserve">bir xil natija bergan. Jumladan, tizim darajasidagi</w:t>
      </w:r>
      <w:r>
        <w:t xml:space="preserve"> modelda YaIM o‘sish sur’atining 1 foiz punktga pasayishi muammoli kreditlar ulushini to‘rt chorakdan keyin 0,151 foiz punktga, 25 ta bank paneli asosidagi modelda esa </w:t>
      </w:r>
      <w:r>
        <w:rPr/>
        <w:t xml:space="preserve">shu chorakning o‘zida 0,153 foiz punktga oshiradi. Laglar tuzilishi farq qilsa-da, koeffitsiyentlarning yaqinligi bahoning barqarorligini ko‘rsatadi. </w:t>
      </w:r>
      <w:r>
        <w:rPr/>
        <w:t xml:space="preserve">Ta’kidlash joizki, 3</w:t>
      </w:r>
      <w:r>
        <w:rPr/>
        <w:t xml:space="preserve">.3-paragrafdagi satellit modelda olingan ancha yuqori baho (1,4–1,9 foiz punkt) faqat sakkiz chorakni va o‘zaro kuchli bog‘langan makroiqtisodiy omillarni qamragani sababli prognozda qo‘llanmadi</w:t>
      </w:r>
      <w:r>
        <w:t xml:space="preserve">. Muammoli kreditlar ulushi sezilarli inersiyaga ega (0,49–0,68), shu sababli shokning ta’siri bir necha chorak </w:t>
      </w:r>
      <w:r>
        <w:rPr/>
        <w:t xml:space="preserve">davomida saqlanadi. Natijada YaIM o‘sishining</w:t>
      </w:r>
      <w:r>
        <w:t xml:space="preserve"> 1 foiz punktga barqaror pasayishi uzoq muddatda muammoli kreditlar ulushini 0,30–0,48 foiz punktga oshiradi. Uchinchi model kredit riskining daromadlilikka </w:t>
      </w:r>
      <w:r>
        <w:rPr/>
        <w:t xml:space="preserve">ta’sirini baholaydi. Unga ko‘ra, muammoli kreditlar</w:t>
      </w:r>
      <w:r>
        <w:t xml:space="preserve">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6"/>
      </w:r>
      <w:r>
        <w:rPr>
          <w:rStyle w:val="aff8"/>
        </w:rPr>
        <w:footnoteReference w:id="517"/>
      </w:r>
      <w:r>
        <w:t>. Buning sababi 2.3-paragrafda aniqlangan holat bo‘lib, milliy tasnif qayta tuzilgan va muddati uzaytirilgan kreditlarni muammoli deb tan olmaydi, natijada kredit riskining bir qismi milliy ko‘rsatkichda aks etmaydi.</w:t>
      </w:r>
      <w:r>
        <w:rPr/>
        <w:t xml:space="preserve"> Kredit riski va daromadlilik o‘rtasidagi bog‘liqlik bank darajasida 4.2.2-rasmda keltirilgan.</w:t>
      </w:r>
    </w:p>
    <w:p w:rsidR="005603EC" w:rsidRDefault="00AB61AC">
      <w:pPr>
        <w:pStyle w:val="af"/>
        <w:spacing w:after="0" w:line="360" w:lineRule="auto"/>
        <w:ind w:firstLine="709"/>
        <w:jc w:val="both"/>
      </w:pPr>
      <w:r>
        <w:rPr/>
        <w:t xml:space="preserve">4.2.2-rasmdan </w:t>
      </w:r>
      <w:r>
        <w:rPr/>
        <w:t xml:space="preserve">ko‘rinib turibdiki, nuqtalar keng sochilgan bo‘lsa-da, muammoli kreditlar ulushi yuqori bo‘lgan kuzatuvlarda aktivlar rentabelligi past (korrelyatsiya koeffitsiyenti −0,46). Xususan, muammoli kreditlar ulushi 6 foizdan yuqori bo‘lgan 46 ta kuzatuvda aktivlar rentabelligi o‘rtacha −0,05 foizni, 3 foizdan past bo‘lgan 210 ta kuzatuvda esa 3,78 foizni tashkil etgan. Davlat ulushi mavjud banklarning nuqtalari asosan rasmning o‘ng-pastki qismida joylashgan, ya’ni ularda muammoli kreditlar ulushi o‘rtacha 4,59 foiz, aktivlar rentabelligi esa 0,81 foiz bo‘lgan, boshqa banklarda bu ko‘rsatkichlar mos ravishda 2,83 va 3,76 foizni tashkil etgan. Barcha kuzatuvlar bo‘yicha regressiya chizig‘ining qiyaligi (−0,49) 3-modeldagi bahodan (−0,20) yuqori, chunki u banklar o‘rtasidagi doimiy farqlarni ham o‘z ichiga oladi. Shu sababli prognozda har bir bankning o‘ziga xos xususiyatlari hisobga olingan 3-model bahosi qo‘llandi.</w:t>
      </w:r>
    </w:p>
    <w:p>
      <w:pPr>
        <w:pStyle w:val="af"/>
        <w:keepNext/>
        <w:spacing w:after="0" w:line="240" w:lineRule="auto"/>
        <w:jc w:val="center"/>
      </w:pPr>
      <w:r xmlns:a="http://schemas.openxmlformats.org/drawingml/2006/main" xmlns:c="http://schemas.openxmlformats.org/drawingml/2006/chart">
        <w:rPr>
          <w:noProof/>
        </w:rPr>
        <w:drawing>
          <wp:inline distT="0" distB="0" distL="0" distR="0">
            <wp:extent cx="5760000" cy="3240000"/>
            <wp:effectExtent l="0" t="0" r="0" b="0"/>
            <wp:docPr id="9702" name="4.2.2-rasm"/>
            <wp:cNvGraphicFramePr/>
            <a:graphic>
              <a:graphicData uri="http://schemas.openxmlformats.org/drawingml/2006/chart">
                <c:chart r:id="rId52"/>
              </a:graphicData>
            </a:graphic>
          </wp:inline>
        </w:drawing>
      </w:r>
    </w:p>
    <w:p w:rsidR="005603EC" w:rsidRDefault="00AB61AC">
      <w:pPr>
        <w:pStyle w:val="af"/>
        <w:spacing w:line="240" w:lineRule="auto"/>
        <w:jc w:val="both"/>
      </w:pPr>
      <w:r>
        <w:rPr>
          <w:sz w:val="24"/>
        </w:rPr>
        <w:t xml:space="preserve">Izoh: har bir nuqta – bir bankning bir choragi; ko‘rsatkichlar 1 va 99 foizlik chegaralarda vinzorlangan; regressiya chizig‘i barcha kuzatuvlar bo‘yicha y = 4,35 − 0,49x (R² = 0,21); bank effektlari hisobga olingan baho (−0,201) 4.2.2-jadvalda.</w:t>
      </w:r>
    </w:p>
    <w:p w:rsidR="005603EC" w:rsidRDefault="00AB61AC">
      <w:pPr>
        <w:pStyle w:val="af"/>
        <w:spacing w:before="120" w:after="240" w:line="240" w:lineRule="auto"/>
        <w:jc w:val="center"/>
      </w:pPr>
      <w:r>
        <w:rPr>
          <w:b/>
        </w:rPr>
        <w:t xml:space="preserve">4.2.2-rasm. Tanlangan 25 ta bankda muammoli kreditlar ulushi va aktivlar rentabelligi o‘rtasidagi bog‘liqlik, 2022–2025-yillar</w:t>
      </w:r>
      <w:r>
        <w:rPr>
          <w:rStyle w:val="aff8"/>
        </w:rPr>
        <w:footnoteReference w:id="518"/>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r>
      <w:r>
        <w:t xml:space="preserve">esa bankning zaxiralar bilan qoplanish darajasini hisobga olgan holda hisoblandi. To‘rtinchidan, qolgan ko‘rsatkichlar 2025-yil oxiridagi darajada saqlangan holda har bir bank uchun panel integral indeksi </w:t>
      </w:r>
      <w:r>
        <w:rPr/>
        <w:t xml:space="preserve">(MBII-8) va</w:t>
      </w:r>
      <w:r>
        <w:t xml:space="preserve"> 4.1-paragrafdagi erta ogohlantirish zonasi aniqlandi. Prognoz qilishdan oldin usulning ishonchliligi orqaga tekshiruv orqali </w:t>
      </w:r>
      <w:r>
        <w:rPr/>
        <w:t xml:space="preserve">sinovdan o‘tkazildi. Bunda model ketma-ket</w:t>
      </w:r>
      <w:r>
        <w:t xml:space="preserve">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Prognoz qilingan yil</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Haqiqiy qiymat (I–IV chorak), %</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etilgan usul bo‘yicha prognoz, %</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 xato: taklif etilgan usul</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 xato: o‘zgarishsiz holat</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 xato: o‘rtachaga qaytuvchi model</w:t>
            </w:r>
          </w:p>
        </w:tc>
      </w:tr>
      <w:tr w:rsidR="005603EC" w:rsidTr="005603EC">
        <w:trPr>
          <w:cantSplit/>
        </w:trPr>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2023</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 3,38; 3,73; 3,53</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 3,84; 3,77; 3,65</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0,21</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1,08</w:t>
            </w:r>
          </w:p>
        </w:tc>
      </w:tr>
      <w:tr w:rsidR="005603EC" w:rsidTr="005603EC">
        <w:trPr>
          <w:cantSplit/>
        </w:trPr>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4,52; 4,05; 4,18; 3,97</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 3,40; 3,43; 3,48</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0,73</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0,65</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0,33</w:t>
            </w:r>
          </w:p>
        </w:tc>
      </w:tr>
      <w:tr w:rsidR="005603EC" w:rsidTr="005603EC">
        <w:trPr>
          <w:cantSplit/>
        </w:trPr>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2025</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4,26; 3,80; 3,65; 2,99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 3,98; 3,99; 3,98</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t>o‘rtachaga qaytuvchi modelga nisbatan barqarorroq: 2023-yil uchun uning xatosi 0,21, o‘rtachaga qaytuvchi modelniki esa 1,08 foiz punktga teng, biroq 2024-yilda o‘rtachaga qaytuvchi model aniqroq bo‘lgan (0,73 ga nisbatan 0,33)</w:t>
      </w:r>
      <w:r>
        <w:t xml:space="preserve">. </w:t>
      </w:r>
      <w:r>
        <w:rPr/>
        <w:t xml:space="preserve">Shu bilan birga,</w:t>
      </w:r>
      <w:r>
        <w:t xml:space="preserve"> taklif etilgan usul o‘zgarishsiz holat prognozidan </w:t>
      </w:r>
      <w:r>
        <w:rPr/>
        <w:t xml:space="preserve">aniqroq emas, chunki 2023 va 2024-yillarda uning xatosi biroz yuqori (0,21 va 0,73 ga nisbatan 0,12 va 0,65), 2025-yilda esa teng bo‘lgan</w:t>
      </w:r>
      <w:r>
        <w:t xml:space="preserve">. Bank darajasida ham 2025-yil uchun prognoz qilingan integral indeks bo‘yicha erta ogohlantirish zonasi 25 ta bankdan 19 tasida to‘g‘ri aniqlangan, indeksning o‘rtacha xatosi esa 0,21 ballni tashkil </w:t>
      </w:r>
      <w:r>
        <w:rPr/>
        <w:t xml:space="preserve">etgan, biroq o‘zgarishsiz holat prognozi ham xuddi shunday natija beradi (19 ta bank, 0,21 ball)</w:t>
      </w:r>
      <w:r>
        <w:t xml:space="preserve">. Bu natija 2021–2025-yillarda muammoli kreditlar darajasi asosan makroiqtisodiy omillar bilan emas, balki hisobdan chiqarish, qayta tuzish va qayta kapitallashtirish kabi bank </w:t>
      </w:r>
      <w:r>
        <w:lastRenderedPageBreak/>
      </w:r>
      <w:r>
        <w:t xml:space="preserve">darajasidagi qarorlar bilan belgilanganini ko‘rsatadi. Demak, ishlab chiqilgan model muammoli kreditlarning aniq darajasini bashorat qilish uchun emas, balki makroiqtisodiy shokning ta’sirini baholash, ya’ni stress-test uchun mo‘ljallangan</w:t>
      </w:r>
      <w:r>
        <w:rPr/>
        <w:t xml:space="preserve">.</w:t>
      </w:r>
      <w:r>
        <w:t xml:space="preserve"> Bazel qo‘mitasining tamoyillari ham stress-test natijalarini aynan shu ma’noda talqin qilishni tavsiya etadi</w:t>
      </w:r>
      <w:r>
        <w:rPr>
          <w:rStyle w:val="aff8"/>
        </w:rPr>
        <w:footnoteReference w:id="520"/>
      </w:r>
      <w:r>
        <w:t xml:space="preserve">. Bank tizimida muammoli kreditlar ulushining ssenariylar bo‘yicha prognozi </w:t>
      </w:r>
      <w:r>
        <w:rPr/>
        <w:t xml:space="preserve">4.2.3-rasm</w:t>
      </w:r>
      <w:r>
        <w:t xml:space="preserve">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 xml:space="preserve">4.2.3-rasm</w:t>
      </w:r>
      <w:r>
        <w:rPr>
          <w:b/>
        </w:rPr>
        <w:t xml:space="preserve">. Bank tizimida muammoli kreditlar ulushining haqiqiy dinamikasi (2021–2025-yillar) va ssenariylar bo‘yicha prognozi (2026–2028-yillar), %</w:t>
      </w:r>
      <w:r>
        <w:rPr>
          <w:rStyle w:val="aff8"/>
        </w:rPr>
        <w:footnoteReference w:id="521"/>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w:t>
      </w:r>
      <w:r>
        <w:rPr/>
        <w:t xml:space="preserve">mos ravishda 2023–2024-yillardagi va 2022-yildagi</w:t>
      </w:r>
      <w:r>
        <w:t xml:space="preserve"> darajaga to‘g‘ri keladi. </w:t>
      </w:r>
      <w:r>
        <w:lastRenderedPageBreak/>
      </w:r>
      <w:r>
        <w:t xml:space="preserve">2028-yilda iqtisodiy o‘sish tiklanishi bilan muammoli kreditlar ulushi 3,7 foizgacha pasaya boshlaydi. </w:t>
      </w:r>
      <w:r>
        <w:rPr/>
        <w:t xml:space="preserve">Tizim darajasidagi prognoz har bir tijorat bankiga qo‘llanilganda ssenariylarning ta’siri banklar kesimida turlicha namoyon bo‘ladi. Ikkinchi bobda batafsil tahlil qilingan uch bank bo‘yicha natijalar 4.2.4-rasmda keltirilgan.</w:t>
      </w:r>
    </w:p>
    <w:p w:rsidR="005603EC" w:rsidRDefault="00AB61AC">
      <w:pPr>
        <w:pStyle w:val="af"/>
        <w:keepNext/>
        <w:spacing w:before="0" w:after="0" w:line="240" w:lineRule="auto"/>
        <w:jc w:val="center"/>
      </w:pPr>
      <w:r>
        <w:rPr>
          <w:b/>
          <w:sz w:val="24"/>
        </w:rPr>
        <w:t xml:space="preserve">a) “O‘zsanoatqurilishbank” ATB</w:t>
      </w:r>
    </w:p>
    <w:p>
      <w:pPr>
        <w:pStyle w:val="af"/>
        <w:keepNext/>
        <w:spacing w:after="0" w:line="240" w:lineRule="auto"/>
        <w:jc w:val="center"/>
      </w:pPr>
      <w:r xmlns:a="http://schemas.openxmlformats.org/drawingml/2006/main" xmlns:c="http://schemas.openxmlformats.org/drawingml/2006/chart">
        <w:rPr>
          <w:noProof/>
        </w:rPr>
        <w:drawing>
          <wp:inline distT="0" distB="0" distL="0" distR="0">
            <wp:extent cx="5760000" cy="1800000"/>
            <wp:effectExtent l="0" t="0" r="0" b="0"/>
            <wp:docPr id="9801" name="4.2.4-rasm a"/>
            <wp:cNvGraphicFramePr/>
            <a:graphic>
              <a:graphicData uri="http://schemas.openxmlformats.org/drawingml/2006/chart">
                <c:chart r:id="rId53"/>
              </a:graphicData>
            </a:graphic>
          </wp:inline>
        </w:drawing>
      </w:r>
    </w:p>
    <w:p w:rsidR="005603EC" w:rsidRDefault="00AB61AC">
      <w:pPr>
        <w:pStyle w:val="af"/>
        <w:keepNext/>
        <w:spacing w:before="0" w:after="0" w:line="240" w:lineRule="auto"/>
        <w:jc w:val="center"/>
      </w:pPr>
      <w:r>
        <w:rPr>
          <w:b/>
          <w:sz w:val="24"/>
        </w:rPr>
        <w:t xml:space="preserve">b) “Mikrokreditbank” ATB</w:t>
      </w:r>
    </w:p>
    <w:p>
      <w:pPr>
        <w:pStyle w:val="af"/>
        <w:keepNext/>
        <w:spacing w:after="0" w:line="240" w:lineRule="auto"/>
        <w:jc w:val="center"/>
      </w:pPr>
      <w:r xmlns:a="http://schemas.openxmlformats.org/drawingml/2006/main" xmlns:c="http://schemas.openxmlformats.org/drawingml/2006/chart">
        <w:rPr>
          <w:noProof/>
        </w:rPr>
        <w:drawing>
          <wp:inline distT="0" distB="0" distL="0" distR="0">
            <wp:extent cx="5760000" cy="1800000"/>
            <wp:effectExtent l="0" t="0" r="0" b="0"/>
            <wp:docPr id="9802" name="4.2.4-rasm b"/>
            <wp:cNvGraphicFramePr/>
            <a:graphic>
              <a:graphicData uri="http://schemas.openxmlformats.org/drawingml/2006/chart">
                <c:chart r:id="rId54"/>
              </a:graphicData>
            </a:graphic>
          </wp:inline>
        </w:drawing>
      </w:r>
    </w:p>
    <w:p w:rsidR="005603EC" w:rsidRDefault="00AB61AC">
      <w:pPr>
        <w:pStyle w:val="af"/>
        <w:keepNext/>
        <w:spacing w:before="0" w:after="0" w:line="240" w:lineRule="auto"/>
        <w:jc w:val="center"/>
      </w:pPr>
      <w:r>
        <w:rPr>
          <w:b/>
          <w:sz w:val="24"/>
        </w:rPr>
        <w:t xml:space="preserve">v) “Aloqabank” ATB</w:t>
      </w:r>
    </w:p>
    <w:p>
      <w:pPr>
        <w:pStyle w:val="af"/>
        <w:keepNext/>
        <w:spacing w:after="0" w:line="240" w:lineRule="auto"/>
        <w:jc w:val="center"/>
      </w:pPr>
      <w:r xmlns:a="http://schemas.openxmlformats.org/drawingml/2006/main" xmlns:c="http://schemas.openxmlformats.org/drawingml/2006/chart">
        <w:rPr>
          <w:noProof/>
        </w:rPr>
        <w:drawing>
          <wp:inline distT="0" distB="0" distL="0" distR="0">
            <wp:extent cx="5760000" cy="2376000"/>
            <wp:effectExtent l="0" t="0" r="0" b="0"/>
            <wp:docPr id="9803" name="4.2.4-rasm v"/>
            <wp:cNvGraphicFramePr/>
            <a:graphic>
              <a:graphicData uri="http://schemas.openxmlformats.org/drawingml/2006/chart">
                <c:chart r:id="rId55"/>
              </a:graphicData>
            </a:graphic>
          </wp:inline>
        </w:drawing>
      </w:r>
    </w:p>
    <w:p w:rsidR="005603EC" w:rsidRDefault="00AB61AC">
      <w:pPr>
        <w:pStyle w:val="af"/>
        <w:spacing w:line="240" w:lineRule="auto"/>
        <w:jc w:val="both"/>
      </w:pPr>
      <w:r>
        <w:rPr>
          <w:sz w:val="24"/>
        </w:rPr>
        <w:t xml:space="preserve">Izoh: haqiqiy qiymatlar – choraklik, milliy hisobot; prognoz – tizim modeli (4.2.2-jadval, 1-model) bo‘yicha og‘ishning bankning 2025-yil IV choragidagi muammoli kreditlar ulushiga proporsional taqsimlanishi.</w:t>
      </w:r>
    </w:p>
    <w:p w:rsidR="005603EC" w:rsidRDefault="00AB61AC">
      <w:pPr>
        <w:pStyle w:val="af"/>
        <w:spacing w:before="120" w:after="240" w:line="240" w:lineRule="auto"/>
        <w:jc w:val="center"/>
      </w:pPr>
      <w:r>
        <w:rPr>
          <w:b/>
        </w:rPr>
        <w:t xml:space="preserve">4.2.4-rasm. Tanlangan tijorat banklarida muammoli kreditlar ulushining haqiqiy dinamikasi (2021–2025-yillar) va ssenariylar bo‘yicha prognozi (2026–2028-yillar), %</w:t>
      </w:r>
      <w:r>
        <w:rPr>
          <w:rStyle w:val="aff8"/>
        </w:rPr>
        <w:footnoteReference w:id="522"/>
      </w:r>
    </w:p>
    <w:p w:rsidR="005603EC" w:rsidRDefault="00AB61AC">
      <w:pPr>
        <w:pStyle w:val="af"/>
        <w:spacing w:after="0" w:line="360" w:lineRule="auto"/>
        <w:ind w:firstLine="709"/>
        <w:jc w:val="both"/>
      </w:pPr>
      <w:r>
        <w:rPr/>
        <w:t xml:space="preserve">Rasmdan ko‘rinib turibdiki, “O‘zsanoatqurilishbank” va “Aloqabank” ATBlarda muammoli kreditlar ulushi 2025-yil oxirida deyarli bir xil (2,53 va 2,54 foiz) bo‘lib, keskin salbiy ssenariyda 2027-yil oxirida 3,99–4,00 foizgacha oshadi, ya’ni 5 foizlik erta ogohlantirish chegarasidan past qoladi. “Mikrokreditbank” ATB da esa ulush 2025-yilning o‘zida 4,41 foizni tashkil etib, salbiy ssenariyda 5,74 foizga, keskin salbiy ssenariyda 6,95 foizga yetadi va chegaradan sezilarli oshadi. Asosiy va ijobiy ssenariylarda esa uch bankning birortasida ham ulush 5 foizdan oshmaydi. Demak, bir xil makroiqtisodiy shok kredit portfeli sifati past bo‘lgan bankda ancha kuchli ta’sir ko‘rsatadi.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2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2028</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2028</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2028</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2028</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2,86</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4,63</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 medianasi, ball</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 soni: yashil / sariq / qizil zona</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 9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10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10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 / 8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 / 7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 / 9 / 2</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9 / 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 9 / 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8 / 2</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 zonadagi banklar aktivlari ulushi, %</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24,3</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r>
    </w:tbl>
    <w:p w:rsidR="005603EC" w:rsidRDefault="00AB61AC">
      <w:pPr>
        <w:pStyle w:val="af"/>
        <w:spacing w:line="240" w:lineRule="auto"/>
        <w:jc w:val="both"/>
      </w:pPr>
      <w:r>
        <w:rPr>
          <w:sz w:val="24"/>
        </w:rPr>
        <w:t xml:space="preserve">Izoh: muammoli kreditlar ulushi va ROA aktivlar bo‘yicha tortilgan </w:t>
      </w:r>
      <w:r>
        <w:rPr>
          <w:sz w:val="24"/>
        </w:rPr>
        <w:t xml:space="preserve">o‘rtacha; MBII – 8 ko‘rsatkichli panel indeksi (MBII-8); aktivlar ulushi tanlangan 25 ta bank jami aktivlariga nisbatan (2025-yil oxirida ular bank tizimi aktivlarining 96,9 foizini tashkil etgan);</w:t>
      </w:r>
      <w:r>
        <w:rPr>
          <w:sz w:val="24"/>
        </w:rPr>
        <w:t xml:space="preserve">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w:t>
      </w:r>
      <w:r>
        <w:rPr/>
        <w:t xml:space="preserve">deyarli o‘zgarmaydi, ya’ni integral indeks</w:t>
      </w:r>
      <w:r>
        <w:t xml:space="preserve"> medianasi 3,39–3,42 ball darajasida saqlanadi, birorta ham bank qizil zonaga tushmaydi. Salbiy ssenariyda 2027-yilda ikki bank qizil zonaga tushib, ular </w:t>
      </w:r>
      <w:r>
        <w:rPr/>
        <w:t xml:space="preserve">tanlangan banklar</w:t>
      </w:r>
      <w:r>
        <w:t xml:space="preserve"> aktivlarining 5,9 foizini tashkil etadi. Keskin salbiy ssenariyda esa vaziyat </w:t>
      </w:r>
      <w:r>
        <w:rPr/>
        <w:t xml:space="preserve">sezilarli yomonlashadi. Bunda aktivlar rentabelligi</w:t>
      </w:r>
      <w:r>
        <w:t xml:space="preserve"> 1,69 foizdan 1,35 foizgacha pasayadi, integral indeks medianasi 3,18 ballgacha tushadi, qizil zonadagi banklar soni to‘rttaga yetib, ularning </w:t>
      </w:r>
      <w:r>
        <w:rPr/>
        <w:t xml:space="preserve">tanlangan banklar aktivlaridagi ulushi 24,3 foizni tashkil etadi, sariq va qizil zonadagi banklarning</w:t>
      </w:r>
      <w:r>
        <w:t xml:space="preserve"> ulushi esa 45,9 foizga yetadi. Eng muhim natija shundaki, ikkala salbiy ssenariyda ham qizil zonaga faqat davlat banklari tushadi: keskin salbiy ssenariyda bular “Agrobank”, “Asaka bank”, “Mikrokreditbank” va “Turonbank” </w:t>
      </w:r>
      <w:r>
        <w:rPr/>
        <w:t xml:space="preserve">ATBlaridir (banklar kesimidagi natijalar 7-ilovada keltirilgan)</w:t>
      </w:r>
      <w:r>
        <w:t xml:space="preserve">. Davlat banklarida integral indeks medianasi keskin salbiy ssenariyda 3,15 dan 2,81 ballgacha, ya’ni sariq zonaning quyi </w:t>
      </w:r>
      <w:r>
        <w:rPr/>
        <w:t xml:space="preserve">chegarasiga yaqin darajagacha</w:t>
      </w:r>
      <w:r>
        <w:t xml:space="preserve"> pasayadi, </w:t>
      </w:r>
      <w:r>
        <w:rPr/>
        <w:t xml:space="preserve">boshqa</w:t>
      </w:r>
      <w:r>
        <w:t xml:space="preserve"> banklarda esa 3,61 dan 3,50 ballgacha, ya’ni yashil zonada qoladi. Bu</w:t>
      </w:r>
      <w:r>
        <w:rPr/>
        <w:t xml:space="preserve"> holat</w:t>
      </w:r>
      <w:r>
        <w:t xml:space="preserve"> 3.3-paragrafda </w:t>
      </w:r>
      <w:r>
        <w:lastRenderedPageBreak/>
      </w:r>
      <w:r>
        <w:t xml:space="preserve">aniqlangan </w:t>
      </w:r>
      <w:r>
        <w:rPr/>
        <w:t xml:space="preserve">omillar bilan izohlanadi. Xususan, davlat banklarida</w:t>
      </w:r>
      <w:r>
        <w:t xml:space="preserve"> daromadlilik past (aktivlar bo‘yicha tortilgan ROA 1,0 foiz), shu sababli muammoli kreditlarning </w:t>
      </w:r>
      <w:r>
        <w:rPr/>
        <w:t>nisbatan kichik oshishi ham ularning daromadliligini sezilarli pasaytiradi (ROA 1,0 foizdan 0,6 foizgacha)</w:t>
      </w:r>
      <w:r>
        <w:t xml:space="preserve">, </w:t>
      </w:r>
      <w:r>
        <w:rPr/>
        <w:t xml:space="preserve">boshqa</w:t>
      </w:r>
      <w:r>
        <w:t xml:space="preserve"> banklarda esa yuqori foiz marjasi zarar uchun bufer vazifasini bajaradi.</w:t>
      </w:r>
    </w:p>
    <w:p w:rsidR="005603EC" w:rsidRDefault="00AB61AC">
      <w:pPr>
        <w:pStyle w:val="af"/>
        <w:spacing w:after="0" w:line="360" w:lineRule="auto"/>
        <w:ind w:firstLine="709"/>
        <w:jc w:val="both"/>
      </w:pPr>
      <w:r>
        <w:rPr/>
        <w:t xml:space="preserve">Prognoz natijalari tanlangan usulga bog‘liq emasligini tekshirish uchun muammoli kreditlar ulushi har bir bank uchun bevosita 4.2.2-jadvaldagi 2-model (25 ta bank paneli) asosida ham prognoz qilindi. Bu modelda YaIM o‘sishining ta’siri o‘sha chorakning o‘zida namoyon bo‘ladi va barcha banklarda bir xil foiz punktga teng bo‘ladi, asosiy usulda esa tizim bo‘yicha og‘ish to‘rt chorakdan keyin namoyon bo‘lib, banklarga ularning ulushiga proporsional taqsimlanadi. Natijalar 4.2.5-jadvalda keltirilgan.</w:t>
      </w:r>
    </w:p>
    <w:p w:rsidR="005603EC" w:rsidRDefault="00AB61AC">
      <w:pPr>
        <w:pStyle w:val="af"/>
        <w:spacing w:after="0" w:line="360" w:lineRule="auto"/>
        <w:ind w:firstLine="709"/>
        <w:jc w:val="both"/>
      </w:pPr>
      <w:r>
        <w:rPr/>
        <w:t xml:space="preserve">4.2.5-jadvaldan </w:t>
      </w:r>
      <w:r>
        <w:rPr/>
        <w:t xml:space="preserve">ko‘rinib turibdiki, ikki usul bir xil asosiy natija beradi. Keskin salbiy ssenariyda qizil zonaga ikkala usulda ham aynan bir xil to‘rt bank – “Agrobank”, “Asaka bank”, “Mikrokreditbank” va “Turonbank” ATBlar tushadi, ularning aktivlari ulushi esa 24,3 foizni tashkil etadi. Salbiy ssenariyda ham ikkala usulda “Mikrokreditbank” va “Turonbank” ATBlar qizil zonaga tushadi. Usullar o‘rtasidagi farq asosan vaqtda namoyon bo‘ladi. Bank modelida shok o‘sha yilning o‘zida (2026-yil), asosiy usulda esa bir yildan keyin (2027-yil) eng yuqori ta’sir ko‘rsatadi. Demak, erta ogohlantirish zonalari bo‘yicha xulosalar prognoz usuliga bog‘liq emas, ya’ni barqaror hisoblanadi.</w:t>
      </w:r>
    </w:p>
    <w:p w:rsidR="005603EC" w:rsidRDefault="00AB61AC">
      <w:pPr>
        <w:pStyle w:val="af"/>
        <w:keepNext/>
        <w:spacing w:before="120" w:after="0" w:line="360" w:lineRule="auto"/>
        <w:jc w:val="right"/>
      </w:pPr>
      <w:r>
        <w:rPr>
          <w:i/>
        </w:rPr>
        <w:t xml:space="preserve">4.2.5-jadval</w:t>
      </w:r>
    </w:p>
    <w:p w:rsidR="005603EC" w:rsidRDefault="00AB61AC">
      <w:pPr>
        <w:pStyle w:val="af"/>
        <w:keepNext/>
        <w:spacing w:line="240" w:lineRule="auto"/>
        <w:jc w:val="center"/>
      </w:pPr>
      <w:r>
        <w:rPr>
          <w:b/>
          <w:bCs/>
        </w:rPr>
        <w:t xml:space="preserve">Bank darajasidagi prognozning ikki usul bo‘yicha natijalari: salbiy va keskin salbiy ssenariylar</w:t>
      </w:r>
      <w:r>
        <w:rPr>
          <w:rStyle w:val="aff8"/>
        </w:rPr>
        <w:footnoteReference w:id="5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700"/>
        <w:gridCol w:w="2200"/>
        <w:gridCol w:w="2000"/>
        <w:gridCol w:w="2400"/>
      </w:tblGrid>
      <w:tr>
        <w:trPr>
          <w:tblHeader/>
        </w:trPr>
        <w:tc>
          <w:tcPr>
            <w:tcW w:type="dxa" w:w="3642"/>
            <w:vAlign w:val="center"/>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Ssenariy, yil</w:t>
            </w:r>
          </w:p>
        </w:tc>
        <w:tc>
          <w:tcPr>
            <w:tcW w:type="dxa" w:w="3642"/>
            <w:vAlign w:val="center"/>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Muammoli kreditlar ulushi, %</w:t>
            </w:r>
          </w:p>
        </w:tc>
        <w:tc>
          <w:tcPr>
            <w:tcW w:type="dxa" w:w="3642"/>
            <w:vAlign w:val="center"/>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Qizil zonadagi banklar soni</w:t>
            </w:r>
          </w:p>
        </w:tc>
        <w:tc>
          <w:tcPr>
            <w:tcW w:type="dxa" w:w="3642"/>
            <w:vAlign w:val="center"/>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Qizil zonadagi banklar aktivlari ulushi, %</w:t>
            </w:r>
          </w:p>
        </w:tc>
      </w:tr>
      <w:tr>
        <w:tc>
          <w:tcPr>
            <w:tcW w:type="dxa" w:w="3642"/>
          </w:tcPr>
          <w:p>
            <w:pPr>
              <w:keepNext/>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Salbiy, 2026</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2,98 / 4,15</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0 / 2</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0,0 / 5,9</w:t>
            </w:r>
          </w:p>
        </w:tc>
      </w:tr>
      <w:tr>
        <w:tc>
          <w:tcPr>
            <w:tcW w:type="dxa" w:w="3642"/>
          </w:tcPr>
          <w:p>
            <w:pPr>
              <w:keepNext/>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Salbiy, 2027</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3,82 / 4,03</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 / 2</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5,9 / 5,9</w:t>
            </w:r>
          </w:p>
        </w:tc>
      </w:tr>
      <w:tr>
        <w:tc>
          <w:tcPr>
            <w:tcW w:type="dxa" w:w="3642"/>
          </w:tcPr>
          <w:p>
            <w:pPr>
              <w:keepNext/>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Salbiy, 2028</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3,60 / 3,48</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1 / 0</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2,4 / 0,0</w:t>
            </w:r>
          </w:p>
        </w:tc>
      </w:tr>
      <w:tr>
        <w:tc>
          <w:tcPr>
            <w:tcW w:type="dxa" w:w="3642"/>
          </w:tcPr>
          <w:p>
            <w:pPr>
              <w:keepNext/>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Keskin salbiy, 2026</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2,98 / 5,24</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0 / 4</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0,0 / 24,3</w:t>
            </w:r>
          </w:p>
        </w:tc>
      </w:tr>
      <w:tr>
        <w:tc>
          <w:tcPr>
            <w:tcW w:type="dxa" w:w="3642"/>
          </w:tcPr>
          <w:p>
            <w:pPr>
              <w:keepNext/>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Keskin salbiy, 2027</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4,63 / 4,27</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4 / 3</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24,3 / 17,4</w:t>
            </w:r>
          </w:p>
        </w:tc>
      </w:tr>
      <w:tr>
        <w:tc>
          <w:tcPr>
            <w:tcW w:type="dxa" w:w="3642"/>
          </w:tcPr>
          <w:p>
            <w:pPr>
              <w:keepNext/>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Keskin salbiy, 2028</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3,65 / 3,53</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 / 0</w:t>
            </w:r>
          </w:p>
        </w:tc>
        <w:tc>
          <w:tcPr>
            <w:tcW w:type="dxa" w:w="3642"/>
          </w:tcPr>
          <w:p>
            <w:pPr>
              <w:keepNext/>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5,9 / 0,0</w:t>
            </w:r>
          </w:p>
        </w:tc>
      </w:tr>
      <w:tr>
        <w:tc>
          <w:tcPr>
            <w:tcW w:type="dxa" w:w="3642"/>
          </w:tcPr>
          <w:p>
            <w:pPr>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Eng yuqori ulush (keskin salbiy), %</w:t>
            </w:r>
          </w:p>
        </w:tc>
        <w:tc>
          <w:tcPr>
            <w:tcW w:type="dxa" w:w="10926"/>
            <w:gridSpan w:val="3"/>
          </w:tcPr>
          <w:p>
            <w:pPr>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“O‘zsanoatqurilishbank”: 3,99 / 4,83; “Mikrokreditbank”: 6,95 / 6,71; “Aloqabank”: 4,00 / 4,84</w:t>
            </w:r>
          </w:p>
        </w:tc>
      </w:tr>
    </w:tbl>
    <w:p w:rsidR="005603EC" w:rsidRDefault="00AB61AC">
      <w:pPr>
        <w:pStyle w:val="af"/>
        <w:spacing w:line="240" w:lineRule="auto"/>
        <w:jc w:val="both"/>
      </w:pPr>
      <w:r>
        <w:rPr>
          <w:sz w:val="24"/>
        </w:rPr>
        <w:t xml:space="preserve">Izoh: har bir katakda – asosiy usul / bank modeli bo‘yicha natija; asosiy usul – tizim modeli bo‘yicha og‘ishning banklarga proporsional taqsimlanishi (4.2.4-jadval), bank modeli – 4.2.2-jadvaldagi 2-model; muammoli kreditlar ulushi – 25 ta bank bo‘yicha aktivlar bilan tortilgan o‘rtacha; asosiy va ijobiy ssenariylarda ikkala usulda ham qizil zonada bank yo‘q.</w:t>
      </w:r>
    </w:p>
    <w:p w:rsidR="005603EC" w:rsidRDefault="00AB61AC">
      <w:pPr>
        <w:pStyle w:val="af"/>
        <w:spacing w:after="0" w:line="360" w:lineRule="auto"/>
        <w:ind w:firstLine="709"/>
        <w:jc w:val="both"/>
      </w:pPr>
      <w:r>
        <w:rPr/>
        <w:t xml:space="preserve">Mazkur natijalarni yaqqol ifodalash maqsadida s</w:t>
      </w:r>
      <w:r>
        <w:t xml:space="preserve">senariylar bo‘yicha banklarning erta ogohlantirish zonalari o‘rtasida taqsimlanishi </w:t>
      </w:r>
      <w:r>
        <w:rPr/>
        <w:t xml:space="preserve">4.2.5-rasm</w:t>
      </w:r>
      <w:r>
        <w:t xml:space="preserve">da ko‘rsatilgan.</w:t>
      </w:r>
    </w:p>
    <w:p w:rsidR="005603EC" w:rsidRDefault="00AB61AC">
      <w:pPr>
        <w:pStyle w:val="af"/>
        <w:spacing w:after="0" w:line="360" w:lineRule="auto"/>
        <w:ind w:firstLine="709"/>
        <w:jc w:val="both"/>
      </w:pPr>
      <w:r>
        <w:rPr/>
        <w:t xml:space="preserve">4.2.5-rasmdan </w:t>
      </w:r>
      <w:r>
        <w:t xml:space="preserve">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w:t>
      </w:r>
      <w:r>
        <w:rPr/>
        <w:t xml:space="preserve">tanlangan banklar</w:t>
      </w:r>
      <w:r>
        <w:t xml:space="preserve"> aktivlaridagi ulushi 2025-yildagi 33,8 foizdan keskin salbiy ssenariyda 45,9 foizgacha oshadi, ya’ni bank tizimi aktivlarining deyarli yarmi kuchaytirilgan nazorat talab qiladigan banklarga to‘g‘ri keladi. Ssenariylarning davlat banklari va boshqa banklarga ta’siri </w:t>
      </w:r>
      <w:r>
        <w:rPr/>
        <w:t xml:space="preserve">4.2.6-jadval</w:t>
      </w:r>
      <w:r>
        <w:t xml:space="preserve">da solishtirilgan.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 xml:space="preserve">4.2.5-rasm</w:t>
      </w:r>
      <w:r>
        <w:rPr>
          <w:b/>
        </w:rPr>
        <w:t xml:space="preserve">. Tanlangan 25 ta bankning </w:t>
      </w:r>
      <w:r>
        <w:rPr>
          <w:b/>
        </w:rPr>
        <w:t xml:space="preserve">erta ogohlantirish zonalari bo‘yicha taqsimlanishi: 2025-yil (haqiqiy) va 2027-yil oxiri (ssenariylar bo‘yicha prognoz)</w:t>
      </w:r>
      <w:r>
        <w:rPr>
          <w:b/>
        </w:rPr>
        <w:t xml:space="preserve">, banklar soni</w:t>
      </w:r>
      <w:r>
        <w:rPr>
          <w:rStyle w:val="aff8"/>
        </w:rPr>
        <w:footnoteReference w:id="525"/>
      </w:r>
    </w:p>
    <w:p w:rsidR="005603EC" w:rsidRDefault="00AB61AC">
      <w:pPr>
        <w:pStyle w:val="af"/>
        <w:keepNext/>
        <w:spacing w:before="120" w:after="0" w:line="360" w:lineRule="auto"/>
        <w:jc w:val="right"/>
      </w:pPr>
      <w:r>
        <w:rPr>
          <w:i/>
        </w:rPr>
        <w:lastRenderedPageBreak/>
      </w:r>
      <w:r>
        <w:rPr>
          <w:i/>
        </w:rPr>
        <w:t xml:space="preserve">4.2.6-jadval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020" w:firstRow="1" w:lastRow="0" w:firstColumn="0" w:lastColumn="0" w:noHBand="0" w:noVBand="0"/>
      </w:tblPr>
      <w:tblGrid>
        <w:gridCol w:w="3118"/>
        <w:gridCol w:w="1644"/>
        <w:gridCol w:w="1077"/>
        <w:gridCol w:w="879"/>
        <w:gridCol w:w="879"/>
        <w:gridCol w:w="879"/>
        <w:gridCol w:w="8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118" w:type="dxa"/>
            <w:shd w:val="clear" w:color="auto" w:fill="DEEBF7"/>
            <w:vAlign w:val="center"/>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644" w:type="dxa"/>
            <w:shd w:val="clear" w:color="auto" w:fill="DEEBF7"/>
            <w:vAlign w:val="center"/>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Guruh</w:t>
            </w:r>
          </w:p>
        </w:tc>
        <w:tc>
          <w:tcPr>
            <w:tcW w:w="1077" w:type="dxa"/>
            <w:shd w:val="clear" w:color="auto" w:fill="DEEBF7"/>
            <w:vAlign w:val="center"/>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879" w:type="dxa"/>
            <w:shd w:val="clear" w:color="auto" w:fill="DEEBF7"/>
            <w:vAlign w:val="center"/>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w:t>
            </w:r>
          </w:p>
        </w:tc>
        <w:tc>
          <w:tcPr>
            <w:tcW w:w="879" w:type="dxa"/>
            <w:shd w:val="clear" w:color="auto" w:fill="DEEBF7"/>
            <w:vAlign w:val="center"/>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w:t>
            </w:r>
          </w:p>
        </w:tc>
        <w:tc>
          <w:tcPr>
            <w:tcW w:w="879" w:type="dxa"/>
            <w:shd w:val="clear" w:color="auto" w:fill="DEEBF7"/>
            <w:vAlign w:val="center"/>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w:t>
            </w:r>
          </w:p>
        </w:tc>
        <w:tc>
          <w:tcPr>
            <w:tcW w:w="879" w:type="dxa"/>
            <w:shd w:val="clear" w:color="auto" w:fill="DEEBF7"/>
            <w:vAlign w:val="center"/>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w:t>
            </w:r>
          </w:p>
        </w:tc>
      </w:tr>
      <w:tr w:rsidR="005603EC" w:rsidTr="005603EC">
        <w:trPr>
          <w:cantSplit/>
        </w:trPr>
        <w:tc>
          <w:tcPr>
            <w:tcW w:w="3118" w:type="dxa"/>
          </w:tcPr>
          <w:p w:rsidR="005603EC" w:rsidRDefault="00AB61AC">
            <w:pPr>
              <w:pStyle w:val="Compact"/>
              <w:keepNex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644"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077"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4,13</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5,00</w:t>
            </w:r>
          </w:p>
        </w:tc>
      </w:tr>
      <w:tr w:rsidR="005603EC" w:rsidTr="005603EC">
        <w:trPr>
          <w:cantSplit/>
        </w:trPr>
        <w:tc>
          <w:tcPr>
            <w:tcW w:w="3118" w:type="dxa"/>
          </w:tcPr>
          <w:p w:rsidR="005603EC" w:rsidRDefault="00AB61AC">
            <w:pPr>
              <w:pStyle w:val="Compact"/>
              <w:keepNex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644"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077"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2,49</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2,43</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r>
      <w:tr w:rsidR="005603EC" w:rsidTr="005603EC">
        <w:trPr>
          <w:cantSplit/>
        </w:trPr>
        <w:tc>
          <w:tcPr>
            <w:tcW w:w="3118" w:type="dxa"/>
          </w:tcPr>
          <w:p w:rsidR="005603EC" w:rsidRDefault="00AB61AC">
            <w:pPr>
              <w:pStyle w:val="Compact"/>
              <w:keepNex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644"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077"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0,99</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0,94</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0,80</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0,62</w:t>
            </w:r>
          </w:p>
        </w:tc>
      </w:tr>
      <w:tr w:rsidR="005603EC" w:rsidTr="005603EC">
        <w:trPr>
          <w:cantSplit/>
        </w:trPr>
        <w:tc>
          <w:tcPr>
            <w:tcW w:w="3118" w:type="dxa"/>
          </w:tcPr>
          <w:p w:rsidR="005603EC" w:rsidRDefault="00AB61AC">
            <w:pPr>
              <w:pStyle w:val="Compact"/>
              <w:keepNex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644"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077"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2,74</w:t>
            </w:r>
          </w:p>
        </w:tc>
      </w:tr>
      <w:tr w:rsidR="005603EC" w:rsidTr="005603EC">
        <w:trPr>
          <w:cantSplit/>
        </w:trPr>
        <w:tc>
          <w:tcPr>
            <w:tcW w:w="3118" w:type="dxa"/>
          </w:tcPr>
          <w:p w:rsidR="005603EC" w:rsidRDefault="00AB61AC">
            <w:pPr>
              <w:pStyle w:val="Compact"/>
              <w:keepNex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 medianasi, ball</w:t>
            </w:r>
          </w:p>
        </w:tc>
        <w:tc>
          <w:tcPr>
            <w:tcW w:w="1644"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077"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r>
      <w:tr w:rsidR="005603EC" w:rsidTr="005603EC">
        <w:trPr>
          <w:cantSplit/>
        </w:trPr>
        <w:tc>
          <w:tcPr>
            <w:tcW w:w="3118" w:type="dxa"/>
          </w:tcPr>
          <w:p w:rsidR="005603EC" w:rsidRDefault="00AB61AC">
            <w:pPr>
              <w:pStyle w:val="Compact"/>
              <w:keepNex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 medianasi, ball</w:t>
            </w:r>
          </w:p>
        </w:tc>
        <w:tc>
          <w:tcPr>
            <w:tcW w:w="1644"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077"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r>
      <w:tr w:rsidR="005603EC" w:rsidTr="005603EC">
        <w:trPr>
          <w:cantSplit/>
        </w:trPr>
        <w:tc>
          <w:tcPr>
            <w:tcW w:w="3118" w:type="dxa"/>
          </w:tcPr>
          <w:p w:rsidR="005603EC" w:rsidRDefault="00AB61AC">
            <w:pPr>
              <w:pStyle w:val="Compact"/>
              <w:keepNex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 zonadagi banklar soni</w:t>
            </w:r>
          </w:p>
        </w:tc>
        <w:tc>
          <w:tcPr>
            <w:tcW w:w="1644"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077"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879"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r>
      <w:tr w:rsidR="005603EC" w:rsidTr="005603EC">
        <w:trPr>
          <w:cantSplit/>
        </w:trPr>
        <w:tc>
          <w:tcPr>
            <w:tcW w:w="311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 zonadagi banklar soni</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8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8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8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8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r>
    </w:tbl>
    <w:p w:rsidR="005603EC" w:rsidRDefault="00AB61AC">
      <w:pPr>
        <w:pStyle w:val="af"/>
        <w:spacing w:line="240" w:lineRule="auto"/>
        <w:jc w:val="both"/>
      </w:pPr>
      <w:r>
        <w:rPr>
          <w:sz w:val="24"/>
        </w:rPr>
        <w:t xml:space="preserve">Izoh: muammoli kreditlar ulushi va ROA aktivlar bo‘yicha tortilgan </w:t>
      </w:r>
      <w:r>
        <w:rPr>
          <w:sz w:val="24"/>
        </w:rPr>
        <w:t xml:space="preserve">o‘rtacha; MBII – 8 ko‘rsatkichli panel indeksi (MBII-8)</w:t>
      </w:r>
      <w:r>
        <w:rPr>
          <w:sz w:val="24"/>
        </w:rPr>
        <w:t xml:space="preserve">.</w:t>
      </w:r>
    </w:p>
    <w:p w:rsidR="005603EC" w:rsidRDefault="00AB61AC">
      <w:pPr>
        <w:pStyle w:val="af"/>
        <w:spacing w:after="0" w:line="360" w:lineRule="auto"/>
        <w:ind w:firstLine="709"/>
        <w:jc w:val="both"/>
      </w:pPr>
      <w:r>
        <w:t xml:space="preserve">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w:t>
      </w:r>
      <w:r>
        <w:rPr/>
        <w:t xml:space="preserve">, biroq</w:t>
      </w:r>
      <w:r>
        <w:t xml:space="preserve"> yuqori darajada saqlanadi. Natijada qizil zonaga tushgan banklarning barchasi davlat banklari hisoblanadi.</w:t>
      </w:r>
    </w:p>
    <w:p w:rsidR="005603EC" w:rsidRDefault="00AB61AC">
      <w:pPr>
        <w:pStyle w:val="af"/>
        <w:spacing w:after="0" w:line="360" w:lineRule="auto"/>
        <w:ind w:firstLine="709"/>
        <w:jc w:val="both"/>
      </w:pPr>
      <w:r>
        <w:t xml:space="preserve">Milliy hisobot asosidagi prognoz kredit riskini </w:t>
      </w:r>
      <w:r>
        <w:rPr/>
        <w:t xml:space="preserve">kamaytirib</w:t>
      </w:r>
      <w:r>
        <w:t xml:space="preserve"> ko‘rsatishini hisobga olgan holda, </w:t>
      </w:r>
      <w:r>
        <w:rPr/>
        <w:t xml:space="preserve">tadqiqot obyektlari bo‘lgan uch</w:t>
      </w:r>
      <w:r>
        <w:t xml:space="preserve"> bank uchun prognoz milliy va MHXS hisobotlari asosida alohida amalga oshirildi. MHXS varianti uchun muammoli kreditlar ulushining o‘zgarishi 2.3-paragrafda taklif etilgan yashirin kredit riski </w:t>
      </w:r>
      <w:r>
        <w:rPr/>
        <w:t xml:space="preserve">koeffitsiyentiga ko‘paytirildi. Bu koeffitsiyent</w:t>
      </w:r>
      <w:r>
        <w:t xml:space="preserve"> 2025-yilda “O‘zsanoatqurilishbank” ATB uchun 2,96 ni, “Mikrokreditbank” ATB uchun 2,80 </w:t>
      </w:r>
      <w:r>
        <w:rPr/>
        <w:t xml:space="preserve">ni, “Aloqabank” ATB uchun 2,83 ni tashkil etgan. Dastlabki ikki bank bo‘yicha natijalar </w:t>
      </w:r>
      <w:r>
        <w:rPr/>
        <w:t xml:space="preserve">4.2.7-jadval</w:t>
      </w:r>
      <w:r>
        <w:rPr/>
        <w:t xml:space="preserve">da keltirilgan</w:t>
      </w:r>
      <w:r>
        <w:t xml:space="preserve">.</w:t>
      </w:r>
    </w:p>
    <w:p w:rsidR="005603EC" w:rsidRDefault="00AB61AC">
      <w:pPr>
        <w:pStyle w:val="af"/>
        <w:keepNext/>
        <w:spacing w:before="120" w:after="0" w:line="360" w:lineRule="auto"/>
        <w:jc w:val="right"/>
      </w:pPr>
      <w:r>
        <w:rPr>
          <w:i/>
        </w:rPr>
        <w:lastRenderedPageBreak/>
      </w:r>
      <w:r>
        <w:rPr>
          <w:i/>
        </w:rPr>
        <w:t xml:space="preserve">4.2.7-jadval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va hisobot</w:t>
            </w:r>
          </w:p>
        </w:tc>
        <w:tc>
          <w:tcPr>
            <w:tcW w:w="1474" w:type="dxa"/>
            <w:shd w:val="clear" w:color="auto" w:fill="DEEBF7"/>
            <w:vAlign w:val="center"/>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1474" w:type="dxa"/>
            <w:shd w:val="clear" w:color="auto" w:fill="DEEBF7"/>
            <w:vAlign w:val="center"/>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2027</w:t>
            </w:r>
          </w:p>
        </w:tc>
        <w:tc>
          <w:tcPr>
            <w:tcW w:w="1474" w:type="dxa"/>
            <w:shd w:val="clear" w:color="auto" w:fill="DEEBF7"/>
            <w:vAlign w:val="center"/>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2027</w:t>
            </w:r>
          </w:p>
        </w:tc>
        <w:tc>
          <w:tcPr>
            <w:tcW w:w="1417" w:type="dxa"/>
            <w:shd w:val="clear" w:color="auto" w:fill="DEEBF7"/>
            <w:vAlign w:val="center"/>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2027</w:t>
            </w:r>
          </w:p>
        </w:tc>
        <w:tc>
          <w:tcPr>
            <w:tcW w:w="1417" w:type="dxa"/>
            <w:shd w:val="clear" w:color="auto" w:fill="DEEBF7"/>
            <w:vAlign w:val="center"/>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2027</w:t>
            </w:r>
          </w:p>
        </w:tc>
      </w:tr>
      <w:tr w:rsidR="005603EC" w:rsidTr="005603EC">
        <w:trPr>
          <w:cantSplit/>
        </w:trPr>
        <w:tc>
          <w:tcPr>
            <w:tcW w:w="2041" w:type="dxa"/>
          </w:tcPr>
          <w:p w:rsidR="005603EC" w:rsidRDefault="00AB61AC">
            <w:pPr>
              <w:pStyle w:val="Compact"/>
              <w:keepNex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“O‘zsanoatqurilishbank” ATB, </w:t>
            </w:r>
            <w:r>
              <w:rPr>
                <w:rFonts w:ascii="Times New Roman" w:hAnsi="Times New Roman" w:eastAsia="Times New Roman" w:cs="Times New Roman"/>
                <w:sz w:val="24"/>
                <w:szCs w:val="24"/>
              </w:rPr>
              <w:t>milliy hisobot (MBII-8)</w:t>
            </w:r>
          </w:p>
        </w:tc>
        <w:tc>
          <w:tcPr>
            <w:tcW w:w="1474"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 2,5 %)</w:t>
            </w:r>
          </w:p>
        </w:tc>
        <w:tc>
          <w:tcPr>
            <w:tcW w:w="1474"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 2,7 %)</w:t>
            </w:r>
          </w:p>
        </w:tc>
        <w:tc>
          <w:tcPr>
            <w:tcW w:w="1474"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 (yashil; 2,5 %)</w:t>
            </w:r>
          </w:p>
        </w:tc>
        <w:tc>
          <w:tcPr>
            <w:tcW w:w="1417"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(yashil; 3,3 %)</w:t>
            </w:r>
          </w:p>
        </w:tc>
        <w:tc>
          <w:tcPr>
            <w:tcW w:w="1417"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 (yashil; 4,0 %)</w:t>
            </w:r>
          </w:p>
        </w:tc>
      </w:tr>
      <w:tr w:rsidR="005603EC" w:rsidTr="005603EC">
        <w:trPr>
          <w:cantSplit/>
        </w:trPr>
        <w:tc>
          <w:tcPr>
            <w:tcW w:w="2041" w:type="dxa"/>
          </w:tcPr>
          <w:p w:rsidR="005603EC" w:rsidRDefault="00AB61AC">
            <w:pPr>
              <w:pStyle w:val="Compact"/>
              <w:keepNex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“O‘zsanoatqurilishbank” ATB, </w:t>
            </w:r>
            <w:r>
              <w:rPr>
                <w:rFonts w:ascii="Times New Roman" w:hAnsi="Times New Roman" w:eastAsia="Times New Roman" w:cs="Times New Roman"/>
                <w:sz w:val="24"/>
                <w:szCs w:val="24"/>
              </w:rPr>
              <w:t>MHXS hisoboti (MBII-13)</w:t>
            </w:r>
          </w:p>
        </w:tc>
        <w:tc>
          <w:tcPr>
            <w:tcW w:w="1474"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(sariq; 7,5 %)</w:t>
            </w:r>
          </w:p>
        </w:tc>
        <w:tc>
          <w:tcPr>
            <w:tcW w:w="1474"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2,79 (sariq; 8,1 %)</w:t>
            </w:r>
          </w:p>
        </w:tc>
        <w:tc>
          <w:tcPr>
            <w:tcW w:w="1474"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 (sariq; 7,3 %)</w:t>
            </w:r>
          </w:p>
        </w:tc>
        <w:tc>
          <w:tcPr>
            <w:tcW w:w="1417"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 (qizil; 9,7 %)</w:t>
            </w:r>
          </w:p>
        </w:tc>
        <w:tc>
          <w:tcPr>
            <w:tcW w:w="1417"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2,59 (qizil; 11,8 %)</w:t>
            </w:r>
          </w:p>
        </w:tc>
      </w:tr>
      <w:tr w:rsidR="005603EC" w:rsidTr="005603EC">
        <w:trPr>
          <w:cantSplit/>
        </w:trPr>
        <w:tc>
          <w:tcPr>
            <w:tcW w:w="2041" w:type="dxa"/>
          </w:tcPr>
          <w:p w:rsidR="005603EC" w:rsidRDefault="00AB61AC">
            <w:pPr>
              <w:pStyle w:val="Compact"/>
              <w:keepNex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“Mikrokreditbank” ATB, </w:t>
            </w:r>
            <w:r>
              <w:rPr>
                <w:rFonts w:ascii="Times New Roman" w:hAnsi="Times New Roman" w:eastAsia="Times New Roman" w:cs="Times New Roman"/>
                <w:sz w:val="24"/>
                <w:szCs w:val="24"/>
              </w:rPr>
              <w:t>milliy hisobot (MBII-8)</w:t>
            </w:r>
          </w:p>
        </w:tc>
        <w:tc>
          <w:tcPr>
            <w:tcW w:w="1474"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 (sariq; 4,4 %)</w:t>
            </w:r>
          </w:p>
        </w:tc>
        <w:tc>
          <w:tcPr>
            <w:tcW w:w="1474"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2,84 (sariq; </w:t>
            </w:r>
            <w:r>
              <w:rPr>
                <w:rFonts w:ascii="Times New Roman" w:hAnsi="Times New Roman" w:eastAsia="Times New Roman" w:cs="Times New Roman"/>
                <w:sz w:val="24"/>
                <w:szCs w:val="24"/>
              </w:rPr>
              <w:t xml:space="preserve">4,7</w:t>
            </w:r>
            <w:r>
              <w:rPr>
                <w:rFonts w:ascii="Times New Roman" w:hAnsi="Times New Roman" w:eastAsia="Times New Roman" w:cs="Times New Roman"/>
                <w:sz w:val="24"/>
                <w:szCs w:val="24"/>
              </w:rPr>
              <w:t xml:space="preserve"> %)</w:t>
            </w:r>
          </w:p>
        </w:tc>
        <w:tc>
          <w:tcPr>
            <w:tcW w:w="1474"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(sariq; 4,3 %)</w:t>
            </w:r>
          </w:p>
        </w:tc>
        <w:tc>
          <w:tcPr>
            <w:tcW w:w="1417"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2,72 (qizil; 5,7 %)</w:t>
            </w:r>
          </w:p>
        </w:tc>
        <w:tc>
          <w:tcPr>
            <w:tcW w:w="1417" w:type="dxa"/>
          </w:tcPr>
          <w:p w:rsidR="005603EC" w:rsidRDefault="00AB61AC">
            <w:pPr>
              <w:pStyle w:val="Compact"/>
              <w:keepNex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2,58 (qizil; </w:t>
            </w:r>
            <w:r>
              <w:rPr>
                <w:rFonts w:ascii="Times New Roman" w:hAnsi="Times New Roman" w:eastAsia="Times New Roman" w:cs="Times New Roman"/>
                <w:sz w:val="24"/>
                <w:szCs w:val="24"/>
              </w:rPr>
              <w:t xml:space="preserve">6,9</w:t>
            </w:r>
            <w:r>
              <w:rPr>
                <w:rFonts w:ascii="Times New Roman" w:hAnsi="Times New Roman" w:eastAsia="Times New Roman" w:cs="Times New Roman"/>
                <w:sz w:val="24"/>
                <w:szCs w:val="24"/>
              </w:rPr>
              <w:t xml:space="preserve"> %)</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“Mikrokreditbank” ATB, </w:t>
            </w:r>
            <w:r>
              <w:rPr>
                <w:rFonts w:ascii="Times New Roman" w:hAnsi="Times New Roman" w:eastAsia="Times New Roman" w:cs="Times New Roman"/>
                <w:sz w:val="24"/>
                <w:szCs w:val="24"/>
              </w:rPr>
              <w:t>MHXS hisoboti (MBII-13)</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 (qizil; 12,3 %)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2,42 (qizil; 13,3 %)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2,49 (qizil; 12,0 %)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2,39 (qizil; 16,1 %)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w:t>
      </w:r>
      <w:r>
        <w:rPr/>
        <w:t xml:space="preserve">ko‘ra,</w:t>
      </w:r>
      <w:r>
        <w:t xml:space="preserve">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w:t>
      </w:r>
      <w:r>
        <w:rPr/>
        <w:t xml:space="preserve">yetadi. Xuddi shu usulda hisoblangan “Aloqabank” ATB bo‘yicha natijalar ham shunga o‘xshash. Milliy hisobot bo‘yicha bank 2027-yilda ijobiy ssenariyda yashil zonada (3,27 ball), qolgan ssenariylarda sariq zonada (3,04–3,24 ball) bo‘lsa, MHXS bo‘yicha asosiy ssenariyda sariq va qizil zonalar chegarasida (2,75 ball) joylashib, salbiy ssenariylarda qizil zonaga (2,58–2,66 ball) tushadi, 3-bosqich kreditlari ulushi esa 7,2 foizdan 11,3 foizgacha oshadi.</w:t>
      </w:r>
      <w:r>
        <w:t xml:space="preserve"> </w:t>
      </w:r>
      <w:r>
        <w:rPr/>
        <w:t xml:space="preserve">Dastlabki ikki bank bo‘yicha bu</w:t>
      </w:r>
      <w:r>
        <w:t xml:space="preserve"> farqlar </w:t>
      </w:r>
      <w:r>
        <w:rPr/>
        <w:t xml:space="preserve">4.2.6-rasm</w:t>
      </w:r>
      <w:r>
        <w:t xml:space="preserve">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 xml:space="preserve">4.2.6-rasm</w:t>
      </w:r>
      <w:r>
        <w:rPr>
          <w:b/>
        </w:rPr>
        <w:t xml:space="preserve">. “O‘zsanoatqurilishbank” ATB va “Mikrokreditbank” ATB integral indeksining ssenariylar bo‘yicha 2027-yilga prognozi: milliy va MHXS hisobotlari asosida, ball</w:t>
      </w:r>
      <w:r>
        <w:rPr>
          <w:rStyle w:val="aff8"/>
        </w:rPr>
        <w:footnoteReference w:id="528"/>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rPr/>
        <w:t xml:space="preserve">. Jumladan,</w:t>
      </w:r>
      <w:r>
        <w:t xml:space="preserve"> “O‘zsanoatqurilishbank” ATB da </w:t>
      </w:r>
      <w:r>
        <w:rPr/>
        <w:t xml:space="preserve">farq </w:t>
      </w:r>
      <w:r>
        <w:rPr/>
        <w:t xml:space="preserve">0,80–0</w:t>
      </w:r>
      <w:r>
        <w:rPr/>
        <w:t xml:space="preserve">,90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w:t>
      </w:r>
      <w:r>
        <w:rPr/>
        <w:t xml:space="preserve">oshirib ko‘rsatadi. </w:t>
      </w:r>
      <w:r>
        <w:rPr/>
        <w:t xml:space="preserve">Xususan</w:t>
      </w:r>
      <w:r>
        <w:rPr/>
        <w:t xml:space="preserve">, “O‘zsanoatqurilishbank” ATB misolida</w:t>
      </w:r>
      <w:r>
        <w:t xml:space="preserve"> milliy hisobot bo‘yicha bank keskin salbiy ssenariyda ham barqaror ko‘rinsa, xalqaro standartlar bo‘yicha u kuchaytirilgan nazorat choralarini talab qiluvchi qizil zonaga tushadi. Shu sababli Markaziy bankka banklarning stress-</w:t>
      </w:r>
      <w:r>
        <w:lastRenderedPageBreak/>
      </w:r>
      <w:r>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 xml:space="preserve">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w:t>
      </w:r>
      <w:r>
        <w:rPr/>
        <w:t xml:space="preserve">qarorlar,</w:t>
      </w:r>
      <w:r>
        <w:t xml:space="preserve">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 xml:space="preserve">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w:t>
      </w:r>
      <w:r>
        <w:rPr/>
        <w:t xml:space="preserve">tanlangan banklar</w:t>
      </w:r>
      <w:r>
        <w:t xml:space="preserve"> aktivlaridagi ulushi 24,3 foizga yetadi. Milliy hisobot ma’lumotlari asosidagi prognoz bu riskni </w:t>
      </w:r>
      <w:r>
        <w:rPr/>
        <w:t xml:space="preserve">kamaytirib</w:t>
      </w:r>
      <w:r>
        <w:t xml:space="preserve"> ko‘rsatadi, MHXS ma’lumotlari asosida esa </w:t>
      </w:r>
      <w:r>
        <w:rPr/>
        <w:t xml:space="preserve">tadqiqot obyektlari bo‘lgan “O‘zsanoatqurilishbank” va “Aloqabank” ATBlari</w:t>
      </w:r>
      <w:r>
        <w:t xml:space="preserve">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 xml:space="preserve">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w:t>
      </w:r>
      <w:r>
        <w:rPr/>
        <w:t xml:space="preserve">ning</w:t>
      </w:r>
      <w:r>
        <w:t xml:space="preserve">, ayniqsa davlat </w:t>
      </w:r>
      <w:r>
        <w:rPr/>
        <w:t xml:space="preserve">banklarining,</w:t>
      </w:r>
      <w:r>
        <w:t xml:space="preserve"> kapital monandligi minimal talabdan pastga tushadi</w:t>
      </w:r>
      <w:r>
        <w:rPr>
          <w:rStyle w:val="aff8"/>
        </w:rPr>
        <w:footnoteReference w:id="529"/>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30"/>
      </w:r>
      <w:r>
        <w:t xml:space="preserve">. Salbiy ssenariyda tizim kapital monandligi 9,9 foizgacha pasayib, kapital yetishmovchiligi 48 trln so‘mni (YaIMning 2,2 foizi) tashkil etadi, boshlang‘ich kapital </w:t>
      </w:r>
      <w:r>
        <w:rPr/>
        <w:t xml:space="preserve">monandligi to‘liq aks ettirilmagan muammoli kreditlarga tuzatilib, subordinar qarzlar chegirilganda</w:t>
      </w:r>
      <w:r>
        <w:t xml:space="preserve"> esa monandlik 7,7 foizgacha pasayib, yetishmovchilik 79 trln so‘mga (YaIMning 3,6 foizi) yetadi</w:t>
      </w:r>
      <w:r>
        <w:rPr>
          <w:rStyle w:val="aff8"/>
        </w:rPr>
        <w:footnoteReference w:id="531"/>
      </w:r>
      <w:r>
        <w:t xml:space="preserve">. Hatto asosiy ssenariyda ham to‘qqizta davlat bankidan beshtasi, jumladan ikkita tizimli ahamiyatga molik </w:t>
      </w:r>
      <w:r>
        <w:rPr/>
        <w:t xml:space="preserve">bank,</w:t>
      </w:r>
      <w:r>
        <w:t xml:space="preserve"> minimal talabdan pastga tushadi</w:t>
      </w:r>
      <w:r>
        <w:rPr>
          <w:rStyle w:val="aff8"/>
        </w:rPr>
        <w:footnoteReference w:id="532"/>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w:t>
      </w:r>
      <w:r>
        <w:rPr/>
        <w:t xml:space="preserve">35 ta chora sakkiz yo‘nalish bo‘yicha guruhlangan bo‘lib, ularning asosiylari qonunchilikni takomillashtirish, prudensial talablarni kuchaytirish, korporativ boshqaruv, risklarni boshqarish va litsenziyalash talablarini takomillashtirish, Markaziy bankning nazorat jarayonlarini takomillashtirish, banklarni sanatsiya qilish, tugatish va omonatlarni sug‘urtalash tizimini rivojlantirish hamda moliyaviy barqarorlikni ta’minlash choralarini kuchaytirishdan iborat</w:t>
      </w:r>
      <w:r>
        <w:lastRenderedPageBreak/>
      </w:r>
      <w:r>
        <w:rPr>
          <w:rStyle w:val="aff8"/>
        </w:rPr>
        <w:footnoteReference w:id="533"/>
      </w:r>
      <w:r>
        <w:t xml:space="preserve">. Moliyaviy barqarorlikni baholash nuqtai nazaridan ulardan eng muhimlari quyidagilardir: aktivlarni tasniflash va </w:t>
      </w:r>
      <w:r>
        <w:rPr/>
        <w:t xml:space="preserve">zaxiralarni</w:t>
      </w:r>
      <w:r>
        <w:t xml:space="preserve"> shakllantirish talablarini Bazel standartlari va MHXS 9 asosida qayta ko‘rib chiqish, jumladan muammoli kreditlar ta’rifini 3-bosqich aktivlarini to‘liq qamraydigan qilib kengaytirish va qayta tuzilgan aktivlar ta’rifini </w:t>
      </w:r>
      <w:r>
        <w:rPr/>
        <w:t xml:space="preserve">Bazel standartidagi “forborne exposures” ta’rifiga</w:t>
      </w:r>
      <w:r>
        <w:t xml:space="preserve">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34"/>
      </w:r>
      <w:r>
        <w:t>.</w:t>
      </w:r>
    </w:p>
    <w:p w:rsidR="005603EC" w:rsidRDefault="00AB61AC">
      <w:pPr>
        <w:pStyle w:val="af"/>
        <w:spacing w:after="0" w:line="360" w:lineRule="auto"/>
        <w:ind w:firstLine="709"/>
        <w:jc w:val="both"/>
      </w:pPr>
      <w:r>
        <w:t xml:space="preserve">Shunday qilib, FSAP tavsiyalari va “yo‘l xaritasi” dissertatsiyada aniqlangan muammolarni tasdiqlaydi va ularni hal qilish yo‘nalishlarini belgilaydi. Biroq ular asosan “nima qilish kerak” degan savolga javob beradi, “qanday qilish kerak” degan savolga</w:t>
      </w:r>
      <w:r>
        <w:t xml:space="preserve">, ya’ni muayyan baholash metodikasi, ko‘rsatkichlar, chegaralar va ularning empirik asoslanishi masalasiga </w:t>
      </w:r>
      <w:r>
        <w:rPr/>
        <w:t xml:space="preserve">esa </w:t>
      </w:r>
      <w:r>
        <w:t xml:space="preserve">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Yo‘nalish</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FSAP tavsiyasi va “yo‘l xaritasi” chorasi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Tadqiqot natijasi</w:t>
            </w:r>
          </w:p>
        </w:tc>
        <w:tc>
          <w:tcPr>
            <w:tcW w:w="272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Muallif taklifi</w:t>
            </w:r>
          </w:p>
        </w:tc>
      </w:tr>
      <w:tr w:rsidR="005603EC" w:rsidTr="005603EC">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sifatini to‘g‘ri aks ettirish</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yashirin kredit riski koeffitsiyenti </w:t>
            </w:r>
            <w:r>
              <w:rPr>
                <w:rFonts w:ascii="Times New Roman" w:hAnsi="Times New Roman" w:eastAsia="Times New Roman" w:cs="Times New Roman"/>
                <w:sz w:val="24"/>
                <w:szCs w:val="24"/>
              </w:rPr>
              <w:t xml:space="preserve">uch bankda 1,65–4,90; SQB da 2025-yilda</w:t>
            </w:r>
            <w:r>
              <w:rPr>
                <w:rFonts w:ascii="Times New Roman" w:hAnsi="Times New Roman" w:eastAsia="Times New Roman" w:cs="Times New Roman"/>
                <w:sz w:val="24"/>
                <w:szCs w:val="24"/>
              </w:rPr>
              <w:t xml:space="preserve"> 3-bosqich kreditlarining 57,2 % milliy tasnifda “standart” yoki “substandart”</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Yangi nizom kuchga kirgunga qadar va o‘tish davrida milliy muammoli kreditlar ko‘rsatkichini yashirin kredit riski koeffitsiyenti bilan tuzatgan holda integral indeksga kiritish</w:t>
            </w:r>
          </w:p>
        </w:tc>
      </w:tr>
      <w:tr w:rsidR="005603EC" w:rsidTr="005603EC">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Oshkoralik</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“yo‘l xaritasi”, 5-chora: oshkor qilishga minimal talablar; 19-chora: MHXS asosidagi nazorat hisobotlari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3.2-§: ochiq ma’lumotlarda </w:t>
            </w:r>
            <w:r>
              <w:rPr>
                <w:rFonts w:ascii="Times New Roman" w:hAnsi="Times New Roman" w:eastAsia="Times New Roman" w:cs="Times New Roman"/>
                <w:sz w:val="24"/>
                <w:szCs w:val="24"/>
              </w:rPr>
              <w:t xml:space="preserve">milliy tasnif va MHXS 9 bosqichlari kesishmasi faqat ayrim banklarda oshkor qilinadi, bank kesimidagi prudensial ko‘rsatkichlar esa</w:t>
            </w:r>
            <w:r>
              <w:rPr>
                <w:rFonts w:ascii="Times New Roman" w:hAnsi="Times New Roman" w:eastAsia="Times New Roman" w:cs="Times New Roman"/>
                <w:sz w:val="24"/>
                <w:szCs w:val="24"/>
              </w:rPr>
              <w:t xml:space="preserve"> yo‘q</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tasnif va MHXS 9 bosqichlari kesishma jadvalini hamda bank kesimidagi choraklik prudensial ko‘rsatkichlarni majburiy oshkor qilish</w:t>
            </w:r>
          </w:p>
        </w:tc>
      </w:tr>
      <w:tr w:rsidR="005603EC" w:rsidTr="005603EC">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Masofaviy baholash</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masofaviy nazoratda banklarning risk profilini baholashni takomillashtirish (8-tavsiya)</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3.1-§: 5 blok va 13 ko‘rsatkichdan iborat integral indeks; 3.3-§: indeks iqtisodiy omillar bilan ahamiyatli bog‘langan</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indeksni Markaziy bankning masofaviy monitoringida choraklik reyting vositasi sifatida qo‘llash</w:t>
            </w:r>
          </w:p>
        </w:tc>
      </w:tr>
      <w:tr w:rsidR="005603EC" w:rsidTr="005603EC">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ogohlantirish va tezkor choralar</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4.1-§: indeksning bashorat kuchi AUC = 0,86; qizil </w:t>
            </w:r>
            <w:r>
              <w:rPr>
                <w:rFonts w:ascii="Times New Roman" w:hAnsi="Times New Roman" w:eastAsia="Times New Roman" w:cs="Times New Roman"/>
                <w:sz w:val="24"/>
                <w:szCs w:val="24"/>
              </w:rPr>
              <w:t xml:space="preserve">zonadagi kuzatuvlarda muammo hodisalari ulushi</w:t>
            </w:r>
            <w:r>
              <w:rPr>
                <w:rFonts w:ascii="Times New Roman" w:hAnsi="Times New Roman" w:eastAsia="Times New Roman" w:cs="Times New Roman"/>
                <w:sz w:val="24"/>
                <w:szCs w:val="24"/>
              </w:rPr>
              <w:t xml:space="preserve"> 50 %, yashil zonada 2 %</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indeksga asoslangan uch zonali tizim va har bir zona uchun nazorat choralari</w:t>
            </w:r>
          </w:p>
        </w:tc>
      </w:tr>
      <w:tr w:rsidR="005603EC" w:rsidTr="005603EC">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Stress-test</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FSAP: stress-test ma’lumotlarini qoidalardagi bo‘shliqlarga tuzatish (1-tavsiya); “yo‘l xaritasi”, 7, </w:t>
            </w:r>
            <w:r>
              <w:rPr>
                <w:rFonts w:ascii="Times New Roman" w:hAnsi="Times New Roman" w:eastAsia="Times New Roman" w:cs="Times New Roman"/>
                <w:sz w:val="24"/>
                <w:szCs w:val="24"/>
              </w:rPr>
              <w:t xml:space="preserve">12, 31-choralar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4.2-§: salbiy ssenariylarda qizil zonaga faqat davlat banklari tushadi; SQB </w:t>
            </w:r>
            <w:r>
              <w:rPr>
                <w:rFonts w:ascii="Times New Roman" w:hAnsi="Times New Roman" w:eastAsia="Times New Roman" w:cs="Times New Roman"/>
                <w:sz w:val="24"/>
                <w:szCs w:val="24"/>
              </w:rPr>
              <w:t xml:space="preserve">keskin salbiy ssenariyda milliy</w:t>
            </w:r>
            <w:r>
              <w:rPr>
                <w:rFonts w:ascii="Times New Roman" w:hAnsi="Times New Roman" w:eastAsia="Times New Roman" w:cs="Times New Roman"/>
                <w:sz w:val="24"/>
                <w:szCs w:val="24"/>
              </w:rPr>
              <w:t xml:space="preserve"> hisobot bo‘yicha yashil, MHXS bo‘yicha qizil zonada</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Stress-testlarni MHXS asosidagi integral indeks bilan o‘tkazish va natijalarini erta ogohlantirish zonalari bilan bog‘lash</w:t>
            </w:r>
          </w:p>
        </w:tc>
      </w:tr>
      <w:tr w:rsidR="005603EC" w:rsidTr="005603EC">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ishtirokidagi banklar</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3.2-§: MKB ning davlat ko‘magisiz bahosi 1,72 ball; 3.3-§: davlat banklarining indeksi </w:t>
            </w:r>
            <w:r>
              <w:rPr>
                <w:rFonts w:ascii="Times New Roman" w:hAnsi="Times New Roman" w:eastAsia="Times New Roman" w:cs="Times New Roman"/>
                <w:sz w:val="24"/>
                <w:szCs w:val="24"/>
              </w:rPr>
              <w:t xml:space="preserve">boshqa banklarnikidan 0</w:t>
            </w:r>
            <w:r>
              <w:rPr>
                <w:rFonts w:ascii="Times New Roman" w:hAnsi="Times New Roman" w:eastAsia="Times New Roman" w:cs="Times New Roman"/>
                <w:sz w:val="24"/>
                <w:szCs w:val="24"/>
              </w:rPr>
              <w:t xml:space="preserve">,69 ball past, farqning yarmi moliyalashtirish modeli bilan izohlanadi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ko‘magisiz bahoni majburiy qilish; qayta kapitallashtirishni restrukturizatsiya rejasi va indeks ko‘rsatkichlariga bog‘lash; resurs bazasini diversifikatsiya qilish</w:t>
            </w:r>
          </w:p>
        </w:tc>
      </w:tr>
      <w:tr w:rsidR="005603EC" w:rsidTr="005603EC">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Banklarning ichki baholashi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“yo‘l xaritasi”, 7-chora: tizimli banklarda ICAAP</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3.3, 4.1-§: likvidlik bloki eng zaif; aktivlar sifati bloki eng kuchli signal beradi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r>
      <w:r>
        <w:t xml:space="preserve">qilishi mumkin. Shu bilan birga, ayrim takliflar, xususan, integral indeks, milliy va MHXS hisobotlari asosidagi indekslar farqini o‘lchash, davlat ko‘magisiz baho va kreditlar o‘sishini bank darajasida </w:t>
      </w:r>
      <w:r>
        <w:rPr/>
        <w:t xml:space="preserve">kuzatish,</w:t>
      </w:r>
      <w:r>
        <w:t xml:space="preserve">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6"/>
      </w:r>
      <w:r>
        <w:t xml:space="preserve">. Integral indeks bu jarayonga yagona, takrorlanuvchan va empirik tekshirilgan miqdoriy asos beradi. Uni Markaziy bankka taqdim etiladigan prudensial hisobotlar asosida har chorakda hisoblash mumkin, bunda </w:t>
      </w:r>
      <w:r>
        <w:rPr/>
        <w:t xml:space="preserve">3.3–4.2-paragraflarda</w:t>
      </w:r>
      <w:r>
        <w:t xml:space="preserve">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w:t>
      </w:r>
      <w:r>
        <w:rPr/>
        <w:t xml:space="preserve">tendensiyaga ham mos keladi. Xususan, AQShda</w:t>
      </w:r>
      <w:r>
        <w:rPr/>
        <w:t xml:space="preserve">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7"/>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8"/>
      </w:r>
      <w:r>
        <w:t xml:space="preserve">. 4.1-paragrafda taklif etilgan uch zonali tizim bu </w:t>
      </w:r>
      <w:r>
        <w:rPr/>
        <w:t xml:space="preserve">bo‘shliqni to‘ldiradi, chunki uning chegaralari</w:t>
      </w:r>
      <w:r>
        <w:lastRenderedPageBreak/>
      </w:r>
      <w:r>
        <w:t xml:space="preserve">, ya’ni 2,75 va 3,25 ball, 2021–2025-yillardagi ma’lumotlar asosida tekshirilgan va tahlil davrida qizil zonadagi </w:t>
      </w:r>
      <w:r>
        <w:rPr/>
        <w:t xml:space="preserve">kuzatuvlarning yarmidan keyin</w:t>
      </w:r>
      <w:r>
        <w:t xml:space="preserve">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9"/>
      </w:r>
      <w:r>
        <w:t xml:space="preserve">. Yevropa bank boshqarmasining nazorat tekshiruvi va baholash jarayoni (SREP) bo‘yicha yo‘riqnomasida esa bankning biznes-modeli, boshqaruvi, kapital va likvidlik risklari 1–4 ballik shkalada baholanib, yakuniy ball asosida nazorat choralari, jumladan erta aralashuv </w:t>
      </w:r>
      <w:r>
        <w:rPr/>
        <w:t xml:space="preserve">choralari,</w:t>
      </w:r>
      <w:r>
        <w:t xml:space="preserve"> belgilanadi</w:t>
      </w:r>
      <w:r>
        <w:rPr>
          <w:rStyle w:val="aff8"/>
        </w:rPr>
        <w:footnoteReference w:id="540"/>
      </w:r>
      <w:r>
        <w:t xml:space="preserve">. Taklif etilayotgan tizim bu ikki </w:t>
      </w:r>
      <w:r>
        <w:rPr/>
        <w:t xml:space="preserve">yondashuvni birlashtiradi, ya’ni SREP kabi</w:t>
      </w:r>
      <w:r>
        <w:t xml:space="preserve"> bir nechta blok bo‘yicha integral ballga tayanadi, AQSh tizimi kabi esa har bir zonaga aniq choralarni bog‘laydi. Uning afzalligi shundaki, zonalar chegaralari faqat kapital ko‘rsatkichiga emas, balki aktivlar sifati, likvidlik va daromadlilikka ham asoslanadi, 4.1-paragrafda esa aynan </w:t>
      </w:r>
      <w:r>
        <w:rPr/>
        <w:t xml:space="preserve">kapitalning aktivlarga nisbati</w:t>
      </w:r>
      <w:r>
        <w:t xml:space="preserve">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w:t>
      </w:r>
      <w:r>
        <w:rPr/>
        <w:t xml:space="preserve">(2.3) formula bo‘yicha </w:t>
      </w:r>
      <w:r>
        <w:t xml:space="preserve">tuzatgan holda integral indeksga kiritish maqsadga muvofiq. </w:t>
      </w:r>
      <w:r>
        <w:lastRenderedPageBreak/>
      </w:r>
      <w:r>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41"/>
      </w:r>
      <w:r>
        <w:t xml:space="preserve">.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w:t>
      </w:r>
      <w:r>
        <w:rPr/>
        <w:t xml:space="preserve">hamda “Aloqabank” ATB misolida</w:t>
      </w:r>
      <w:r>
        <w:t xml:space="preserve">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4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Muammoli kreditlar ulushi: milliy, %</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3-bosqich kreditlari ulushi: MHXS, %</w:t>
            </w:r>
          </w:p>
        </w:tc>
        <w:tc>
          <w:tcPr>
            <w:tcW w:w="107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Yashirin kredit riski koeffitsiyenti</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MBII-8: milliy hisobot</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MBII-13: MHXS hisoboti</w:t>
            </w:r>
          </w:p>
        </w:tc>
        <w:tc>
          <w:tcPr>
            <w:tcW w:w="107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Zona: milliy hisobot</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Zona: MHXS hisoboti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qizil</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1,81</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bl>
    <w:p w:rsidR="005603EC" w:rsidRDefault="00AB61AC">
      <w:pPr>
        <w:pStyle w:val="af"/>
        <w:spacing w:after="0" w:line="360" w:lineRule="auto"/>
        <w:ind w:firstLine="709"/>
        <w:jc w:val="both"/>
      </w:pPr>
      <w:r>
        <w:lastRenderedPageBreak/>
      </w:r>
      <w:r>
        <w:t xml:space="preserve">Jadvaldan ko‘rinib turibdiki, MHXS ma’lumotlariga o‘tish beshta bankdan uchtasining erta ogohlantirish zonasini yomon </w:t>
      </w:r>
      <w:r>
        <w:rPr/>
        <w:t xml:space="preserve">tomonga o‘zgartiradi. Xususan, “O‘zsanoatqurilishbank”</w:t>
      </w:r>
      <w:r>
        <w:t xml:space="preserve"> ATB va “Ipoteka-bank” ATB yashil zonadan sariq zonaga, “Mikrokreditbank” ATB esa sariq zonadan qizil zonaga o‘tadi.</w:t>
      </w:r>
      <w:r>
        <w:rPr/>
        <w:t xml:space="preserve"> Oltinchi bank – “Aloqabank” ATB da ham xuddi shunday </w:t>
      </w:r>
      <w:r>
        <w:rPr/>
        <w:t xml:space="preserve">holat kuzatiladi, chunki u milliy</w:t>
      </w:r>
      <w:r>
        <w:rPr/>
        <w:t xml:space="preserve"> hisobot bo‘yicha yashil zonada (3,26 ball), MHXS bo‘yicha esa sariq zonada (2,78 ball) joylashadi, ya’ni oltita bankdan to‘rttasining zonasi yomonlashadi.</w:t>
      </w:r>
      <w:r>
        <w:t xml:space="preserve"> Yashirin kredit riski koeffitsiyenti banklar o‘rtasida </w:t>
      </w:r>
      <w:r>
        <w:rPr/>
        <w:t xml:space="preserve">keskin farq qiladi. Masalan, “Xalq banki”</w:t>
      </w:r>
      <w:r>
        <w:t xml:space="preserve">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w:t>
      </w:r>
      <w:r>
        <w:rPr/>
        <w:t xml:space="preserve">milliy indeksdan biroz yuqori, chunki 3-bosqich</w:t>
      </w:r>
      <w:r>
        <w:t xml:space="preserve"> kreditlari ulushi yuqori bo‘lsa-da, 2-bosqich kreditlari ulushi nisbatan past (11,0 foiz), MHXS bo‘yicha kapital rentabelligi 16,3 foizni tashkil etib, milliy hisobotdagi 9,6 foizdan yuqori, </w:t>
      </w:r>
      <w:r>
        <w:rPr/>
        <w:t xml:space="preserve">8 ko‘rsatkichli panel indeksida mavjud bo‘lmagan valyuta riski bloki esa yuqori ball (3,96) olgan. Demak, MHXS ma’lumotlariga va to‘liq indeksga o‘tish faqat aktivlar sifatini emas, balki boshqa bloklarni ham</w:t>
      </w:r>
      <w:r>
        <w:t xml:space="preserve"> o‘zgartiradi va uning ta’siri har bir bank uchun alohida baholanishi lozim.</w:t>
      </w:r>
      <w:r>
        <w:rPr/>
        <w:t xml:space="preserve"> Ta’kidlash lozimki, jadvaldagi </w:t>
      </w:r>
      <w:r>
        <w:rPr/>
        <w:t xml:space="preserve">“MBII-8:</w:t>
      </w:r>
      <w:r>
        <w:rPr/>
        <w:t xml:space="preserve"> milliy hisobot” ustunida 4.1-paragrafdagi 8 ko‘rsatkichli choraklik panel indeksi keltirilgan</w:t>
      </w:r>
      <w:r>
        <w:rPr/>
        <w:t xml:space="preserve">. </w:t>
      </w:r>
      <w:r>
        <w:rPr/>
        <w:t xml:space="preserve">13 ko‘rsatkichli to‘liq indeks (MBII-13)</w:t>
      </w:r>
      <w:r>
        <w:rPr/>
        <w:t xml:space="preserve"> bo‘yicha milliy hisobot asosidagi qiymatlar 3.1.5-jadvalda berilgan (“O‘zsanoatqurilishbank” ATB – 3,27, “Mikrokreditbank” ATB – 3,13</w:t>
      </w:r>
      <w:r>
        <w:rPr/>
        <w:t xml:space="preserve">, “Aloqabank” ATB – 3,248</w:t>
      </w:r>
      <w:r>
        <w:rPr/>
        <w:t xml:space="preserve">) va ular </w:t>
      </w:r>
      <w:r>
        <w:rPr/>
        <w:t xml:space="preserve">“O‘zsanoatqurilishbank” ATB hamda “Mikrokreditbank” ATB bo‘yicha zonalar o‘zgarishi to‘g‘risidagi xulosani o‘zgartirmaydi. “Aloqabank” ATB ning MBII-13 bo‘yicha milliy indeksi esa yashil zona chegarasidan 0,002 ball past bo‘lgani sababli bank ikkala variantda ham sariq zonada qoladi, biroq MHXS ma’lumotlariga o‘tishda indeks 0,47 ballga pasayib, qizil zona chegarasiga yaqinlashadi</w:t>
      </w:r>
      <w:r>
        <w:rPr/>
        <w:t xml:space="preserve">.</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43"/>
      </w:r>
      <w:r>
        <w:t xml:space="preserve">. Dissertatsiya davomida bu muammo </w:t>
      </w:r>
      <w:r>
        <w:rPr/>
        <w:t xml:space="preserve">amaliy jihatdan tasdiqlandi. Xususan, ochiq</w:t>
      </w:r>
      <w:r>
        <w:t xml:space="preserve"> ma’lumotlarda bank kesimidagi kapital monandligi koeffitsiyentlari, likvidlik </w:t>
      </w:r>
      <w:r>
        <w:lastRenderedPageBreak/>
      </w:r>
      <w:r>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44"/>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 xml:space="preserve">Beshinchi taklif stress-test amaliyotini takomillashtirishga qaratilgan. 4.2-paragrafda ko‘rsatilganidek, milliy hisobot ma’lumotlari asosidagi stress-test bankning bardoshliligini sezilarli </w:t>
      </w:r>
      <w:r>
        <w:rPr/>
        <w:t xml:space="preserve">oshirib ko‘rsatadi. Masalan, “O‘zsanoatqurilishbank” ATB keskin</w:t>
      </w:r>
      <w:r>
        <w:t xml:space="preserve"> salbiy ssenariyda milliy hisobot bo‘yicha yashil zonada qolsa, MHXS bo‘yicha qizil zonaga tushadi. FSAP ham kapital to‘liq aks ettirilmagan muammoli kreditlarga tuzatilganda stress natijalari ancha yomonlashishini ko‘rsatgan</w:t>
      </w:r>
      <w:r>
        <w:rPr>
          <w:rStyle w:val="aff8"/>
        </w:rPr>
        <w:footnoteReference w:id="545"/>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t>faoliyatining dastlabki bosqichida bo‘lgan va kredit</w:t>
      </w:r>
      <w:r>
        <w:t xml:space="preserve"> portfeli </w:t>
      </w:r>
      <w:r>
        <w:lastRenderedPageBreak/>
      </w:r>
      <w:r>
        <w:t xml:space="preserve">tez kengaygan bank bilan bog‘liq bo‘lgan. Shu sababli erta ogohlantirish tizimida integral indeks bilan bir qatorda kreditlar yillik o‘sish sur</w:t>
      </w:r>
      <w:r>
        <w:rPr/>
        <w:t xml:space="preserve">’</w:t>
      </w:r>
      <w:r>
        <w:t xml:space="preserve">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6"/>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w:t>
      </w:r>
      <w:r>
        <w:rPr/>
        <w:t xml:space="preserve">ning qariyb yarmi</w:t>
      </w:r>
      <w:r>
        <w:t xml:space="preserve"> ularning moliyalashtirish modeli – depozit bazasining torligi va imtiyozli kreditlarning past foiz marjasi bilan izohlanadi, depozitlar ulushining 10 foiz punktga oshishi esa indeksni uzoq muddatda </w:t>
      </w:r>
      <w:r>
        <w:rPr/>
        <w:t xml:space="preserve">qariyb 0,17 ballga oshiradi</w:t>
      </w:r>
      <w:r>
        <w:t xml:space="preserve">.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7"/>
      </w:r>
      <w:r>
        <w:t xml:space="preserve">. Bunda bank integral indeks bloklari bo‘yicha ichki maqsadli darajalar va </w:t>
      </w:r>
      <w:r>
        <w:lastRenderedPageBreak/>
      </w:r>
      <w:r>
        <w:t xml:space="preserve">limitlar belgilashi, ularni har chorakda monitoring qilishi va indeks sariq zonaga yaqinlashganda tuzatish choralarini ko‘rishi mumkin. Tahlil natijalariga ko‘ra, banklarning, ayniqsa davlat </w:t>
      </w:r>
      <w:r>
        <w:rPr/>
        <w:t xml:space="preserve">banklarining,</w:t>
      </w:r>
      <w:r>
        <w:t xml:space="preserve">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 xml:space="preserve">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w:t>
      </w:r>
      <w:r>
        <w:rPr/>
        <w:t xml:space="preserve"> aniqlangan, chunki davlat ko‘magi davlat banklarining daromadliligini barqarorlashtiradi</w:t>
      </w:r>
      <w:r>
        <w:t xml:space="preserve">.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rPr/>
        <w:t xml:space="preserve">Umuman olganda, t</w:t>
      </w:r>
      <w:r>
        <w:t xml:space="preserve">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Jihat</w:t>
            </w:r>
          </w:p>
        </w:tc>
        <w:tc>
          <w:tcPr>
            <w:tcW w:w="374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Amaldagi amaliyot</w:t>
            </w:r>
          </w:p>
        </w:tc>
        <w:tc>
          <w:tcPr>
            <w:tcW w:w="385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etilayotgan tizim</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asosi</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Prudensial normativlarga rioya qilish va kuratorlarning asoslangan mulohazasi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tasnif bo‘yicha muammoli kreditlar</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ko‘magi</w:t>
            </w:r>
          </w:p>
        </w:tc>
        <w:tc>
          <w:tcPr>
            <w:tcW w:w="374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baholanmaydi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 uchun davlat ko‘magisiz indeks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Signal va choralar</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Choralar asosan normativ buzilgandan keyin qo‘llanadi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Bashorat elementi</w:t>
            </w:r>
          </w:p>
        </w:tc>
        <w:tc>
          <w:tcPr>
            <w:tcW w:w="374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Tizim darajasidagi stress-test</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Empirik tekshiruv</w:t>
            </w:r>
          </w:p>
        </w:tc>
        <w:tc>
          <w:tcPr>
            <w:tcW w:w="374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Natijalar e’lon qilinmaydi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Oshkoralik</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kesimida cheklangan ko‘rsatkichlar</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9"/>
      </w:r>
      <w:r>
        <w:t>.</w:t>
      </w:r>
    </w:p>
    <w:p w:rsidR="005603EC" w:rsidRDefault="00AB61AC">
      <w:pPr>
        <w:pStyle w:val="af"/>
        <w:spacing w:after="0" w:line="360" w:lineRule="auto"/>
        <w:ind w:firstLine="709"/>
        <w:jc w:val="both"/>
      </w:pPr>
      <w:r>
        <w:rPr/>
        <w:t xml:space="preserve">Yuqoridagi qiyosiy tahlildan kelib chiqib aytish mumkinki, t</w:t>
      </w:r>
      <w:r>
        <w:t xml:space="preserve">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50"/>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r>
      <w:r>
        <w:t xml:space="preserve">darajasiga keltiriladi. Ikkinchi bosqichda besh blok bo‘yicha integral </w:t>
      </w:r>
      <w:r>
        <w:rPr/>
        <w:t xml:space="preserve">indeks va MHXS hamda milliy indekslar farqi (ΔMBII)</w:t>
      </w:r>
      <w:r>
        <w:t xml:space="preserve">,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rPr/>
        <w:t xml:space="preserve">Yuqorida qayd etilganlardan kelib chiqib, takliflar</w:t>
      </w:r>
      <w:r>
        <w:t xml:space="preserve"> “yo‘l xaritasi” choralari bilan muvofiqlashtirilgan holda uch bosqichda amalga oshirilishi maqsadga muvofiq (4.3.4-jadval).</w:t>
      </w:r>
    </w:p>
    <w:p w:rsidR="005603EC" w:rsidRDefault="00AB61AC">
      <w:pPr>
        <w:pStyle w:val="af"/>
        <w:spacing w:after="0" w:line="360" w:lineRule="auto"/>
        <w:ind w:firstLine="709"/>
        <w:jc w:val="both"/>
      </w:pPr>
      <w:r>
        <w:rPr/>
        <w:t xml:space="preserve">4.3.4-jadvaldan </w:t>
      </w:r>
      <w:r>
        <w:t xml:space="preserve">ko‘rinib turibdiki, takliflar “yo‘l xaritasi”ni almashtirmaydi, balki uning choralarini amaliy metodika bilan ta’minlaydi. Birinchi bosqichda </w:t>
      </w:r>
      <w:r>
        <w:rPr/>
        <w:t xml:space="preserve">indeksni hisoblash uchun qo‘shimcha normativ hujjatlar talab qilinmaydi, chunki u Markaziy bankda mavjud prudensial hisobotlar asosida hisoblanishi mumkin, kesishma jadvali esa “yo‘l xaritasi” doirasida ishlab chiqilayotgan oshkor qilish talablariga kiritiladi</w:t>
      </w:r>
      <w:r>
        <w:lastRenderedPageBreak/>
      </w:r>
      <w:r>
        <w:t xml:space="preserve">.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Bosqich</w:t>
            </w:r>
          </w:p>
        </w:tc>
        <w:tc>
          <w:tcPr>
            <w:tcW w:w="317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Chora-tadbirlar</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Mas’ul</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“Yo‘l xaritasi”dagi bog‘liq chora</w:t>
            </w:r>
          </w:p>
        </w:tc>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Natija ko‘rsatkichi</w:t>
            </w:r>
          </w:p>
        </w:tc>
      </w:tr>
      <w:tr w:rsidR="005603EC" w:rsidTr="005603EC">
        <w:trPr>
          <w:cantSplit/>
        </w:trPr>
        <w:tc>
          <w:tcPr>
            <w:tcW w:w="124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bosqich (2026-yil)</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5, 18, 19-choralar</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bosqich (2027-yil)</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 Iqtisodiyot va moliya vazirligi, banklar</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7, 9, 12, </w:t>
            </w:r>
            <w:r>
              <w:rPr>
                <w:rFonts w:ascii="Times New Roman" w:hAnsi="Times New Roman" w:eastAsia="Times New Roman" w:cs="Times New Roman"/>
                <w:sz w:val="24"/>
                <w:szCs w:val="24"/>
              </w:rPr>
              <w:t xml:space="preserve">17, 31-choralar</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III bosqich (2028-yil)</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 </w:t>
            </w:r>
            <w:r>
              <w:rPr>
                <w:rFonts w:ascii="Times New Roman" w:hAnsi="Times New Roman" w:eastAsia="Times New Roman" w:cs="Times New Roman"/>
                <w:sz w:val="24"/>
                <w:szCs w:val="24"/>
              </w:rPr>
              <w:t xml:space="preserve">19, 31, 35-choralar</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Yashirin kredit riski koeffitsiyentining birga yaqinlashishi; chegaralar bashorat kuchining qayta tekshiruvi</w:t>
            </w:r>
          </w:p>
        </w:tc>
      </w:tr>
    </w:tbl>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 xml:space="preserve">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w:t>
      </w:r>
      <w:r>
        <w:rPr/>
        <w:t xml:space="preserve">da (48 foiz)</w:t>
      </w:r>
      <w:r>
        <w:t xml:space="preserve"> yuz bergan.</w:t>
      </w:r>
    </w:p>
    <w:p w:rsidR="005603EC" w:rsidRDefault="00AB61AC">
      <w:pPr>
        <w:numPr>
          <w:ilvl w:val="0"/>
          <w:numId w:val="13"/>
        </w:numPr>
        <w:spacing w:after="0" w:line="360" w:lineRule="auto"/>
        <w:ind w:firstLine="709"/>
        <w:jc w:val="both"/>
      </w:pPr>
      <w:r>
        <w:t xml:space="preserve">Taklif etilgan integral indeks muammo hodisalarini to‘rt chorak oldin yuqori aniqlik bilan </w:t>
      </w:r>
      <w:r>
        <w:rPr/>
        <w:t xml:space="preserve">bashorat qiladi. Xususan, uning ROC</w:t>
      </w:r>
      <w:r>
        <w:t xml:space="preserve">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 xml:space="preserve">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w:t>
      </w:r>
      <w:r>
        <w:rPr/>
        <w:t xml:space="preserve">2025-yilda milliy</w:t>
      </w:r>
      <w:r>
        <w:t xml:space="preserve">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r>
      <w:r>
        <w:t xml:space="preserve">2022-yillardagi iqtisodiy o‘sish pasayishi asosida tuzildi. YaIM o‘sishining kredit riskiga ta’siri taxminan to‘rt chorakdan keyin namoyon bo‘lishi aniqlandi, ikki mustaqil model esa deyarli bir xil sezgirlik </w:t>
      </w:r>
      <w:r>
        <w:rPr/>
        <w:t xml:space="preserve">koeffitsiyentini berdi. Natijalarga ko‘ra, YaIM o‘sish</w:t>
      </w:r>
      <w:r>
        <w:t xml:space="preserve">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 xml:space="preserve">Asosiy va ijobiy ssenariylarda bank tizimi barqaror qoladi, keskin salbiy ssenariyda esa 2027-yilda muammoli kreditlar ulushi 2,9 foizdan 4,6 foizgacha oshadi, to‘rtta bank qizil zonaga tushib, ularning </w:t>
      </w:r>
      <w:r>
        <w:rPr/>
        <w:t xml:space="preserve">tanlangan banklar</w:t>
      </w:r>
      <w:r>
        <w:t xml:space="preserve"> aktivlaridagi ulushi 24,3 foizni tashkil etadi. Qizil zonaga tushadigan banklarning barchasi davlat banklari hisoblanadi. Milliy hisobot ma’lumotlari asosidagi stress-test bankning shokka bardoshliligini </w:t>
      </w:r>
      <w:r>
        <w:rPr/>
        <w:t xml:space="preserve">oshirib ko‘rsatadi. Masalan, “O‘zsanoatqurilishbank” ATB keskin</w:t>
      </w:r>
      <w:r>
        <w:t xml:space="preserve"> salbiy ssenariyda milliy hisobot bo‘yicha yashil zonada qolsa, MHXS bo‘yicha qizil zonaga tushadi.</w:t>
      </w:r>
    </w:p>
    <w:p w:rsidR="005603EC" w:rsidRDefault="00AB61AC">
      <w:pPr>
        <w:numPr>
          <w:ilvl w:val="0"/>
          <w:numId w:val="13"/>
        </w:numPr>
        <w:spacing w:after="0" w:line="360" w:lineRule="auto"/>
        <w:ind w:firstLine="709"/>
        <w:jc w:val="both"/>
      </w:pPr>
      <w:r>
        <w:t xml:space="preserve">Xalqaro valyuta jamg‘armasi va Jahon bankining moliya sektorini baholash dasturi (FSAP) natijalari dissertatsiyada aniqlangan </w:t>
      </w:r>
      <w:r>
        <w:rPr/>
        <w:t xml:space="preserve">muammolarni tasdiqladi. Xususan, tizim darajasida</w:t>
      </w:r>
      <w:r>
        <w:t xml:space="preserve">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 xml:space="preserve">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w:t>
      </w:r>
      <w:r>
        <w:rPr/>
        <w:t xml:space="preserve">– </w:t>
      </w:r>
      <w:r>
        <w:t xml:space="preserve">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rPr/>
        <w:t xml:space="preserve">Xalqaro standartlar tahlili shuni ko‘rsatdiki, B</w:t>
      </w:r>
      <w:r>
        <w:t xml:space="preserve">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w:t>
      </w:r>
      <w:r>
        <w:rPr/>
        <w:t xml:space="preserve">kamaytirib</w:t>
      </w:r>
      <w:r>
        <w:t xml:space="preserve">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rPr/>
        <w:t xml:space="preserve">Tahlil natijalari ko‘rsatishicha, 2</w:t>
      </w:r>
      <w:r>
        <w:t xml:space="preserve">021–2025-yillarda O‘zbekiston bank tizimi jadal o‘sdi, davlat banklarining aktivlardagi ulushi 81,5 foizdan 63,5 foizgacha kamaydi, rasmiy kapital monandligi 17,4–18,3 foiz darajasida saqlandi. Biroq aktivlar sifati bank tizimining eng zaif bo‘g‘ini </w:t>
      </w:r>
      <w:r>
        <w:rPr/>
        <w:t xml:space="preserve">bo‘lib qolmoqda, chunki rasmiy muammoli</w:t>
      </w:r>
      <w:r>
        <w:t xml:space="preserve">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 xml:space="preserve">Milliy hisobotdagi muammoli kreditlar ko‘rsatkichining kredit riskini </w:t>
      </w:r>
      <w:r>
        <w:rPr/>
        <w:t xml:space="preserve">kamaytirib</w:t>
      </w:r>
      <w:r>
        <w:t xml:space="preserve"> ko‘rsatish darajasini o‘lchash uchun yashirin kredit riski koeffitsiyenti taklif etildi. U tahlil qilingan banklarda 1,7–5,6 ni, “O‘zsanoatqurilishbank” ATB da 1,65–2,96 ni, “Mikrokreditbank” ATB da </w:t>
      </w:r>
      <w:r>
        <w:rPr/>
        <w:t xml:space="preserve">2,77–3,28</w:t>
      </w:r>
      <w:r>
        <w:t xml:space="preserve"> ni</w:t>
      </w:r>
      <w:r>
        <w:rPr/>
        <w:t>, “Aloqabank” ATB da 2,46–4,90 ni</w:t>
      </w:r>
      <w:r>
        <w:t xml:space="preserve"> tashkil etdi. Koeffitsiyentning banklar o‘rtasida keskin farq qilishi uni tizim bo‘yicha yagona qiymat sifatida emas, balki har bir bank uchun alohida hisoblash </w:t>
      </w:r>
      <w:r>
        <w:lastRenderedPageBreak/>
      </w:r>
      <w:r>
        <w:t xml:space="preserve">zarurligini ko‘rsatadi. S</w:t>
      </w:r>
      <w:r>
        <w:rPr/>
        <w:t xml:space="preserve">huningdek, sof barqaror moliyalashtirish me’yorini to‘rt variantda hisoblash natijalari</w:t>
      </w:r>
      <w:r>
        <w:t xml:space="preserve"> metodika farqi me’yorni 5,4 foiz punktga oshirishini, MHXS tuzatishlari esa </w:t>
      </w:r>
      <w:r>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w:t>
      </w:r>
      <w:r>
        <w:rPr/>
        <w:t xml:space="preserve">(</w:t>
      </w:r>
      <w:r>
        <w:t xml:space="preserve">kapital yetarliligi, aktivlar sifati, likvidlik, daromadlilik va valyuta riskiga sezgirlik</w:t>
      </w:r>
      <w:r>
        <w:rPr/>
        <w:t xml:space="preserve">)</w:t>
      </w:r>
      <w:r>
        <w:t xml:space="preserve">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w:t>
      </w:r>
      <w:r>
        <w:rPr/>
        <w:t xml:space="preserve">“Mikrokreditbank” ATB da −0,66, “Aloqabank” ATB da −0,47 ballni tashkil etib, uning 56–86 foizi</w:t>
      </w:r>
      <w:r>
        <w:t xml:space="preserve"> aktivlar sifati blokiga to‘g‘ri keladi, ya’ni milliy hisobot banklar barqarorligini </w:t>
      </w:r>
      <w:r>
        <w:rPr/>
        <w:t xml:space="preserve">bir sinfgacha oshirib</w:t>
      </w:r>
      <w:r>
        <w:t xml:space="preserve"> ko‘rsatadi.</w:t>
      </w:r>
    </w:p>
    <w:p w:rsidR="005603EC" w:rsidRDefault="00AB61AC">
      <w:pPr>
        <w:numPr>
          <w:ilvl w:val="0"/>
          <w:numId w:val="15"/>
        </w:numPr>
        <w:spacing w:after="0" w:line="360" w:lineRule="auto"/>
        <w:ind w:firstLine="709"/>
        <w:jc w:val="both"/>
      </w:pPr>
      <w:r>
        <w:rPr/>
        <w:t xml:space="preserve">Indeks vaznlari va sinflar chegaralari </w:t>
      </w:r>
      <w:r>
        <w:rPr/>
        <w:t xml:space="preserve">empirik jihatdan tekshirildi. Xususan, aktivlar sifati</w:t>
      </w:r>
      <w:r>
        <w:rPr/>
        <w:t xml:space="preserve"> blokining </w:t>
      </w:r>
      <w:r>
        <w:rPr/>
        <w:t xml:space="preserve">tayanch vazn</w:t>
      </w:r>
      <w:r>
        <w:rPr/>
        <w:t xml:space="preserve">i entropiya, variatsiya koeffitsiyenti, bosh komponentlar va logit usullari bo‘yicha olingan baholar oralig‘ida (0,27–0,57) joylashadi, bashorat jihatidan esa bu blok yagona ahamiyatli blok hisoblanadi</w:t>
      </w:r>
      <w:r>
        <w:rPr/>
        <w:t xml:space="preserve">. Shu bilan birga, banklar tartibi</w:t>
      </w:r>
      <w:r>
        <w:t xml:space="preserve"> vaznlarning oqilona o‘zgarishlariga barqaror </w:t>
      </w:r>
      <w:r>
        <w:rPr/>
        <w:t>(tartib korrelyatsiyasi 0,95–0,98)</w:t>
      </w:r>
      <w:r>
        <w:t xml:space="preserve">. </w:t>
      </w:r>
      <w:r>
        <w:rPr/>
        <w:t xml:space="preserve">Sinflar chegaralarini tekshirish natijalariga ko‘ra, I</w:t>
      </w:r>
      <w:r>
        <w:t xml:space="preserve">,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w:t>
      </w:r>
      <w:r>
        <w:rPr/>
        <w:t xml:space="preserve">boshqa banklarnikidan 0,69 ballga past</w:t>
      </w:r>
      <w:r>
        <w:t xml:space="preserve">ligini va bu farqning qariyb yarmi moliyalashtirish modeli bilan izohlanishini ko‘rsatdi. Davlat ko‘magi chiqarib tashlangan holda “Mikrokreditbank” ATB ning indeksi 2,47 balldan 1,72 ballgacha, ya’ni nobarqaror sinfgacha pasayadi. An’anaviy Z-score </w:t>
      </w:r>
      <w:r>
        <w:lastRenderedPageBreak/>
      </w:r>
      <w:r>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rPr/>
        <w:t xml:space="preserve">Bundan tashqari, i</w:t>
      </w:r>
      <w:r>
        <w:t xml:space="preserve">ntegral indeks bankda jiddiy zarar yuzaga kelishini to‘rt chorak oldin yuqori aniqlik bilan </w:t>
      </w:r>
      <w:r>
        <w:rPr/>
        <w:t xml:space="preserve">bashorat qiladi. Xususan, uning bashorat kuchi</w:t>
      </w:r>
      <w:r>
        <w:t xml:space="preserve">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 xml:space="preserve">2020 va 2022-yillarda kuzatilgan iqtisodiy shoklar asosida tuzilgan 2026–2028-yillarga shartli ssenariy prognozi asosiy va ijobiy ssenariylarda bank tizimi barqaror qolishini, keskin salbiy ssenariyda esa 2027-yilda muammoli kreditlar ulushi 2,9 foizdan 4,6 foizgacha oshib, </w:t>
      </w:r>
      <w:r>
        <w:rPr/>
        <w:t xml:space="preserve">tanlangan banklar</w:t>
      </w:r>
      <w:r>
        <w:t xml:space="preserve">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 xml:space="preserve">Tijorat banklariga: integral indeks bloklarini kapital yetarliligini ichki baholash jarayoniga va risk-appetit tizimiga kiritish, likvidlik bloki bo‘yicha, xususan, kreditlarning depozitlarga nisbati </w:t>
      </w:r>
      <w:r>
        <w:rPr/>
        <w:t xml:space="preserve">bo‘yicha,</w:t>
      </w:r>
      <w:r>
        <w:t xml:space="preserve">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rPr/>
        <w:t xml:space="preserve">57. National Financial Regulatory Administration (2023-yil maygacha – China Banking and Insurance Regulatory Commission). Supervisory Statistics of the Banking and Insurance Sectors (Major regulatory indicators of the banking and insurance sectors): 2021–2025-yillar IV choraklari,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 xml:space="preserve">90. Ларионова И.В. Стабильность банковской системы в условиях переходной экономики: дис. … д-ра экон. наук: 08.00.10. – М.: Финансовая академия при Правительстве Российской Федерации, 2001. – 415 с.</w:t>
      </w:r>
    </w:p>
    <w:p w:rsidR="005603EC" w:rsidRPr="009E01BD" w:rsidRDefault="00AB61AC">
      <w:pPr>
        <w:pStyle w:val="af"/>
        <w:spacing w:after="0" w:line="360" w:lineRule="auto"/>
        <w:ind w:firstLine="709"/>
        <w:jc w:val="both"/>
        <w:rPr>
          <w:lang w:val="ru-RU"/>
        </w:rPr>
      </w:pPr>
      <w:r>
        <w:rPr>
          <w:lang w:val="ru-RU"/>
        </w:rPr>
        <w:t>91.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92.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94.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95.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96.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97.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98.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99. Adrian T., Brunnermeier M.K. CoVaR // American Economic Review. – 2016. – Vol. 106, No. 7. – P. 1705–1741.</w:t>
      </w:r>
    </w:p>
    <w:p w:rsidR="005603EC" w:rsidRDefault="00AB61AC">
      <w:pPr>
        <w:pStyle w:val="af"/>
        <w:spacing w:after="0" w:line="360" w:lineRule="auto"/>
        <w:ind w:firstLine="709"/>
        <w:jc w:val="both"/>
      </w:pPr>
      <w:r>
        <w:t>100.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101.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102.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103.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104.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105.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106.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107.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108.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109. Charoenwong B., Miao M., Ruan T. Nonperforming Loan Disposals Without Resolution // Management Science. – 2025. – Vol. 71, No. 1. – P. 898–916.</w:t>
      </w:r>
    </w:p>
    <w:p w:rsidR="005603EC" w:rsidRDefault="00AB61AC">
      <w:pPr>
        <w:pStyle w:val="af"/>
        <w:spacing w:after="0" w:line="360" w:lineRule="auto"/>
        <w:ind w:firstLine="709"/>
        <w:jc w:val="both"/>
      </w:pPr>
      <w:r>
        <w:t>110.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111.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112.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113.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114. Correia S., Luck S., Verner E. Failing Banks // Quarterly Journal of Economics. – 2026. – Vol. 141, No. 1. – P. 147–204.</w:t>
      </w:r>
    </w:p>
    <w:p w:rsidR="005603EC" w:rsidRDefault="00AB61AC">
      <w:pPr>
        <w:pStyle w:val="af"/>
        <w:spacing w:after="0" w:line="360" w:lineRule="auto"/>
        <w:ind w:firstLine="709"/>
        <w:jc w:val="both"/>
      </w:pPr>
      <w:r>
        <w:t>115.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116.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117.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118.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119.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120. Diamond D.W., Dybvig P.H. Bank Runs, Deposit Insurance, and Liquidity // Journal of Political Economy. – 1983. – Vol. 91, No. 3. – P. 401–419.</w:t>
      </w:r>
    </w:p>
    <w:p w:rsidR="005603EC" w:rsidRDefault="00AB61AC">
      <w:pPr>
        <w:pStyle w:val="af"/>
        <w:spacing w:after="0" w:line="360" w:lineRule="auto"/>
        <w:ind w:firstLine="709"/>
        <w:jc w:val="both"/>
      </w:pPr>
      <w:r>
        <w:rPr/>
        <w:t xml:space="preserve">121. Diamond D.W., Rajan R.G. Liquidity Risk, Liquidity Creation, and Financial Fragility: A Theory of Banking // Journal of Political Economy. – 2001. – Vol. 109, No. 2. – P. 287–327.</w:t>
      </w:r>
    </w:p>
    <w:p w:rsidR="005603EC" w:rsidRDefault="00AB61AC">
      <w:pPr>
        <w:pStyle w:val="af"/>
        <w:spacing w:after="0" w:line="360" w:lineRule="auto"/>
        <w:ind w:firstLine="709"/>
        <w:jc w:val="both"/>
      </w:pPr>
      <w:r>
        <w:t>122. Fawcett T. An introduction to ROC analysis // Pattern Recognition Letters. – 2006. – Vol. 27, No. 8. – P. 861–874.</w:t>
      </w:r>
    </w:p>
    <w:p w:rsidR="005603EC" w:rsidRDefault="00AB61AC">
      <w:pPr>
        <w:pStyle w:val="af"/>
        <w:spacing w:after="0" w:line="360" w:lineRule="auto"/>
        <w:ind w:firstLine="709"/>
        <w:jc w:val="both"/>
      </w:pPr>
      <w:r>
        <w:t>123. Foos D., Norden L., Weber M. Loan growth and riskiness of banks // Journal of Banking &amp; Finance. – 2010. – Vol. 34, No. 12. – P. 2929–2940.</w:t>
      </w:r>
    </w:p>
    <w:p w:rsidR="005603EC" w:rsidRDefault="00AB61AC">
      <w:pPr>
        <w:pStyle w:val="af"/>
        <w:spacing w:after="0" w:line="360" w:lineRule="auto"/>
        <w:ind w:firstLine="709"/>
        <w:jc w:val="both"/>
      </w:pPr>
      <w:r>
        <w:t>124.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125. Hausman J.A. Specification Tests in Econometrics // Econometrica. – 1978. – Vol. 46, No. 6. – P. 1251–1271.</w:t>
      </w:r>
    </w:p>
    <w:p w:rsidR="005603EC" w:rsidRDefault="00AB61AC">
      <w:pPr>
        <w:pStyle w:val="af"/>
        <w:spacing w:after="0" w:line="360" w:lineRule="auto"/>
        <w:ind w:firstLine="709"/>
        <w:jc w:val="both"/>
      </w:pPr>
      <w:r>
        <w:t>126.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127.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128.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129. Kaminsky G., Lizondo S., Reinhart C.M. Leading Indicators of Currency Crises // IMF Staff Papers. – 1998. – Vol. 45, No. 1. – P. 1–48.</w:t>
      </w:r>
    </w:p>
    <w:p w:rsidR="005603EC" w:rsidRDefault="00AB61AC">
      <w:pPr>
        <w:pStyle w:val="af"/>
        <w:spacing w:after="0" w:line="360" w:lineRule="auto"/>
        <w:ind w:firstLine="709"/>
        <w:jc w:val="both"/>
      </w:pPr>
      <w:r>
        <w:t>130.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131. Laeven L., Levine R. Bank governance, regulation and risk taking // Journal of Financial Economics. – 2009. – Vol. 93, No. 2. – P. 259–275.</w:t>
      </w:r>
    </w:p>
    <w:p w:rsidR="005603EC" w:rsidRDefault="00AB61AC">
      <w:pPr>
        <w:pStyle w:val="af"/>
        <w:spacing w:after="0" w:line="360" w:lineRule="auto"/>
        <w:ind w:firstLine="709"/>
        <w:jc w:val="both"/>
      </w:pPr>
      <w:r>
        <w:t>132. Laeven L., Valencia F. Systemic Banking Crises Database II // IMF Economic Review. – 2020. – Vol. 68, No. 2. – P. 307–361.</w:t>
      </w:r>
    </w:p>
    <w:p w:rsidR="005603EC" w:rsidRDefault="00AB61AC">
      <w:pPr>
        <w:pStyle w:val="af"/>
        <w:spacing w:after="0" w:line="360" w:lineRule="auto"/>
        <w:ind w:firstLine="709"/>
        <w:jc w:val="both"/>
      </w:pPr>
      <w:r>
        <w:t>133.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134.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135.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136.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137.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138. Mishkin F.S. Global Financial Instability: Framework, Events, Issues // Journal of Economic Perspectives. – 1999. – Vol. 13, No. 4. – P. 3–20.</w:t>
      </w:r>
    </w:p>
    <w:p w:rsidR="005603EC" w:rsidRDefault="00AB61AC">
      <w:pPr>
        <w:pStyle w:val="af"/>
        <w:spacing w:after="0" w:line="360" w:lineRule="auto"/>
        <w:ind w:firstLine="709"/>
        <w:jc w:val="both"/>
      </w:pPr>
      <w:r>
        <w:t>139. Nickell S. Biases in Dynamic Models with Fixed Effects // Econometrica. – 1981. – Vol. 49, No. 6. – P. 1417–1426.</w:t>
      </w:r>
    </w:p>
    <w:p w:rsidR="005603EC" w:rsidRDefault="00AB61AC">
      <w:pPr>
        <w:pStyle w:val="af"/>
        <w:spacing w:after="0" w:line="360" w:lineRule="auto"/>
        <w:ind w:firstLine="709"/>
        <w:jc w:val="both"/>
      </w:pPr>
      <w:r>
        <w:t>140. Roy A.D. Safety First and the Holding of Assets // Econometrica. – 1952. – Vol. 20, No. 3. – P. 431–449.</w:t>
      </w:r>
    </w:p>
    <w:p w:rsidR="005603EC" w:rsidRDefault="00AB61AC">
      <w:pPr>
        <w:pStyle w:val="af"/>
        <w:spacing w:after="0" w:line="360" w:lineRule="auto"/>
        <w:ind w:firstLine="709"/>
        <w:jc w:val="both"/>
      </w:pPr>
      <w:r>
        <w:t>141.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142. Shannon C.E. A Mathematical Theory of Communication // Bell System Technical Journal. – 1948. – Vol. 27, No. 3. – P. 379–423.</w:t>
      </w:r>
    </w:p>
    <w:p w:rsidR="005603EC" w:rsidRDefault="00AB61AC">
      <w:pPr>
        <w:pStyle w:val="af"/>
        <w:spacing w:after="0" w:line="360" w:lineRule="auto"/>
        <w:ind w:firstLine="709"/>
        <w:jc w:val="both"/>
      </w:pPr>
      <w:r>
        <w:t>143.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144.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145.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146.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147.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148.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149.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150.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151.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152.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153.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154.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155.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156.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157.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158.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159.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160.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161.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162.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163.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164.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165.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166.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167.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168.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169. O‘zbekiston Respublikasi Markaziy banki. Statistik byulleten: 2021-yil. – Toshkent, 2022. – https://cbu.uz/uz/statistics/buleten/.</w:t>
      </w:r>
    </w:p>
    <w:p w:rsidR="005603EC" w:rsidRDefault="00AB61AC">
      <w:pPr>
        <w:pStyle w:val="af"/>
        <w:spacing w:after="0" w:line="360" w:lineRule="auto"/>
        <w:ind w:firstLine="709"/>
        <w:jc w:val="both"/>
      </w:pPr>
      <w:r>
        <w:t>170. O‘zbekiston Respublikasi Markaziy banki. Statistik byulleten: 2026-yil mart. – Toshkent, 2026. – https://cbu.uz/uz/statistics/buleten/.</w:t>
      </w:r>
    </w:p>
    <w:p w:rsidR="005603EC" w:rsidRDefault="00AB61AC">
      <w:pPr>
        <w:pStyle w:val="af"/>
        <w:spacing w:after="0" w:line="360" w:lineRule="auto"/>
        <w:ind w:firstLine="709"/>
        <w:jc w:val="both"/>
      </w:pPr>
      <w:r>
        <w:t>171. O‘zbekiston Respublikasi Markaziy banki. Moliyaviy barqarorlik sharhi: 2022-yil. – Toshkent, 2023.</w:t>
      </w:r>
    </w:p>
    <w:p w:rsidR="005603EC" w:rsidRDefault="00AB61AC">
      <w:pPr>
        <w:pStyle w:val="af"/>
        <w:spacing w:after="0" w:line="360" w:lineRule="auto"/>
        <w:ind w:firstLine="709"/>
        <w:jc w:val="both"/>
      </w:pPr>
      <w:r>
        <w:t xml:space="preserve">172. </w:t>
      </w:r>
      <w:r>
        <w:rPr/>
        <w:t xml:space="preserve">O‘zbekiston Respublikasi Markaziy banki. Moliyaviy barqarorlik sharhi: 2023-yil. – Toshkent, 2024.</w:t>
      </w:r>
    </w:p>
    <w:p w:rsidR="005603EC" w:rsidRDefault="00AB61AC">
      <w:pPr>
        <w:pStyle w:val="af"/>
        <w:spacing w:after="0" w:line="360" w:lineRule="auto"/>
        <w:ind w:firstLine="709"/>
        <w:jc w:val="both"/>
      </w:pPr>
      <w:r>
        <w:t>173. O‘zbekiston Respublikasi Markaziy banki. 2024-yil uchun moliyaviy barqarorlik sharhi. – Toshkent, 2025.</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 xml:space="preserve">181.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2022 года, и аудиторское заключение независимого аудитора. – Ташкент, 2023.</w:t>
      </w:r>
    </w:p>
    <w:p w:rsidR="005603EC" w:rsidRPr="009E01BD" w:rsidRDefault="00AB61AC">
      <w:pPr>
        <w:pStyle w:val="af"/>
        <w:spacing w:after="0" w:line="360" w:lineRule="auto"/>
        <w:ind w:firstLine="709"/>
        <w:jc w:val="both"/>
        <w:rPr>
          <w:lang w:val="ru-RU"/>
        </w:rPr>
      </w:pPr>
      <w:r>
        <w:rPr>
          <w:lang w:val="ru-RU"/>
        </w:rPr>
        <w:t>182.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 xml:space="preserve">183. Joint Stock Commercial Bank “Uzbek Industrial and Construction Bank” and its subsidiaries. Consolidated Financial Statements and Independent Auditor’s Report for the year ended 31 December 2024. – Tashkent, 2025.</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 xml:space="preserve">185.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w:t>
      </w:r>
    </w:p>
    <w:p w:rsidR="005603EC" w:rsidRPr="009E01BD" w:rsidRDefault="00AB61AC">
      <w:pPr>
        <w:pStyle w:val="af"/>
        <w:spacing w:after="0" w:line="360" w:lineRule="auto"/>
        <w:ind w:firstLine="709"/>
        <w:jc w:val="both"/>
        <w:rPr>
          <w:lang w:val="ru-RU"/>
        </w:rPr>
      </w:pPr>
      <w:r>
        <w:rPr>
          <w:lang w:val="ru-RU"/>
        </w:rPr>
        <w:t>186.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 xml:space="preserve">187.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w:t>
      </w:r>
    </w:p>
    <w:p w:rsidR="005603EC" w:rsidRPr="009E01BD" w:rsidRDefault="00AB61AC">
      <w:pPr>
        <w:pStyle w:val="af"/>
        <w:spacing w:after="0" w:line="360" w:lineRule="auto"/>
        <w:ind w:firstLine="709"/>
        <w:jc w:val="both"/>
        <w:rPr>
          <w:lang w:val="ru-RU"/>
        </w:rPr>
      </w:pPr>
      <w:r>
        <w:rPr>
          <w:lang w:val="ru-RU"/>
        </w:rPr>
        <w:t>188.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189.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190.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191.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192.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rPr/>
        <w:t xml:space="preserve">193. Joint-Stock Commercial Bank “Qishloq Qurilish Bank”. Consolidated Financial Statements for the year ended 31 December 2022 and Independent Auditor’s Report. – Tashkent: Deloitte &amp; Touche, 2023.</w:t>
      </w:r>
    </w:p>
    <w:p w:rsidR="005603EC" w:rsidRDefault="00AB61AC">
      <w:pPr>
        <w:pStyle w:val="af"/>
        <w:spacing w:after="0" w:line="360" w:lineRule="auto"/>
        <w:ind w:firstLine="709"/>
        <w:jc w:val="both"/>
      </w:pPr>
      <w:r>
        <w:rPr/>
        <w:t xml:space="preserve">194. Joint-Stock Commercial Bank “Business Development Bank”. Consolidated Financial Statements for the year ended 31 December 2023 and Independent Auditor’s Report. – Tashkent: Deloitte &amp; Touche, 2024.</w:t>
      </w:r>
    </w:p>
    <w:p w:rsidR="005603EC" w:rsidRDefault="00AB61AC">
      <w:pPr>
        <w:pStyle w:val="af"/>
        <w:spacing w:after="0" w:line="360" w:lineRule="auto"/>
        <w:ind w:firstLine="709"/>
        <w:jc w:val="both"/>
      </w:pPr>
      <w:r>
        <w:rPr/>
        <w:t xml:space="preserve">195. Joint-Stock Commercial Bank “Business Development Bank”. Consolidated Financial Statements for the year ended 31 December 2024 and Independent Auditor’s Report. – Tashkent: Deloitte &amp; Touche, 2025.</w:t>
      </w:r>
    </w:p>
    <w:p w:rsidR="005603EC" w:rsidRDefault="00AB61AC">
      <w:pPr>
        <w:pStyle w:val="af"/>
        <w:spacing w:after="0" w:line="360" w:lineRule="auto"/>
        <w:ind w:firstLine="709"/>
        <w:jc w:val="both"/>
      </w:pPr>
      <w:r>
        <w:t>196.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197.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rPr/>
        <w:t xml:space="preserve">198. Joint-Stock Commercial “Xalq Bank”.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t xml:space="preserve">199. Joint-Stock Commercial “Xalq Bank”.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200.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rPr/>
        <w:t xml:space="preserve">201. Joint Stock Commercial Mortgage Bank “Ipoteka Bank” and its subsidiaries. Consolidated Financial Statements and Independent Auditors’ Report for the year ended 31 December 2022. – Tashkent: KPMG Audit, 2023.</w:t>
      </w:r>
    </w:p>
    <w:p w:rsidR="005603EC" w:rsidRDefault="00AB61AC">
      <w:pPr>
        <w:pStyle w:val="af"/>
        <w:spacing w:after="0" w:line="360" w:lineRule="auto"/>
        <w:ind w:firstLine="709"/>
        <w:jc w:val="both"/>
      </w:pPr>
      <w:r>
        <w:t>202.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t xml:space="preserve">203. Joint Stock Commercial Mortgage Bank “Ipoteka-bank” and its subsidiaries.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 xml:space="preserve">204. </w:t>
      </w:r>
      <w:r>
        <w:rPr/>
        <w:t>O‘zbekiston Respublikasi Markaziy banki. Moliyaviy barqarorlik sharhi: 2025-yil. – Toshkent, 2026.</w:t>
      </w:r>
    </w:p>
    <w:p w:rsidR="005603EC" w:rsidRDefault="00AB61AC">
      <w:pPr>
        <w:pStyle w:val="af"/>
        <w:spacing w:after="0" w:line="360" w:lineRule="auto"/>
        <w:ind w:firstLine="709"/>
        <w:jc w:val="both"/>
      </w:pPr>
      <w:r>
        <w:t>205. The Central Bank of the Republic of Uzbekistan. Financial Stability Report for H1 2025. – Tashkent, 2025. – https://cbu.uz.</w:t>
      </w:r>
    </w:p>
    <w:p w:rsidR="005603EC" w:rsidRDefault="00AB61AC">
      <w:pPr>
        <w:pStyle w:val="af"/>
        <w:spacing w:after="0" w:line="360" w:lineRule="auto"/>
        <w:ind w:firstLine="709"/>
        <w:jc w:val="both"/>
      </w:pPr>
      <w:r>
        <w:t>206.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207.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208.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(3,82)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 (3,35)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 (3,93)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 (2,52)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 (3,10)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(2,83)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 (2,50)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20,4 (2,46)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 (3,06)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 (2,92)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 (1,79)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 (3,03)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 (3,55)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 (3,37)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 (3,35)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 (3,54)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 (2,59)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(2,12)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 (3,66)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328,4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221,0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(3,41)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(2,52)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 (3,02)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 (3,49)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 (2,75)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(3,14)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 (3,51)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64,9 (1,01)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63,0 (1,13)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62,4 (1,17)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61,2 (1,25)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66,5 (1,23)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60,4 (1,64)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2,92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2,72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(1,30)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(1,53)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 (1,83)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(1,52)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 (1,88)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25,8 (1,92)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 (1,97)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24,2 (1,58)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(1,09)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 (2,09)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(2,20)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(2,46)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 (3,09)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407,3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324,5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 (1,06)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(1,10)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 (1,22)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 (1,05)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 (1,07)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(1,16)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64,1 (2,79)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71,1 (2,44)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87,6 (1,62)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40,8 (2,95)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 (3,37)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 (3,64)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30,6 (3,63)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2,18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2,31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2,22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2,25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 (3,97)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 (3,16)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 (1,49)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 (3,32)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 (3,60)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 (3,52)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(3,36)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(3,08)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7,9 (3,97)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 (2,75)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10,9 (1,82)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 (2,37)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 (3,69)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(3,00)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 (1,73)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(3,80)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 (1,86)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 (3,30)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 (1,93)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18,0 (3,60)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426,4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425,4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242,2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(1,11)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(3,20)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 (1,13)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50,7 (3,62)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62,2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50,7 (3,62)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47,6 (3,83)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81,0 (1,95)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23,8 (3,75)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27,4 (3,51)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21,9 (3,87)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 (3,91)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 (3,77)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 (3,59)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 (3,47)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 (3,87)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2,25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2,03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2,58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 (3,90)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 (3,33)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 (3,34)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13,7 (1,25)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 (2,96)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(2,86)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(3,05)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(3,67)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10,5 (3,89)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 (2,17)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 (2,56)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(3,02)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 (2,94)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 (2,56)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(1,99)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448,1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417,2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(3,28)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 (3,55)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 (3,40)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 (3,95)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46,8 (3,88)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43,7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 (3,66)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 (3,75)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2,66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2,96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3,20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(3,81)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 (3,56)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 (2,56)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 (2,59)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16,6 (2,84)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 (2,72)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 (3,04)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 (3,97)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 (2,62)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10,9 (2,91)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(2,28)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 (3,12)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 (2,92)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 (2,91)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276,4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327,5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228,9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47,5 (3,83)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(3,24)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 (3,06)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(3,67)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44,3 (2,71)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41,6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 (3,37)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29,2 (3,72)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24,8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3,32 (barqaror)</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3,37 (barqaror)</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2,69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3,13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 (3,65)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9,8 (3,71)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 (3,55)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(3,83)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 (3,41)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 (3,04)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(2,01)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 (2,01)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 (2,78)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 (2,50)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 (2,56)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 (2,73)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 (3,48)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(2,30)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(2,28)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 (2,22)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 (3,82)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(2,45)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(2,78)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12,7 (2,54)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123,1 (2,54)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128,0 (2,44)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124,9 (2,50)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105,6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140,1 (2,20)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 (2,82)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(3,32)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 (2,84)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57,1 (3,19)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61,1 (2,94)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52,2 (3,52)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87,5 (1,63)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89,0 (1,55)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45,3 (2,65)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41,7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 (3,30)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25,9 (3,94)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(3,57)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3,01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2,97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3,17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3,10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(3,88)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 (3,94)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 (3,61)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(3,80)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(3,04)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(2,66)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(3,92)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(3,92)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 (3,54)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 (2,59)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(2,12)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 (3,66)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206,5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(3,82)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(2,39)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(3,34)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 (3,96)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 (2,52)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(3,20)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64,1 (1,06)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62,6 (1,16)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60,1 (1,33)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69,8 (1,01)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66,0 (1,27)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60,9 (1,61)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3,29 (barqaror)</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3,13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3,14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3,09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 (3,30)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 (3,95)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18,7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 (3,11)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 (2,80)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(3,19)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 (3,30)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 (2,57)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 (2,05)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 (2,37)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 (2,39)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(3,38)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 (2,74)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(3,54)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 (2,97)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 (2,09)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(2,20)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(2,46)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 (3,09)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343,0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208,5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 (1,46)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(1,20)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 (1,33)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 (1,85)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(1,38)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 (1,14)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(1,22)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(1,69)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49,4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70,6 (2,47)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89,7 (1,52)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65,5 (2,72)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 (3,11)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(3,46)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 (3,63)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 (3,86)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 (3,12)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 (3,42)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30,1 (3,66)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(3,57)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2,79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2,65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2,78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Tarkibiy qismlar</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1-variant: Markaziy bank metodikasi, milliy hisobot</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2-variant: Bazel III metodikasi, milliy hisobot</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3-variant: Markaziy bank metodikasi, MHXS</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4-variant: Bazel III metodikasi, MHXS</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Muddati bir yildan ortiq majburiyatlar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 yilgacha va muddatsiz majburiyatlar (koeffitsiyent bilan)</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12 131,2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16 156,4</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12 131,2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16 156,4</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Mavjud barqaror moliyalashtirish</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74 132,6</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78 157,9</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72 531,3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76 556,6</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Muddati bir yildan ortiq aktivlar (koeffitsiyent bilan)</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42 221,4</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35 639,3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39 837,5</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33 613,0</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Muddati bir yilgacha aktivlar (koeffitsiyent bilan)</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11 317,3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16 926,9</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10 852,7</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16 152,3</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va sud jarayonidagi kreditlar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2 639,0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436,0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5 539,9</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3 336,9</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vositalar va boshqa nolikvid aktivlar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3 767,7</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7 949,0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3 767,7</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7 949,0</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Balansdan tashqari majburiyatlar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702,2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304,1</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702,2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304,1</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Talab qilinadigan barqaror moliyalashtirish</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60 647,6</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61 255,3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60 700,0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61 355,3</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Sof barqaror moliyalashtirish me’yori,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122,2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127,6</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119,5</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 IV</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IV</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IV</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Agrobank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 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Asaka 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Asia Alliance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Hamkorbank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Ipak yo‘li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KDB Bank O‘zbekiston</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Orient Finance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O‘zmilliybank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Trast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Turon 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Universal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Ziraat Bank Uzbekistan</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Mediana</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IV</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IV</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Agrobank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 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Asaka 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Asia Alliance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Hamkorbank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Ipak yo‘li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KDB Bank O‘zbekiston</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Orient Finance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O‘zmilliybank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Trast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Turon 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Universal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Ziraat Bank Uzbekistan</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Mediana</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vAlign w:val="center"/>
          </w:tcPr>
          <w:p w:rsidR="005603EC" w:rsidRDefault="005603EC">
            <w:pPr>
              <w:jc w:val="center"/>
              <w:rPr>
                <w:rFonts w:ascii="Times New Roman" w:hAnsi="Times New Roman" w:eastAsia="Times New Roman" w:cs="Times New Roman"/>
                <w:sz w:val="24"/>
                <w:szCs w:val="24"/>
              </w:rPr>
            </w:pP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ln(Z)</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ln(aktivlar)</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Kredit o‘sishi (t−4)</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Depozit/aktiv</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NIM</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Davlat</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YaIM o‘sishi</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Inflyatsiya</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stavka</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USD kursi</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o‘sishi (t−4)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Depozit/aktiv</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NIM</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Inflyatsiya</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stavka</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USD kursi</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Chegara (</w:t>
            </w:r>
            <w:r>
              <w:rPr>
                <w:rFonts w:ascii="Times New Roman" w:hAnsi="Times New Roman" w:eastAsia="Times New Roman" w:cs="Times New Roman"/>
                <w:b/>
                <w:sz w:val="24"/>
                <w:szCs w:val="24"/>
              </w:rPr>
              <w:t xml:space="preserve">MBII-8</w:t>
            </w:r>
            <w:r>
              <w:rPr>
                <w:rFonts w:ascii="Times New Roman" w:hAnsi="Times New Roman" w:eastAsia="Times New Roman" w:cs="Times New Roman"/>
                <w:b/>
                <w:sz w:val="24"/>
                <w:szCs w:val="24"/>
              </w:rPr>
              <w:t xml:space="preserve">)</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To‘g‘ri signal</w:t>
            </w:r>
          </w:p>
        </w:tc>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O‘tkazib yuborilgan hodisa</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Noto‘g‘ri signal</w:t>
            </w:r>
          </w:p>
        </w:tc>
        <w:tc>
          <w:tcPr>
            <w:tcW w:w="158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To‘g‘ri “signalsiz”</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 tur xato, %</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II tur xato, %</w:t>
            </w:r>
          </w:p>
        </w:tc>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Shovqin/signal nisbati</w:t>
            </w:r>
          </w:p>
        </w:tc>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Youden indeksi, %</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18,9</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55,9</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57,6</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60,7</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59,5</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54,1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168</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188</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2027</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2027</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2027</w:t>
            </w:r>
          </w:p>
        </w:tc>
        <w:tc>
          <w:tcPr>
            <w:tcW w:w="198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2027</w:t>
            </w:r>
          </w:p>
        </w:tc>
        <w:tc>
          <w:tcPr>
            <w:tcW w:w="243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Muammoli kreditlar ulushi: 2025 → keskin salbiy 2027, %</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Agrobank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 → 5,2</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 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4,0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 → 7,5</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Asaka 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 → 5,7</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Asia Alliance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 1,8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 → 7,1</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3,21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 → 5,1</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 → 7,8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Hamkorbank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 1,3</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4,0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Ipak yo‘li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 1,8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 5,6</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KDB Bank O‘zbekiston</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 → 0,0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4,4</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2,72 (qizil)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2,58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 → 6,9</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Orient Finance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 0,2</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O‘zmilliybank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4,5</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4,0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3,252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4,4</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2,92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 → 9,0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Trast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 5,5</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Turon 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 (qizil)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 → 5,4</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Universal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 → 0,8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3,254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 4,8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Ziraat Bank Uzbekistan</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Entropiya vazni</w:t>
            </w:r>
          </w:p>
        </w:tc>
        <w:tc>
          <w:tcPr>
            <w:tcW w:w="606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0,015</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0,003</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0,003</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0,129</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0,066</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0,125</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0,029</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0,193</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0,207</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0,062</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0,085</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0,084</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92,8 / 59,6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93,0 / 55,8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92,3 / 56,0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86,0 / 50,5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95,2 / 62,2</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87,5 / 63,2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77,9 / 55,5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81,4 / 49,9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81,2 / 50,9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56,2 / 43,1</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51,2 / 48,2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85,7 / 56,0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99,6 / 80,6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64,1 / 60,8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56,8 / 47,3</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76,6 / 59,6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87,2 / 63,7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92,9 / 55,0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59,2 / 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74,5 / 70,6</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72,5 / 58,5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77,1 / 60,3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83,2 / 62,4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73,1 / 41,2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74,8 / 43,0</w:t>
            </w:r>
          </w:p>
        </w:tc>
      </w:tr>
    </w:tbl>
    <w:p w:rsidR="005603EC" w:rsidRDefault="00AB61AC">
      <w:pPr>
        <w:spacing w:after="80" w:line="240" w:lineRule="auto"/>
        <w:jc w:val="both"/>
      </w:pPr>
      <w:r>
        <w:rPr>
          <w:i/>
          <w:sz w:val="20"/>
        </w:rPr>
        <w:t xml:space="preserve">Izoh: har bir katakda vaznlar </w:t>
      </w:r>
      <w:r>
        <w:rPr>
          <w:i/>
          <w:sz w:val="20"/>
        </w:rPr>
        <w:t xml:space="preserve">tayanch vaznlar</w:t>
      </w:r>
      <w:r>
        <w:rPr>
          <w:i/>
          <w:sz w:val="20"/>
        </w:rPr>
        <w:t xml:space="preserve">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w:t>
            </w:r>
          </w:p>
        </w:tc>
        <w:tc>
          <w:tcPr>
            <w:tcW w:w="27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Bank, mamlakat</w:t>
            </w:r>
          </w:p>
        </w:tc>
        <w:tc>
          <w:tcPr>
            <w:tcW w:w="7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Yil</w:t>
            </w:r>
          </w:p>
        </w:tc>
        <w:tc>
          <w:tcPr>
            <w:tcW w:w="63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Rasmiy hisobotlarda qayd etilgan sabablar</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B</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N</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F</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L</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S</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D</w:t>
            </w:r>
          </w:p>
        </w:tc>
        <w:tc>
          <w:tcPr>
            <w:tcW w:w="133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Manba</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Greensill Bank AG (Germaniya)</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2021</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Balansdagi GFG Alliance guruhi debitorlik qarzlari mavjudligini tasdiqlay olmaslik (kredit konsentratsiyasi); balansni soxtalashtirish bo‘yicha jinoiy ariza</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BaFin</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Silicon Valley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Boshqaruv tez o‘sish va konsentratsiya risklarini nazorat qilmagan; foiz stavkasi riski xedjlari olib tashlangan; 40 mlrd dollarlik depozitlar oqimi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FRT OIG, 2023-SR-B-013</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Signature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Likvidlik va favqulodda moliyalashtirish mexanizmlarining yetarli emasligi; boshqaruvning risk menejmenti amaliyoti zaif</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EVAL-24-02</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First Republic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Sug‘urtalanmagan depozitlar konsentratsiyasi, aktiv va passivlar muddatlarining nomutanosibligi, foiz stavkasi riski; boshqa banklar inqirozining yuqumli ta’siri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EVAL-24-03</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w:t>
            </w:r>
          </w:p>
        </w:tc>
        <w:tc>
          <w:tcPr>
            <w:tcW w:w="27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Heartland Tri-State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 direktorning firibgarlik bilan bog‘liq 47,1 mln dollarlik pul o‘tkazmalari; ichki nazoratning buzilishi va rahbarning hukmron mavqei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FRT OIG, 2024-SR-B-004</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Citizens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Kengash va boshqaruvning sust kreditlash amaliyoti; yirik yuk tashish kompaniyalari kreditlarining yomonlashuvi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AEC 24-01</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North Channel Bank (Germaniya)</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Surunkali zarar va barqaror biznes modelining yo‘qligi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BaFin</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SVB UK (Buyuk Britaniya)</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 bank inqirozi sababli depozitlar oqimi va likvidlik tanqisligi; mijozlar bazasining texnologiya sohasida konsentratsiyasi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Angliya banki</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Republic First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2024</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Muddatigacha saqlanadigan qimmatli qog‘ozlar bo‘yicha zararlarni tan olish (foiz stavkasi riski); kengash va boshqaruvning samarasizligi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EVAL-25-01</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w:t>
            </w:r>
          </w:p>
        </w:tc>
        <w:tc>
          <w:tcPr>
            <w:tcW w:w="27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First National Bank of Lindsay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2024</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Ichki nazoratning keskin buzilishi natijasida kredit portfeli va likvid aktivlarga ta’sir qilgan firibgarlik</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G‘aznachilik OIG, OIG-25-024</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Pulaski Savings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2025</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Kapitalning qadrsizlanishi: buxgalteriya tizimida aks ettirilmagan 20,7 mln dollarlik depozit sertifikatlari; kengash va boshqaruv nazoratining zaifligi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REV-25-02, EVAL-26-01</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w:t>
            </w:r>
          </w:p>
        </w:tc>
        <w:tc>
          <w:tcPr>
            <w:tcW w:w="27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Santa Anna National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2025</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Ichki nazoratning keskin buzilishi natijasida kredit portfeliga ta’sir qilgan firibgarlik; kengash nazoratining zaifligi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G‘aznachilik OIG, OIG-26-023</w:t>
            </w:r>
          </w:p>
        </w:tc>
      </w:tr>
      <w:tr>
        <w:trPr>
          <w:cantSplit/>
        </w:trPr>
        <w:tc>
          <w:tcPr>
            <w:tcW w:w="6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
            </w:r>
          </w:p>
        </w:tc>
        <w:tc>
          <w:tcPr>
            <w:tcW w:w="27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Jami, %</w:t>
            </w:r>
          </w:p>
        </w:tc>
        <w:tc>
          <w:tcPr>
            <w:tcW w:w="7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
            </w:r>
          </w:p>
        </w:tc>
        <w:tc>
          <w:tcPr>
            <w:tcW w:w="63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12 ta bank bo‘yicha ulush</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58</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17</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33</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33</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33</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25</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8</w:t>
            </w:r>
          </w:p>
        </w:tc>
        <w:tc>
          <w:tcPr>
            <w:tcW w:w="1330" w:type="dxa"/>
            <w:shd w:val="clear" w:color="auto" w:fill="DEEBF7"/>
          </w:tcPr>
          <w:p>
            <w:pP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w:t>
      </w:r>
      <w:r>
        <w:rPr/>
        <w:t xml:space="preserve">O‘zbekiston Respublikasi Markaziy banki. Moliyaviy barqarorlik sharhi: 2025-yil. – Toshkent,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w:t>
      </w:r>
      <w:r>
        <w:rPr/>
        <w:t xml:space="preserve">Tadqiqotlar jarayonida muallif tomonidan tuzilgan.</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rPr/>
        <w:t xml:space="preserve">Tadqiqotlar jarayonida muallif tomonidan tuzilgan.</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rPr/>
        <w:t xml:space="preserve">Tadqiqotlar jarayonida muallif tomonidan tuzilgan.</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w:t>
      </w:r>
      <w:r>
        <w:rPr>
          <w:lang w:val="ru-RU"/>
        </w:rPr>
        <w:t xml:space="preserve">Финансы и статистика, 1999. – С. 17; </w:t>
      </w:r>
      <w:r w:rsidRPr="009E01BD">
        <w:rPr>
          <w:lang w:val="ru-RU"/>
        </w:rPr>
        <w:t xml:space="preserve">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Default="00AB61AC">
      <w:pPr>
        <w:pStyle w:val="aff9"/>
      </w:pPr>
      <w:r>
        <w:rPr>
          <w:rStyle w:val="aff8"/>
        </w:rPr>
        <w:footnoteRef/>
      </w:r>
      <w:r>
        <w:rPr/>
        <w:t xml:space="preserve"> Ларионова И.В. Стабильность банковской системы в условиях переходной экономики: дис. … д-ра экон. наук: 08.00.10. – М.: Финансовая академия при Правительстве Российской Федерации, 2001. – С. 35–37.</w:t>
      </w:r>
    </w:p>
  </w:footnote>
  <w:footnote w:id="61">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2">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3">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5">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7">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8">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9">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70">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1">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2">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3">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4">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5">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6">
    <w:p w:rsidR="00AB61AC" w:rsidRDefault="00AB61AC">
      <w:pPr>
        <w:pStyle w:val="aff9"/>
      </w:pPr>
      <w:r>
        <w:rPr>
          <w:rStyle w:val="aff8"/>
        </w:rPr>
        <w:footnoteRef/>
      </w:r>
      <w:r>
        <w:t xml:space="preserve"> Tadqiqot natijasida muallif tomonidan ishlab chiqildi.</w:t>
      </w:r>
    </w:p>
  </w:footnote>
  <w:footnote w:id="7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8">
    <w:p w:rsidR="00AB61AC" w:rsidRPr="009E01BD" w:rsidRDefault="00AB61AC">
      <w:pPr>
        <w:pStyle w:val="aff9"/>
        <w:rPr>
          <w:lang w:val="ru-RU"/>
        </w:rPr>
      </w:pPr>
      <w:r>
        <w:rPr>
          <w:rStyle w:val="aff8"/>
        </w:rPr>
        <w:footnoteRef/>
      </w:r>
      <w:r w:rsidRPr="009E01BD">
        <w:rPr>
          <w:lang w:val="ru-RU"/>
        </w:rPr>
        <w:t xml:space="preserve"> </w:t>
      </w:r>
      <w:r>
        <w:rPr/>
        <w:t xml:space="preserve">Tadqiqotlar jarayonida muallif tomonidan tuzilgan.</w:t>
      </w:r>
    </w:p>
  </w:footnote>
  <w:footnote w:id="7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1">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4">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5">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6">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7">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8">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90">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1">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3">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4">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5">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6">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7">
    <w:p w:rsidR="00AB61AC" w:rsidRDefault="00AB61AC">
      <w:pPr>
        <w:pStyle w:val="aff9"/>
      </w:pPr>
      <w:r>
        <w:rPr>
          <w:rStyle w:val="aff8"/>
        </w:rPr>
        <w:footnoteRef/>
      </w:r>
      <w:r>
        <w:t xml:space="preserve"> Roy A.D. Safety First and the Holding of Assets // Econometrica. – 1952. – Vol. 20, No. 3. – P. 431–449.</w:t>
      </w:r>
    </w:p>
  </w:footnote>
  <w:footnote w:id="98">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9">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100">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1">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2">
    <w:p w:rsidR="00AB61AC" w:rsidRDefault="00AB61AC">
      <w:pPr>
        <w:pStyle w:val="aff9"/>
      </w:pPr>
      <w:r>
        <w:rPr>
          <w:rStyle w:val="aff8"/>
        </w:rPr>
        <w:footnoteRef/>
      </w:r>
      <w:r>
        <w:t xml:space="preserve"> Adrian T., Brunnermeier M.K. CoVaR // American Economic Review. – 2016. – Vol. 106, No. 7. – P. 1705–1741.</w:t>
      </w:r>
    </w:p>
  </w:footnote>
  <w:footnote w:id="103">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4">
    <w:p w:rsidR="00AB61AC" w:rsidRDefault="00AB61AC">
      <w:pPr>
        <w:pStyle w:val="aff9"/>
      </w:pPr>
      <w:r>
        <w:rPr>
          <w:rStyle w:val="aff8"/>
        </w:rPr>
        <w:footnoteRef/>
      </w:r>
      <w:r>
        <w:t xml:space="preserve"> IFRS 9 Financial Instruments. – London: International Accounting Standards Board, 2014.</w:t>
      </w:r>
    </w:p>
  </w:footnote>
  <w:footnote w:id="105">
    <w:p w:rsidR="00AB61AC" w:rsidRDefault="00AB61AC">
      <w:pPr>
        <w:pStyle w:val="aff9"/>
      </w:pPr>
      <w:r>
        <w:rPr>
          <w:rStyle w:val="aff8"/>
        </w:rPr>
        <w:footnoteRef/>
      </w:r>
      <w:r>
        <w:t xml:space="preserve"> </w:t>
      </w:r>
      <w:r>
        <w:rPr/>
        <w:t xml:space="preserve">Tadqiqotlar jarayonida muallif tomonidan tuzilgan.</w:t>
      </w:r>
    </w:p>
  </w:footnote>
  <w:footnote w:id="106">
    <w:p w:rsidR="00AB61AC" w:rsidRDefault="00AB61AC">
      <w:pPr>
        <w:pStyle w:val="aff9"/>
      </w:pPr>
      <w:r>
        <w:rPr>
          <w:rStyle w:val="aff8"/>
        </w:rPr>
        <w:footnoteRef/>
      </w:r>
      <w:r>
        <w:t xml:space="preserve"> Tadqiqot natijasida muallif tomonidan ishlab chiqildi.</w:t>
      </w:r>
    </w:p>
  </w:footnote>
  <w:footnote w:id="107">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9">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10">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1">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3">
    <w:p w:rsidR="00AB61AC" w:rsidRDefault="00AB61AC">
      <w:pPr>
        <w:pStyle w:val="aff9"/>
      </w:pPr>
      <w:r>
        <w:rPr>
          <w:rStyle w:val="aff8"/>
        </w:rPr>
        <w:footnoteRef/>
      </w:r>
      <w:r w:rsidRPr="009E01BD">
        <w:rPr>
          <w:lang w:val="ru-RU"/>
        </w:rPr>
        <w:t xml:space="preserve"> </w:t>
      </w:r>
      <w:r>
        <w:rPr/>
        <w:t xml:space="preserve">Tadqiqotlar jarayonida muallif tomonidan tuzilgan.</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7">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8">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20">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1">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2">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3">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4">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5">
    <w:p w:rsidR="00AB61AC" w:rsidRDefault="00AB61AC">
      <w:pPr>
        <w:pStyle w:val="aff9"/>
      </w:pPr>
      <w:r>
        <w:rPr>
          <w:rStyle w:val="aff8"/>
        </w:rPr>
        <w:footnoteRef/>
      </w:r>
      <w:r>
        <w:t xml:space="preserve"> </w:t>
      </w:r>
      <w:r>
        <w:rPr/>
        <w:t xml:space="preserve">Tadqiqotlar jarayonida muallif tomonidan tuzilgan.</w:t>
      </w:r>
    </w:p>
  </w:footnote>
  <w:footnote w:id="126">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7">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9">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30">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1">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2">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3">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4">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5">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w:t>
      </w:r>
      <w:r>
        <w:rPr/>
        <w:t xml:space="preserve">Tadqiqotlar jarayonida muallif tomonidan tuzilgan.</w:t>
      </w:r>
    </w:p>
  </w:footnote>
  <w:footnote w:id="141">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2">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3">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w:t>
      </w:r>
      <w:r>
        <w:rPr/>
        <w:t xml:space="preserve">Tadqiqotlar jarayonida muallif tomonidan tuzilgan.</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6">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7">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8">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9">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50">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1">
    <w:p w:rsidR="00AB61AC" w:rsidRDefault="00AB61AC">
      <w:pPr>
        <w:pStyle w:val="aff9"/>
      </w:pPr>
      <w:r>
        <w:rPr>
          <w:rStyle w:val="aff8"/>
        </w:rPr>
        <w:footnoteRef/>
      </w:r>
      <w:r>
        <w:t xml:space="preserve"> Basel Committee on Banking Supervision. Basel III: The Net Stable Funding Ratio. – Basel: BIS, October 2014.</w:t>
      </w:r>
    </w:p>
  </w:footnote>
  <w:footnote w:id="152">
    <w:p w:rsidR="00AB61AC" w:rsidRDefault="00AB61AC">
      <w:pPr>
        <w:pStyle w:val="aff9"/>
      </w:pPr>
      <w:r>
        <w:rPr>
          <w:rStyle w:val="aff8"/>
        </w:rPr>
        <w:footnoteRef/>
      </w:r>
      <w:r>
        <w:t xml:space="preserve"> </w:t>
      </w:r>
      <w:r>
        <w:rPr/>
        <w:t xml:space="preserve">Tadqiqotlar jarayonida muallif tomonidan tuzilgan.</w:t>
      </w:r>
    </w:p>
  </w:footnote>
  <w:footnote w:id="153">
    <w:p w:rsidR="00AB61AC" w:rsidRDefault="00AB61AC">
      <w:pPr>
        <w:pStyle w:val="aff9"/>
      </w:pPr>
      <w:r>
        <w:rPr>
          <w:rStyle w:val="aff8"/>
        </w:rPr>
        <w:footnoteRef/>
      </w:r>
      <w:r>
        <w:t xml:space="preserve"> Basel Committee on Banking Supervision. Basel III: Finalising post-crisis reforms. – Basel: BIS, December 2017.</w:t>
      </w:r>
    </w:p>
  </w:footnote>
  <w:footnote w:id="154">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5">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7">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8">
    <w:p w:rsidR="00AB61AC" w:rsidRDefault="00AB61AC">
      <w:pPr>
        <w:pStyle w:val="aff9"/>
      </w:pPr>
      <w:r>
        <w:rPr>
          <w:rStyle w:val="aff8"/>
        </w:rPr>
        <w:footnoteRef/>
      </w:r>
      <w:r>
        <w:t xml:space="preserve"> IFRS 9 Financial Instruments. – London: International Accounting Standards Board, 2014.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t xml:space="preserve"> </w:t>
      </w:r>
      <w:r>
        <w:rPr/>
        <w:t xml:space="preserve">Tadqiqotlar jarayonida muallif tomonidan tuzilgan.</w:t>
      </w:r>
    </w:p>
  </w:footnote>
  <w:footnote w:id="163">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4">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165">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166">
    <w:p w:rsidR="00AB61AC" w:rsidRDefault="00AB61AC">
      <w:pPr>
        <w:pStyle w:val="aff9"/>
      </w:pPr>
      <w:r>
        <w:rPr>
          <w:rStyle w:val="aff8"/>
        </w:rPr>
        <w:footnoteRef/>
      </w:r>
      <w:r>
        <w:t xml:space="preserve"> </w:t>
      </w:r>
      <w:r>
        <w:rPr/>
        <w:t xml:space="preserve">Tadqiqotlar jarayonida muallif tomonidan tuzilgan.</w:t>
      </w:r>
    </w:p>
  </w:footnote>
  <w:footnote w:id="167">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Tadqiqot natijasida muallif tomonidan ishlab chiqildi.</w:t>
      </w:r>
    </w:p>
  </w:footnote>
  <w:footnote w:id="170">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1">
    <w:p w:rsidR="00AB61AC" w:rsidRDefault="00AB61AC">
      <w:pPr>
        <w:pStyle w:val="aff9"/>
      </w:pPr>
      <w:r>
        <w:rPr>
          <w:rStyle w:val="aff8"/>
        </w:rPr>
        <w:footnoteRef/>
      </w:r>
      <w:r>
        <w:t xml:space="preserve"> </w:t>
      </w:r>
      <w:r>
        <w:rPr/>
        <w:t xml:space="preserve">Tadqiqotlar jarayonida muallif tomonidan tuzilgan.</w:t>
      </w:r>
    </w:p>
  </w:footnote>
  <w:footnote w:id="172">
    <w:p w:rsidR="00AB61AC" w:rsidRDefault="00AB61AC">
      <w:pPr>
        <w:pStyle w:val="aff9"/>
      </w:pPr>
      <w:r>
        <w:rPr>
          <w:rStyle w:val="aff8"/>
        </w:rPr>
        <w:footnoteRef/>
      </w:r>
      <w:r>
        <w:t xml:space="preserve"> </w:t>
      </w:r>
      <w:r>
        <w:rPr/>
        <w:t xml:space="preserve">Tadqiqotlar jarayonida muallif tomonidan tuzilgan.</w:t>
      </w:r>
    </w:p>
  </w:footnote>
  <w:footnote w:id="173">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6">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7">
    <w:p w:rsidR="00AB61AC" w:rsidRDefault="00AB61AC">
      <w:pPr>
        <w:pStyle w:val="aff9"/>
      </w:pPr>
      <w:r>
        <w:rPr>
          <w:rStyle w:val="aff8"/>
        </w:rPr>
        <w:footnoteRef/>
      </w:r>
      <w:r>
        <w:t xml:space="preserve"> </w:t>
      </w:r>
      <w:r>
        <w:rPr/>
        <w:t xml:space="preserve">Tadqiqotlar jarayonida muallif tomonidan tuzilgan.</w:t>
      </w:r>
    </w:p>
  </w:footnote>
  <w:footnote w:id="178">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80">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1">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3">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4">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5">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6">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7">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8">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9">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90">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1">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2">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3">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4">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5">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6">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7">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9">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200">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2">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3">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5">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7">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8">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9">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10">
    <w:p w:rsidR="00AB61AC" w:rsidRDefault="00AB61AC">
      <w:pPr>
        <w:pStyle w:val="aff9"/>
      </w:pPr>
      <w:r>
        <w:rPr>
          <w:rStyle w:val="aff8"/>
        </w:rPr>
        <w:footnoteRef/>
      </w:r>
      <w:r>
        <w:t xml:space="preserve"> European Banking Authority. 2025 EU-wide stress test: Results. – Paris: EBA, 1 August 2025.</w:t>
      </w:r>
    </w:p>
  </w:footnote>
  <w:footnote w:id="211">
    <w:p w:rsidR="00AB61AC" w:rsidRPr="00E65E68" w:rsidRDefault="00AB61AC">
      <w:pPr>
        <w:pStyle w:val="aff9"/>
        <w:rPr>
          <w:lang w:val="ru-RU"/>
        </w:rPr>
      </w:pPr>
      <w:r>
        <w:rPr>
          <w:rStyle w:val="aff8"/>
        </w:rPr>
        <w:footnoteRef/>
      </w:r>
      <w:r>
        <w:t xml:space="preserve"> </w:t>
      </w:r>
      <w:r>
        <w:rPr/>
        <w:t xml:space="preserve">Tadqiqotlar jarayonida muallif tomonidan tuzilgan.</w:t>
      </w:r>
    </w:p>
  </w:footnote>
  <w:footnote w:id="21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5">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6">
    <w:p w:rsidR="00AB61AC" w:rsidRPr="00E65E68" w:rsidRDefault="00AB61AC">
      <w:pPr>
        <w:pStyle w:val="aff9"/>
        <w:rPr>
          <w:lang w:val="ru-RU"/>
        </w:rPr>
      </w:pPr>
      <w:r>
        <w:rPr>
          <w:rStyle w:val="aff8"/>
        </w:rPr>
        <w:footnoteRef/>
      </w:r>
      <w:r>
        <w:t xml:space="preserve"> </w:t>
      </w:r>
      <w:r>
        <w:rPr/>
        <w:t xml:space="preserve">Tadqiqotlar jarayonida muallif tomonidan tuzilgan.</w:t>
      </w:r>
    </w:p>
  </w:footnote>
  <w:footnote w:id="217">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8">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9">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20">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1">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2">
    <w:p w:rsidR="00AB61AC" w:rsidRDefault="00AB61AC">
      <w:pPr>
        <w:pStyle w:val="aff9"/>
      </w:pPr>
      <w:r>
        <w:rPr>
          <w:rStyle w:val="aff8"/>
        </w:rPr>
        <w:footnoteRef/>
      </w:r>
      <w:r>
        <w:t xml:space="preserve"> Basel Committee on Banking Supervision. Report on the 2023 banking turmoil. – Basel: BIS, October 2023.</w:t>
      </w:r>
    </w:p>
  </w:footnote>
  <w:footnote w:id="22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4">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5">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6">
    <w:p w:rsidR="00AB61AC" w:rsidRDefault="00AB61AC">
      <w:pPr>
        <w:pStyle w:val="aff9"/>
      </w:pPr>
      <w:r>
        <w:rPr>
          <w:rStyle w:val="aff8"/>
        </w:rPr>
        <w:footnoteRef/>
      </w:r>
      <w:r w:rsidRPr="00E65E68">
        <w:rPr>
          <w:lang w:val="ru-RU"/>
        </w:rPr>
        <w:t xml:space="preserve"> </w:t>
      </w:r>
      <w:r>
        <w:rPr/>
        <w:t xml:space="preserve">Tadqiqotlar jarayonida muallif tomonidan tuzilgan.</w:t>
      </w:r>
    </w:p>
  </w:footnote>
  <w:footnote w:id="22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30">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1">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2">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3">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5">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6">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7">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9">
    <w:p w:rsidR="00AB61AC" w:rsidRDefault="00AB61AC">
      <w:pPr>
        <w:pStyle w:val="aff9"/>
      </w:pPr>
      <w:r>
        <w:rPr>
          <w:rStyle w:val="aff8"/>
        </w:rPr>
        <w:footnoteRef/>
      </w:r>
      <w:r>
        <w:t xml:space="preserve"> </w:t>
      </w:r>
      <w:r>
        <w:rPr/>
        <w:t xml:space="preserve">Tadqiqotlar jarayonida muallif tomonidan tuzilgan.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40">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1">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6">
    <w:p w:rsidR="00AB61AC" w:rsidRDefault="00AB61AC">
      <w:pPr>
        <w:pStyle w:val="aff9"/>
      </w:pPr>
      <w:r>
        <w:rPr>
          <w:rStyle w:val="aff8"/>
        </w:rPr>
        <w:footnoteRef/>
      </w:r>
      <w:r>
        <w:t xml:space="preserve"> </w:t>
      </w:r>
      <w:r>
        <w:rPr/>
        <w:t xml:space="preserve">O‘zbekiston Respublikasi Markaziy banki. Moliya sektorini baholash dasturi (FSAP) tavsiyalarini amalga oshirish bo‘yicha 2025–2028-yillarga mo‘ljallangan “yo‘l xaritasi”. – Toshkent, 17.11.2025. – 6–8, 12–14-tadbirlar</w:t>
      </w:r>
      <w:r>
        <w:t xml:space="preserve">;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w:t>
      </w:r>
      <w:r>
        <w:rPr/>
        <w:t xml:space="preserve">Tadqiqotlar jarayonida muallif tomonidan tuzilgan.</w:t>
      </w:r>
    </w:p>
  </w:footnote>
  <w:footnote w:id="248">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9">
    <w:p w:rsidR="00AB61AC" w:rsidRDefault="00AB61AC">
      <w:pPr>
        <w:pStyle w:val="aff9"/>
      </w:pPr>
      <w:r>
        <w:rPr>
          <w:rStyle w:val="aff8"/>
        </w:rPr>
        <w:footnoteRef/>
      </w:r>
      <w:r>
        <w:t xml:space="preserve"> </w:t>
      </w:r>
      <w:r>
        <w:rPr/>
        <w:t xml:space="preserve">Tadqiqot natijasida muallif tomonidan ishlab chiqildi.</w:t>
      </w:r>
    </w:p>
  </w:footnote>
  <w:footnote w:id="250">
    <w:p w:rsidR="00AB61AC" w:rsidRDefault="00AB61AC">
      <w:pPr>
        <w:pStyle w:val="aff9"/>
      </w:pPr>
      <w:r>
        <w:rPr>
          <w:rStyle w:val="aff8"/>
        </w:rPr>
        <w:footnoteRef/>
      </w:r>
      <w:r>
        <w:t xml:space="preserve"> </w:t>
      </w:r>
      <w:r>
        <w:rPr/>
        <w:t xml:space="preserve">Tadqiqotlar jarayonida muallif tomonidan tuzilgan.</w:t>
      </w:r>
    </w:p>
  </w:footnote>
  <w:footnote w:id="251">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2">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3">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4">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5">
    <w:p w:rsidR="00AB61AC" w:rsidRDefault="00AB61AC">
      <w:pPr>
        <w:pStyle w:val="aff9"/>
      </w:pPr>
      <w:r>
        <w:rPr>
          <w:rStyle w:val="aff8"/>
        </w:rPr>
        <w:footnoteRef/>
      </w:r>
      <w:r>
        <w:t xml:space="preserve"> </w:t>
      </w:r>
      <w:r>
        <w:rPr/>
        <w:t xml:space="preserve">O‘zbekiston Respublikasi Markaziy banki. Moliya sektorini baholash dasturi (FSAP) tavsiyalarini amalga oshirish bo‘yicha 2025–2028-yillarga mo‘ljallangan “yo‘l xaritasi”. – Toshkent, 17.11.2025. – 13-tadbir</w:t>
      </w:r>
      <w:r>
        <w:t xml:space="preserve">.</w:t>
      </w:r>
    </w:p>
  </w:footnote>
  <w:footnote w:id="256">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7">
    <w:p w:rsidR="00AB61AC" w:rsidRDefault="00AB61AC">
      <w:pPr>
        <w:pStyle w:val="aff9"/>
      </w:pPr>
      <w:r>
        <w:rPr>
          <w:rStyle w:val="aff8"/>
        </w:rPr>
        <w:footnoteRef/>
      </w:r>
      <w:r>
        <w:t xml:space="preserve"> </w:t>
      </w:r>
      <w:r>
        <w:rPr/>
        <w:t xml:space="preserve">O‘zbekiston Respublikasi Markaziy banki. Moliya sektorini baholash dasturi (FSAP) tavsiyalarini amalga oshirish bo‘yicha 2025–2028-yillarga mo‘ljallangan “yo‘l xaritasi”. – Toshkent, 17.11.2025. – 13-tadbir</w:t>
      </w:r>
      <w:r>
        <w:t xml:space="preserve">.</w:t>
      </w:r>
    </w:p>
  </w:footnote>
  <w:footnote w:id="258">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9">
    <w:p w:rsidR="00AB61AC" w:rsidRDefault="00AB61AC">
      <w:pPr>
        <w:pStyle w:val="aff9"/>
      </w:pPr>
      <w:r>
        <w:rPr>
          <w:rStyle w:val="aff8"/>
        </w:rPr>
        <w:footnoteRef/>
      </w:r>
      <w:r>
        <w:t xml:space="preserve"> 2026-yil uchun mahalliy tizimli ahamiyatga molik banklar belgilandi // O‘zbekiston Respublikasi Markaziy banki.</w:t>
      </w:r>
    </w:p>
  </w:footnote>
  <w:footnote w:id="260">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1">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w:t>
      </w:r>
      <w:r>
        <w:rPr/>
        <w:t xml:space="preserve">O‘zbekiston Respublikasi Markaziy banki. Moliyaviy barqarorlik sharhi: 2025-yil. – Toshkent, 2026.</w:t>
      </w:r>
    </w:p>
  </w:footnote>
  <w:footnote w:id="26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w:t>
      </w:r>
      <w:r>
        <w:rPr/>
        <w:t xml:space="preserve">O‘zbekiston Respublikasi Markaziy banki. Moliyaviy barqarorlik sharhi: 2025-yil. – Toshkent, 2026.</w:t>
      </w:r>
    </w:p>
  </w:footnote>
  <w:footnote w:id="263">
    <w:p w:rsidR="00AB61AC" w:rsidRDefault="00AB61AC">
      <w:pPr>
        <w:pStyle w:val="aff9"/>
      </w:pPr>
      <w:r>
        <w:rPr>
          <w:rStyle w:val="aff8"/>
        </w:rPr>
        <w:footnoteRef/>
      </w:r>
      <w:r>
        <w:t xml:space="preserve"> </w:t>
      </w:r>
      <w:r>
        <w:rPr/>
        <w:t xml:space="preserve">O‘zbekiston Respublikasi Markaziy banki. Moliyaviy barqarorlik sharhi: 2025-yil. – Toshkent, 2026.</w:t>
      </w:r>
    </w:p>
  </w:footnote>
  <w:footnote w:id="264">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5">
    <w:p w:rsidR="00AB61AC" w:rsidRDefault="00AB61AC">
      <w:pPr>
        <w:pStyle w:val="aff9"/>
      </w:pPr>
      <w:r>
        <w:rPr>
          <w:rStyle w:val="aff8"/>
        </w:rPr>
        <w:footnoteRef/>
      </w:r>
      <w:r>
        <w:t xml:space="preserve"> </w:t>
      </w:r>
      <w:r>
        <w:rPr/>
        <w:t xml:space="preserve">Tadqiqotlar jarayonida muallif tomonidan tuzilgan.</w:t>
      </w:r>
    </w:p>
  </w:footnote>
  <w:footnote w:id="266">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7">
    <w:p w:rsidR="00AB61AC" w:rsidRDefault="00AB61AC">
      <w:pPr>
        <w:pStyle w:val="aff9"/>
      </w:pPr>
      <w:r>
        <w:rPr>
          <w:rStyle w:val="aff8"/>
        </w:rPr>
        <w:footnoteRef/>
      </w:r>
      <w:r>
        <w:t xml:space="preserve"> </w:t>
      </w:r>
      <w:r>
        <w:rPr/>
        <w:t xml:space="preserve">Tadqiqotlar jarayonida muallif tomonidan tuzilgan.</w:t>
      </w:r>
    </w:p>
  </w:footnote>
  <w:footnote w:id="268">
    <w:p w:rsidR="00AB61AC" w:rsidRDefault="00AB61AC">
      <w:pPr>
        <w:pStyle w:val="aff9"/>
      </w:pPr>
      <w:r>
        <w:rPr>
          <w:rStyle w:val="aff8"/>
        </w:rPr>
        <w:footnoteRef/>
      </w:r>
      <w:r>
        <w:t xml:space="preserve"> </w:t>
      </w:r>
      <w:r>
        <w:rPr/>
        <w:t xml:space="preserve">Tadqiqot natijasida muallif tomonidan ishlab chiqildi.</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70">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1">
    <w:p w:rsidR="00AB61AC" w:rsidRDefault="00AB61AC">
      <w:pPr>
        <w:pStyle w:val="aff9"/>
      </w:pPr>
      <w:r>
        <w:rPr>
          <w:rStyle w:val="aff8"/>
        </w:rPr>
        <w:footnoteRef/>
      </w:r>
      <w:r>
        <w:t xml:space="preserve"> </w:t>
      </w:r>
      <w:r>
        <w:rPr/>
        <w:t xml:space="preserve">O‘zbekiston Respublikasi Markaziy banki. Moliya sektorini baholash dasturi (FSAP) tavsiyalarini amalga oshirish bo‘yicha 2025–2028-yillarga mo‘ljallangan “yo‘l xaritasi”. – Toshkent, 17.11.2025. – 3-tadbir</w:t>
      </w:r>
      <w:r>
        <w:t xml:space="preserve">.</w:t>
      </w:r>
    </w:p>
  </w:footnote>
  <w:footnote w:id="272">
    <w:p w:rsidR="00AB61AC" w:rsidRDefault="00AB61AC">
      <w:pPr>
        <w:pStyle w:val="aff9"/>
      </w:pPr>
      <w:r>
        <w:rPr>
          <w:rStyle w:val="aff8"/>
        </w:rPr>
        <w:footnoteRef/>
      </w:r>
      <w:r>
        <w:t xml:space="preserve"> </w:t>
      </w:r>
      <w:r>
        <w:rPr/>
        <w:t xml:space="preserve">O‘zbekiston Respublikasi Markaziy banki. Moliya sektorini baholash dasturi (FSAP) tavsiyalarini amalga oshirish bo‘yicha 2025–2028-yillarga mo‘ljallangan “yo‘l xaritasi”. – Toshkent, 17.11.2025. – 5, 19-tadbirlar</w:t>
      </w:r>
      <w:r>
        <w:t xml:space="preserve">.</w:t>
      </w:r>
    </w:p>
  </w:footnote>
  <w:footnote w:id="273">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4">
    <w:p w:rsidR="00AB61AC" w:rsidRDefault="00AB61AC">
      <w:pPr>
        <w:pStyle w:val="aff9"/>
      </w:pPr>
      <w:r>
        <w:rPr>
          <w:rStyle w:val="aff8"/>
        </w:rPr>
        <w:footnoteRef/>
      </w:r>
      <w:r>
        <w:t xml:space="preserve"> </w:t>
      </w:r>
      <w:r>
        <w:rPr/>
        <w:t xml:space="preserve">O‘zbekiston Respublikasi Markaziy banki. Moliya sektorini baholash dasturi (FSAP) tavsiyalarini amalga oshirish bo‘yicha 2025–2028-yillarga mo‘ljallangan “yo‘l xaritasi”. – Toshkent, 17.11.2025. – 7, 16-tadbirlar</w:t>
      </w:r>
      <w:r>
        <w:t xml:space="preserve">.</w:t>
      </w:r>
    </w:p>
  </w:footnote>
  <w:footnote w:id="275">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6">
    <w:p w:rsidR="00AB61AC" w:rsidRDefault="00AB61AC">
      <w:pPr>
        <w:pStyle w:val="aff9"/>
      </w:pPr>
      <w:r>
        <w:rPr>
          <w:rStyle w:val="aff8"/>
        </w:rPr>
        <w:footnoteRef/>
      </w:r>
      <w:r>
        <w:t xml:space="preserve"> </w:t>
      </w:r>
      <w:r>
        <w:rPr/>
        <w:t xml:space="preserve">O‘zbekiston Respublikasi Markaziy banki. Moliya sektorini baholash dasturi (FSAP) tavsiyalarini amalga oshirish bo‘yicha 2025–2028-yillarga mo‘ljallangan “yo‘l xaritasi”. – Toshkent, 17.11.2025. – 9-tadbir</w:t>
      </w:r>
      <w:r>
        <w:t xml:space="preserve">.</w:t>
      </w:r>
    </w:p>
  </w:footnote>
  <w:footnote w:id="277">
    <w:p w:rsidR="00AB61AC" w:rsidRDefault="00AB61AC">
      <w:pPr>
        <w:pStyle w:val="aff9"/>
      </w:pPr>
      <w:r>
        <w:rPr>
          <w:rStyle w:val="aff8"/>
        </w:rPr>
        <w:footnoteRef/>
      </w:r>
      <w:r>
        <w:t xml:space="preserve"> </w:t>
      </w:r>
      <w:r>
        <w:rPr/>
        <w:t xml:space="preserve">O‘zbekiston Respublikasi Markaziy banki. Moliya sektorini baholash dasturi (FSAP) tavsiyalarini amalga oshirish bo‘yicha 2025–2028-yillarga mo‘ljallangan “yo‘l xaritasi”. – Toshkent, 17.11.2025. – 31-tadbir</w:t>
      </w:r>
      <w:r>
        <w:t xml:space="preserve">.</w:t>
      </w:r>
    </w:p>
  </w:footnote>
  <w:footnote w:id="278">
    <w:p w:rsidR="00AB61AC" w:rsidRPr="00E65E68" w:rsidRDefault="00AB61AC">
      <w:pPr>
        <w:pStyle w:val="aff9"/>
        <w:rPr>
          <w:lang w:val="ru-RU"/>
        </w:rPr>
      </w:pPr>
      <w:r>
        <w:rPr>
          <w:rStyle w:val="aff8"/>
        </w:rPr>
        <w:footnoteRef/>
      </w:r>
      <w:r>
        <w:t xml:space="preserve"> </w:t>
      </w:r>
      <w:r>
        <w:rPr/>
        <w:t xml:space="preserve">O‘zbekiston Respublikasi Markaziy banki. Moliya sektorini baholash dasturi (FSAP) tavsiyalarini amalga oshirish bo‘yicha 2025–2028-yillarga mo‘ljallangan “yo‘l xaritasi”. – Toshkent, 17.11.2025. – 2–4, 7, 9-tadbirlar</w:t>
      </w:r>
      <w:r w:rsidRPr="00E65E68">
        <w:rPr>
          <w:lang w:val="ru-RU"/>
        </w:rPr>
        <w:t xml:space="preserve">.</w:t>
      </w:r>
    </w:p>
  </w:footnote>
  <w:footnote w:id="279">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80">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2">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3">
    <w:p w:rsidR="00AB61AC" w:rsidRDefault="00AB61AC">
      <w:pPr>
        <w:pStyle w:val="aff9"/>
      </w:pPr>
      <w:r>
        <w:rPr>
          <w:rStyle w:val="aff8"/>
        </w:rPr>
        <w:footnoteRef/>
      </w:r>
      <w:r>
        <w:t xml:space="preserve"> World Bank. Republic of Uzbekistan: Financial Sector Assessment. – Washington, DC: World Bank, 2025.</w:t>
      </w:r>
    </w:p>
  </w:footnote>
  <w:footnote w:id="284">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5">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8">
    <w:p w:rsidR="00AB61AC" w:rsidRDefault="00AB61AC">
      <w:pPr>
        <w:pStyle w:val="aff9"/>
      </w:pPr>
      <w:r>
        <w:rPr>
          <w:rStyle w:val="aff8"/>
        </w:rPr>
        <w:footnoteRef/>
      </w:r>
      <w:r>
        <w:t xml:space="preserve"> </w:t>
      </w:r>
      <w:r>
        <w:rPr/>
        <w:t xml:space="preserve">Tadqiqotlar jarayonida muallif tomonidan tuzilgan.</w:t>
      </w:r>
    </w:p>
  </w:footnote>
  <w:footnote w:id="28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w:t>
      </w:r>
      <w:r>
        <w:rPr/>
        <w:t xml:space="preserve">O‘zbekiston Respublikasi Markaziy banki. Moliyaviy barqarorlik sharhi: 2025-yil. – Toshkent, 2026.</w:t>
      </w:r>
    </w:p>
  </w:footnote>
  <w:footnote w:id="295">
    <w:p w:rsidR="00AB61AC" w:rsidRDefault="00AB61AC">
      <w:pPr>
        <w:pStyle w:val="aff9"/>
      </w:pPr>
      <w:r>
        <w:rPr>
          <w:rStyle w:val="aff8"/>
        </w:rPr>
        <w:footnoteRef/>
      </w:r>
      <w:r>
        <w:t xml:space="preserve"> </w:t>
      </w:r>
      <w:r>
        <w:rPr/>
        <w:t xml:space="preserve">Tadqiqotlar jarayonida muallif tomonidan tuzilgan.</w:t>
      </w:r>
    </w:p>
  </w:footnote>
  <w:footnote w:id="296">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7">
    <w:p w:rsidR="00AB61AC" w:rsidRDefault="00AB61AC">
      <w:pPr>
        <w:pStyle w:val="aff9"/>
      </w:pPr>
      <w:r>
        <w:rPr>
          <w:rStyle w:val="aff8"/>
        </w:rPr>
        <w:footnoteRef/>
      </w:r>
      <w:r>
        <w:t xml:space="preserve"> O‘zbekiston Respublikasi Markaziy banki. Moliyaviy barqarorlik sharhi: 2022-yil. – Toshkent, 2023.</w:t>
      </w:r>
    </w:p>
  </w:footnote>
  <w:footnote w:id="298">
    <w:p w:rsidR="00AB61AC" w:rsidRDefault="00AB61AC">
      <w:pPr>
        <w:pStyle w:val="aff9"/>
      </w:pPr>
      <w:r>
        <w:rPr>
          <w:rStyle w:val="aff8"/>
        </w:rPr>
        <w:footnoteRef/>
      </w:r>
      <w:r>
        <w:t xml:space="preserve"> The Central Bank of the Republic of Uzbekistan. Annual Report 2023. – Tashkent, 2024. – P. 57.</w:t>
      </w:r>
    </w:p>
  </w:footnote>
  <w:footnote w:id="299">
    <w:p w:rsidR="00AB61AC" w:rsidRDefault="00AB61AC">
      <w:pPr>
        <w:pStyle w:val="aff9"/>
      </w:pPr>
      <w:r>
        <w:rPr>
          <w:rStyle w:val="aff8"/>
        </w:rPr>
        <w:footnoteRef/>
      </w:r>
      <w:r>
        <w:t xml:space="preserve"> </w:t>
      </w:r>
      <w:r>
        <w:rPr/>
        <w:t xml:space="preserve">O‘zbekiston Respublikasi Markaziy banki. Moliyaviy barqarorlik sharhi: 2025-yil. – Toshkent, 2026.</w:t>
      </w:r>
    </w:p>
  </w:footnote>
  <w:footnote w:id="300">
    <w:p w:rsidR="00AB61AC" w:rsidRDefault="00AB61AC">
      <w:pPr>
        <w:pStyle w:val="aff9"/>
      </w:pPr>
      <w:r>
        <w:rPr>
          <w:rStyle w:val="aff8"/>
        </w:rPr>
        <w:footnoteRef/>
      </w:r>
      <w:r>
        <w:t xml:space="preserve"> World Bank. Republic of Uzbekistan: Financial Sector Assessment. – Washington, DC: World Bank, 2025.</w:t>
      </w:r>
    </w:p>
  </w:footnote>
  <w:footnote w:id="301">
    <w:p w:rsidR="00AB61AC" w:rsidRDefault="00AB61AC">
      <w:pPr>
        <w:pStyle w:val="aff9"/>
      </w:pPr>
      <w:r>
        <w:rPr>
          <w:rStyle w:val="aff8"/>
        </w:rPr>
        <w:footnoteRef/>
      </w:r>
      <w:r>
        <w:t xml:space="preserve"> Tadqiqot natijasida muallif tomonidan </w:t>
      </w:r>
      <w:r>
        <w:rPr/>
        <w:t xml:space="preserve">2.2.1-jadval ma’lumotlari asosida ishlab chiqildi.</w:t>
      </w:r>
    </w:p>
  </w:footnote>
  <w:footnote w:id="302">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3">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5">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6">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7">
    <w:p w:rsidR="00AB61AC" w:rsidRDefault="00AB61AC">
      <w:pPr>
        <w:pStyle w:val="aff9"/>
      </w:pPr>
      <w:r>
        <w:rPr>
          <w:rStyle w:val="aff8"/>
        </w:rPr>
        <w:footnoteRef/>
      </w:r>
      <w:r>
        <w:t xml:space="preserve"> Tadqiqot natijasida muallif tomonidan 2.2.1-jadval ma’lumotlari asosida ishlab chiqildi.</w:t>
      </w:r>
    </w:p>
  </w:footnote>
  <w:footnote w:id="30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9">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1">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2">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3">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5">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7">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9">
    <w:p w:rsidR="00AB61AC" w:rsidRPr="00E65E68" w:rsidRDefault="00AB61AC">
      <w:pPr>
        <w:pStyle w:val="aff9"/>
        <w:rPr>
          <w:lang w:val="ru-RU"/>
        </w:rPr>
      </w:pPr>
      <w:r>
        <w:rPr>
          <w:rStyle w:val="aff8"/>
        </w:rPr>
        <w:footnoteRef/>
      </w:r>
      <w:r>
        <w:t xml:space="preserve"> </w:t>
      </w:r>
      <w:r>
        <w:rPr/>
        <w:t xml:space="preserve">Tadqiqotlar jarayonida muallif tomonidan tuzilgan.</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1">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2">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4">
    <w:p w:rsidR="00AB61AC" w:rsidRPr="00E65E68" w:rsidRDefault="00AB61AC">
      <w:pPr>
        <w:pStyle w:val="aff9"/>
        <w:rPr>
          <w:lang w:val="ru-RU"/>
        </w:rPr>
      </w:pPr>
      <w:r>
        <w:rPr>
          <w:rStyle w:val="aff8"/>
        </w:rPr>
        <w:footnoteRef/>
      </w:r>
      <w:r w:rsidRPr="00E65E68">
        <w:rPr>
          <w:lang w:val="ru-RU"/>
        </w:rPr>
        <w:t xml:space="preserve"> </w:t>
      </w:r>
      <w:r>
        <w:rPr/>
        <w:t xml:space="preserve">Tadqiqotlar jarayonida muallif tomonidan tuzilgan.</w:t>
      </w:r>
    </w:p>
  </w:footnote>
  <w:footnote w:id="325">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6">
    <w:p w:rsidR="00AB61AC" w:rsidRPr="00E65E68" w:rsidRDefault="00AB61AC">
      <w:pPr>
        <w:pStyle w:val="aff9"/>
        <w:rPr>
          <w:lang w:val="ru-RU"/>
        </w:rPr>
      </w:pPr>
      <w:r>
        <w:rPr>
          <w:rStyle w:val="aff8"/>
        </w:rPr>
        <w:footnoteRef/>
      </w:r>
      <w:r w:rsidRPr="00E65E68">
        <w:rPr>
          <w:lang w:val="ru-RU"/>
        </w:rPr>
        <w:t xml:space="preserve"> </w:t>
      </w:r>
      <w:r>
        <w:rPr/>
        <w:t xml:space="preserve">Tadqiqotlar jarayonida muallif tomonidan tuzilgan.</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8">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9">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30">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1">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2">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3">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4">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Pr="00E65E68" w:rsidRDefault="00AB61AC">
      <w:pPr>
        <w:pStyle w:val="aff9"/>
        <w:rPr>
          <w:lang w:val="ru-RU"/>
        </w:rPr>
      </w:pPr>
      <w:r>
        <w:rPr>
          <w:rStyle w:val="aff8"/>
        </w:rPr>
        <w:footnoteRef/>
      </w:r>
      <w:r>
        <w:t xml:space="preserve"> </w:t>
      </w:r>
      <w:r>
        <w:rPr/>
        <w:t xml:space="preserve">Tadqiqotlar jarayonida muallif tomonidan tuzilgan.</w:t>
      </w:r>
    </w:p>
  </w:footnote>
  <w:footnote w:id="339">
    <w:p w:rsidR="00AB61AC" w:rsidRDefault="00AB61AC">
      <w:pPr>
        <w:pStyle w:val="aff9"/>
      </w:pPr>
      <w:r>
        <w:rPr>
          <w:rStyle w:val="aff8"/>
        </w:rPr>
        <w:footnoteRef/>
      </w:r>
      <w:r>
        <w:t xml:space="preserve"> Tadqiqot natijasida muallif tomonidan ishlab chiqildi.</w:t>
      </w:r>
    </w:p>
  </w:footnote>
  <w:footnote w:id="340">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2">
    <w:p w:rsidR="00AB61AC" w:rsidRDefault="00AB61AC">
      <w:pPr>
        <w:pStyle w:val="aff9"/>
      </w:pPr>
      <w:r>
        <w:rPr>
          <w:rStyle w:val="aff8"/>
        </w:rPr>
        <w:footnoteRef/>
      </w:r>
      <w:r>
        <w:t xml:space="preserve"> </w:t>
      </w:r>
      <w:r>
        <w:rPr/>
        <w:t xml:space="preserve">Tadqiqotlar jarayonida muallif tomonidan tuzilgan.</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w:t>
      </w:r>
      <w:r>
        <w:rPr/>
        <w:t xml:space="preserve">Tadqiqotlar jarayonida muallif tomonidan tuzilgan.</w:t>
      </w:r>
    </w:p>
  </w:footnote>
  <w:footnote w:id="347">
    <w:p w:rsidR="00AB61AC" w:rsidRDefault="00AB61AC">
      <w:pPr>
        <w:pStyle w:val="aff9"/>
      </w:pPr>
      <w:r>
        <w:rPr>
          <w:rStyle w:val="aff8"/>
        </w:rPr>
        <w:footnoteRef/>
      </w:r>
      <w:r>
        <w:t xml:space="preserve"> </w:t>
      </w:r>
      <w:r>
        <w:rPr/>
        <w:t xml:space="preserve">Tadqiqotlar jarayonida muallif tomonidan tuzilgan.</w:t>
      </w:r>
    </w:p>
  </w:footnote>
  <w:footnote w:id="348">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Default="00AB61AC">
      <w:pPr>
        <w:pStyle w:val="aff9"/>
      </w:pPr>
      <w:r>
        <w:rPr>
          <w:rStyle w:val="aff8"/>
        </w:rPr>
        <w:footnoteRef/>
      </w:r>
      <w:r>
        <w:t xml:space="preserve"> </w:t>
      </w:r>
      <w:r>
        <w:rPr/>
        <w:t xml:space="preserve">Tadqiqotlar jarayonida muallif tomonidan tuzilgan.</w:t>
      </w:r>
    </w:p>
  </w:footnote>
  <w:footnote w:id="351">
    <w:p w:rsidR="00AB61AC" w:rsidRPr="00E65E68" w:rsidRDefault="00AB61AC">
      <w:pPr>
        <w:pStyle w:val="aff9"/>
        <w:rPr>
          <w:lang w:val="ru-RU"/>
        </w:rPr>
      </w:pPr>
      <w:r>
        <w:rPr>
          <w:rStyle w:val="aff8"/>
        </w:rPr>
        <w:footnoteRef/>
      </w:r>
      <w:r>
        <w:t xml:space="preserve"> </w:t>
      </w:r>
      <w:r>
        <w:rPr/>
        <w:t xml:space="preserve">Tadqiqotlar jarayonida muallif tomonidan tuzilgan.</w:t>
      </w:r>
    </w:p>
  </w:footnote>
  <w:footnote w:id="35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w:t>
      </w:r>
      <w:r>
        <w:rPr/>
        <w:t xml:space="preserve">Tadqiqotlar jarayonida muallif tomonidan tuzilgan.</w:t>
      </w:r>
    </w:p>
  </w:footnote>
  <w:footnote w:id="354">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5">
    <w:p w:rsidR="00AB61AC" w:rsidRPr="00E65E68" w:rsidRDefault="00AB61AC">
      <w:pPr>
        <w:pStyle w:val="aff9"/>
        <w:rPr>
          <w:lang w:val="ru-RU"/>
        </w:rPr>
      </w:pPr>
      <w:r>
        <w:rPr>
          <w:rStyle w:val="aff8"/>
        </w:rPr>
        <w:footnoteRef/>
      </w:r>
      <w:r w:rsidRPr="00E65E68">
        <w:rPr>
          <w:lang w:val="ru-RU"/>
        </w:rPr>
        <w:t xml:space="preserve"> </w:t>
      </w:r>
      <w:r>
        <w:rPr/>
        <w:t xml:space="preserve">Tadqiqotlar jarayonida muallif tomonidan tuzilgan.</w:t>
      </w:r>
    </w:p>
  </w:footnote>
  <w:footnote w:id="356">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7">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8">
    <w:p w:rsidR="00AB61AC" w:rsidRDefault="00AB61AC">
      <w:pPr>
        <w:pStyle w:val="aff9"/>
      </w:pPr>
      <w:r>
        <w:rPr>
          <w:rStyle w:val="aff8"/>
        </w:rPr>
        <w:footnoteRef/>
      </w:r>
      <w:r>
        <w:t xml:space="preserve"> Basel Committee on Banking Supervision. Basel III: The Net Stable Funding Ratio. – Basel: BIS, October 2014.</w:t>
      </w:r>
    </w:p>
  </w:footnote>
  <w:footnote w:id="359">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60">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1">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w:t>
      </w:r>
      <w:r>
        <w:rPr/>
        <w:t xml:space="preserve">(“Regulyativ kapital hisob-kitobi”, 5-jadval; “Likvidlilik tahlili”, 16-jadval; “Bank majburiyatlari tahlili”, 18-jadval; “Prudensial me’yorlar hisob-kitobi”, 22-jadval). Hisob-kitob muallif tomonidan bajarildi.</w:t>
      </w:r>
    </w:p>
  </w:footnote>
  <w:footnote w:id="362">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3">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4">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t xml:space="preserve"> </w:t>
      </w:r>
      <w:r>
        <w:rPr/>
        <w:t xml:space="preserve">Tadqiqotlar jarayonida muallif tomonidan tuzilgan.</w:t>
      </w:r>
    </w:p>
  </w:footnote>
  <w:footnote w:id="366">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7">
    <w:p w:rsidR="00AB61AC" w:rsidRDefault="00AB61AC">
      <w:pPr>
        <w:pStyle w:val="aff9"/>
      </w:pPr>
      <w:r>
        <w:rPr>
          <w:rStyle w:val="aff8"/>
        </w:rPr>
        <w:footnoteRef/>
      </w:r>
      <w:r>
        <w:t xml:space="preserve"> Tadqiqot natijasida muallif tomonidan </w:t>
      </w:r>
      <w:r>
        <w:rPr/>
        <w:t xml:space="preserve">2.3.2- va 2.3.4-jadvallar ma’lumotlari</w:t>
      </w:r>
      <w:r>
        <w:t xml:space="preserve"> asosida ishlab chiqildi.</w:t>
      </w:r>
    </w:p>
  </w:footnote>
  <w:footnote w:id="368">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9">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70">
    <w:p w:rsidR="00AB61AC" w:rsidRDefault="00AB61AC">
      <w:pPr>
        <w:pStyle w:val="aff9"/>
      </w:pPr>
      <w:r>
        <w:rPr>
          <w:rStyle w:val="aff8"/>
        </w:rPr>
        <w:footnoteRef/>
      </w:r>
      <w:r>
        <w:rPr/>
        <w:t xml:space="preserve"> </w:t>
      </w:r>
      <w:r>
        <w:rPr/>
        <w:t xml:space="preserve">Tadqiqotlar jarayonida muallif tomonidan tuzilgan.</w:t>
      </w:r>
    </w:p>
  </w:footnote>
  <w:footnote w:id="371">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w:t>
      </w:r>
      <w:r>
        <w:rPr/>
        <w:t xml:space="preserve">5-jadval; 16-jadval, 1.4, 1.12, 2.3–2.6-qatorlar; 17- va 18-jadvallar; “Mikrokreditbank” ATB bo‘yicha – crs005L shaklining 16- va 17-jadvallari; hisob-kitob muallif tomonidan bajarildi.</w:t>
      </w:r>
    </w:p>
  </w:footnote>
  <w:footnote w:id="37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3">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5">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7">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8">
    <w:p w:rsidR="00AB61AC" w:rsidRDefault="00AB61AC">
      <w:pPr>
        <w:pStyle w:val="aff9"/>
      </w:pPr>
      <w:r>
        <w:rPr>
          <w:rStyle w:val="aff8"/>
        </w:rPr>
        <w:footnoteRef/>
      </w:r>
      <w:r>
        <w:t xml:space="preserve"> Tadqiqot natijasida muallif tomonidan dissertatsiyaning 2.1–2.3-paragraflari natijalari asosida ishlab chiqildi.</w:t>
      </w:r>
    </w:p>
  </w:footnote>
  <w:footnote w:id="379">
    <w:p w:rsidR="00AB61AC" w:rsidRDefault="00AB61AC">
      <w:pPr>
        <w:pStyle w:val="aff9"/>
      </w:pPr>
      <w:r>
        <w:rPr>
          <w:rStyle w:val="aff8"/>
        </w:rPr>
        <w:footnoteRef/>
      </w:r>
      <w:r>
        <w:t xml:space="preserve"> Tadqiqot natijasida muallif tomonidan ishlab chiqildi.</w:t>
      </w:r>
    </w:p>
  </w:footnote>
  <w:footnote w:id="380">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381">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2">
    <w:p w:rsidR="00AB61AC" w:rsidRDefault="00AB61AC">
      <w:pPr>
        <w:pStyle w:val="aff9"/>
      </w:pPr>
      <w:r>
        <w:rPr>
          <w:rStyle w:val="aff8"/>
        </w:rPr>
        <w:footnoteRef/>
      </w:r>
      <w:r>
        <w:t xml:space="preserve"> </w:t>
      </w:r>
      <w:r>
        <w:rPr/>
        <w:t xml:space="preserve">Tadqiqotlar jarayonida muallif tomonidan tuzilgan.</w:t>
      </w:r>
    </w:p>
  </w:footnote>
  <w:footnote w:id="38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4">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5">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6">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9">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90">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1">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392">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3">
    <w:p w:rsidR="00AB61AC" w:rsidRDefault="00AB61AC">
      <w:pPr>
        <w:pStyle w:val="aff9"/>
      </w:pPr>
      <w:r>
        <w:rPr>
          <w:rStyle w:val="aff8"/>
        </w:rPr>
        <w:footnoteRef/>
      </w:r>
      <w:r>
        <w:t xml:space="preserve"> Basel Committee on Banking Supervision. Basel III: The Net Stable Funding Ratio. – Basel: BIS, October 2014.</w:t>
      </w:r>
    </w:p>
  </w:footnote>
  <w:footnote w:id="394">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7">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9">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400">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1">
    <w:p w:rsidR="00AB61AC" w:rsidRDefault="00AB61AC">
      <w:pPr>
        <w:pStyle w:val="aff9"/>
      </w:pPr>
      <w:r>
        <w:rPr>
          <w:rStyle w:val="aff8"/>
        </w:rPr>
        <w:footnoteRef/>
      </w:r>
      <w:r>
        <w:rPr/>
        <w:t xml:space="preserve"> O‘zbekiston Respublikasi Markaziy banki. Statistik byulleten: 2026-yil mart. – Toshkent, 2026. – 1.2-jadval. – https://cbu.uz/uz/statistics/buleten/</w:t>
      </w:r>
    </w:p>
  </w:footnote>
  <w:footnote w:id="402">
    <w:p w:rsidR="00AB61AC" w:rsidRDefault="00AB61AC">
      <w:pPr>
        <w:pStyle w:val="aff9"/>
      </w:pPr>
      <w:r>
        <w:rPr>
          <w:rStyle w:val="aff8"/>
        </w:rPr>
        <w:footnoteRef/>
      </w:r>
      <w:r>
        <w:t xml:space="preserve"> Tadqiqot natijasida muallif tomonidan 3.1.2-jadval asosida ishlab chiqildi.</w:t>
      </w:r>
    </w:p>
  </w:footnote>
  <w:footnote w:id="403">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5">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6">
    <w:p w:rsidR="00AB61AC" w:rsidRDefault="00AB61AC">
      <w:pPr>
        <w:pStyle w:val="aff9"/>
      </w:pPr>
      <w:r>
        <w:rPr>
          <w:rStyle w:val="aff8"/>
        </w:rPr>
        <w:footnoteRef/>
      </w:r>
      <w:r w:rsidRPr="00E65E68">
        <w:rPr>
          <w:lang w:val="ru-RU"/>
        </w:rPr>
        <w:t xml:space="preserve"> </w:t>
      </w:r>
      <w:r>
        <w:rPr/>
        <w:t xml:space="preserve">Tadqiqotlar jarayonida muallif tomonidan tuzilgan.</w:t>
      </w:r>
    </w:p>
  </w:footnote>
  <w:footnote w:id="407">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9">
    <w:p w:rsidR="00AB61AC" w:rsidRDefault="00AB61AC">
      <w:pPr>
        <w:pStyle w:val="aff9"/>
      </w:pPr>
      <w:r>
        <w:rPr>
          <w:rStyle w:val="aff8"/>
        </w:rPr>
        <w:footnoteRef/>
      </w:r>
      <w:r>
        <w:t xml:space="preserve"> </w:t>
      </w:r>
      <w:r>
        <w:rPr/>
        <w:t xml:space="preserve">Tadqiqotlar jarayonida muallif tomonidan tuzilgan.</w:t>
      </w:r>
    </w:p>
  </w:footnote>
  <w:footnote w:id="410">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1">
    <w:p w:rsidR="00AB61AC" w:rsidRPr="00E65E68" w:rsidRDefault="00AB61AC">
      <w:pPr>
        <w:pStyle w:val="aff9"/>
        <w:rPr>
          <w:lang w:val="ru-RU"/>
        </w:rPr>
      </w:pPr>
      <w:r>
        <w:rPr>
          <w:rStyle w:val="aff8"/>
        </w:rPr>
        <w:footnoteRef/>
      </w:r>
      <w:r>
        <w:t xml:space="preserve"> </w:t>
      </w:r>
      <w:r>
        <w:rPr/>
        <w:t xml:space="preserve">Tadqiqotlar jarayonida muallif tomonidan tuzilgan.</w:t>
      </w:r>
    </w:p>
  </w:footnote>
  <w:footnote w:id="412">
    <w:p w:rsidR="00AB61AC" w:rsidRDefault="00AB61AC">
      <w:pPr>
        <w:pStyle w:val="aff9"/>
      </w:pPr>
      <w:r>
        <w:rPr>
          <w:rStyle w:val="aff8"/>
        </w:rPr>
        <w:footnoteRef/>
      </w:r>
      <w:r>
        <w:rPr/>
        <w:t xml:space="preserve"> </w:t>
      </w:r>
      <w:r>
        <w:rPr/>
        <w:t xml:space="preserve">Tadqiqotlar jarayonida muallif tomonidan tuzilgan.</w:t>
      </w:r>
    </w:p>
  </w:footnote>
  <w:footnote w:id="413">
    <w:p w:rsidR="00AB61AC" w:rsidRDefault="00AB61AC">
      <w:pPr>
        <w:pStyle w:val="aff9"/>
      </w:pPr>
      <w:r>
        <w:rPr>
          <w:rStyle w:val="aff8"/>
        </w:rPr>
        <w:footnoteRef/>
      </w:r>
      <w:r>
        <w:rPr/>
        <w:t xml:space="preserve"> </w:t>
      </w:r>
      <w:r>
        <w:rPr/>
        <w:t xml:space="preserve">Tadqiqotlar jarayonida muallif tomonidan tuzilgan.</w:t>
      </w:r>
    </w:p>
  </w:footnote>
  <w:footnote w:id="414">
    <w:p w:rsidR="00AB61AC" w:rsidRDefault="00AB61AC">
      <w:pPr>
        <w:pStyle w:val="aff9"/>
      </w:pPr>
      <w:r>
        <w:rPr>
          <w:rStyle w:val="aff8"/>
        </w:rPr>
        <w:footnoteRef/>
      </w:r>
      <w:r>
        <w:t xml:space="preserve"> Tadqiqot natijasida muallif tomonidan 3.1.3 va 3.1.5-jadvallar ma’lumotlari asosida hisoblandi.</w:t>
      </w:r>
    </w:p>
  </w:footnote>
  <w:footnote w:id="415">
    <w:p w:rsidR="00AB61AC" w:rsidRDefault="00AB61AC">
      <w:pPr>
        <w:pStyle w:val="aff9"/>
      </w:pPr>
      <w:r>
        <w:rPr>
          <w:rStyle w:val="aff8"/>
        </w:rPr>
        <w:footnoteRef/>
      </w:r>
      <w:r>
        <w:t xml:space="preserve"> </w:t>
      </w:r>
      <w:r>
        <w:rPr/>
        <w:t xml:space="preserve">Tadqiqotlar jarayonida muallif tomonidan tuzilgan.</w:t>
      </w:r>
    </w:p>
  </w:footnote>
  <w:footnote w:id="416">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7">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8">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9">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20">
    <w:p w:rsidR="00AB61AC" w:rsidRDefault="00AB61AC">
      <w:pPr>
        <w:pStyle w:val="aff9"/>
      </w:pPr>
      <w:r>
        <w:rPr>
          <w:rStyle w:val="aff8"/>
        </w:rPr>
        <w:footnoteRef/>
      </w:r>
      <w:r>
        <w:t xml:space="preserve"> </w:t>
      </w:r>
      <w:r>
        <w:rPr/>
        <w:t xml:space="preserve">Tadqiqotlar jarayonida muallif tomonidan tuzilgan.</w:t>
      </w:r>
    </w:p>
  </w:footnote>
  <w:footnote w:id="421">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2">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4">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5">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6">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7">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9">
    <w:p w:rsidR="00AB61AC" w:rsidRDefault="00AB61AC">
      <w:pPr>
        <w:pStyle w:val="aff9"/>
      </w:pPr>
      <w:r>
        <w:rPr>
          <w:rStyle w:val="aff8"/>
        </w:rPr>
        <w:footnoteRef/>
      </w:r>
      <w:r>
        <w:t xml:space="preserve"> </w:t>
      </w:r>
      <w:r>
        <w:rPr/>
        <w:t xml:space="preserve">Tadqiqotlar jarayonida muallif tomonidan tuzilgan.</w:t>
      </w:r>
    </w:p>
  </w:footnote>
  <w:footnote w:id="43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1">
    <w:p w:rsidR="00AB61AC" w:rsidRDefault="00AB61AC">
      <w:pPr>
        <w:pStyle w:val="aff9"/>
      </w:pPr>
      <w:r>
        <w:rPr>
          <w:rStyle w:val="aff8"/>
        </w:rPr>
        <w:footnoteRef/>
      </w:r>
      <w:r>
        <w:t xml:space="preserve"> </w:t>
      </w:r>
      <w:r>
        <w:rPr/>
        <w:t xml:space="preserve">Tadqiqotlar jarayonida muallif tomonidan tuzilgan.</w:t>
      </w:r>
    </w:p>
  </w:footnote>
  <w:footnote w:id="432">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3">
    <w:p w:rsidR="00AB61AC" w:rsidRDefault="00AB61AC">
      <w:pPr>
        <w:pStyle w:val="aff9"/>
      </w:pPr>
      <w:r>
        <w:rPr>
          <w:rStyle w:val="aff8"/>
        </w:rPr>
        <w:footnoteRef/>
      </w:r>
      <w:r>
        <w:t xml:space="preserve"> </w:t>
      </w:r>
      <w:r>
        <w:rPr/>
        <w:t xml:space="preserve">Tadqiqotlar jarayonida muallif tomonidan tuzilgan.</w:t>
      </w:r>
    </w:p>
  </w:footnote>
  <w:footnote w:id="434">
    <w:p w:rsidR="00AB61AC" w:rsidRDefault="00AB61AC">
      <w:pPr>
        <w:pStyle w:val="aff9"/>
      </w:pPr>
      <w:r>
        <w:rPr>
          <w:rStyle w:val="aff8"/>
        </w:rPr>
        <w:footnoteRef/>
      </w:r>
      <w:r>
        <w:t xml:space="preserve"> </w:t>
      </w:r>
      <w:r>
        <w:rPr/>
        <w:t xml:space="preserve">Tadqiqotlar jarayonida muallif tomonidan tuzilgan.</w:t>
      </w:r>
    </w:p>
  </w:footnote>
  <w:footnote w:id="435">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6">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7">
    <w:p w:rsidR="00AB61AC" w:rsidRDefault="00AB61AC">
      <w:pPr>
        <w:pStyle w:val="aff9"/>
      </w:pPr>
      <w:r>
        <w:rPr>
          <w:rStyle w:val="aff8"/>
        </w:rPr>
        <w:footnoteRef/>
      </w:r>
      <w:r>
        <w:t xml:space="preserve"> </w:t>
      </w:r>
      <w:r>
        <w:rPr/>
        <w:t xml:space="preserve">Tadqiqotlar jarayonida muallif tomonidan tuzilgan.</w:t>
      </w:r>
    </w:p>
  </w:footnote>
  <w:footnote w:id="438">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9">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4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1">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2">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4">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7">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8">
    <w:p w:rsidR="00AB61AC" w:rsidRDefault="00AB61AC">
      <w:pPr>
        <w:pStyle w:val="aff9"/>
      </w:pPr>
      <w:r>
        <w:rPr>
          <w:rStyle w:val="aff8"/>
        </w:rPr>
        <w:footnoteRef/>
      </w:r>
      <w:r>
        <w:t xml:space="preserve"> Tadqiqot natijasida muallif tomonidan </w:t>
      </w:r>
      <w:r>
        <w:rPr/>
        <w:t xml:space="preserve">ishlab chiqildi; gipotezalarning nazariy asoslari jadvaldan keyingi matnda keltirilgan manbalarga tayanadi.</w:t>
      </w:r>
    </w:p>
  </w:footnote>
  <w:footnote w:id="449">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50">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1">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2">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3">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4">
    <w:p w:rsidR="00AB61AC" w:rsidRDefault="00AB61AC">
      <w:pPr>
        <w:pStyle w:val="aff9"/>
      </w:pPr>
      <w:r>
        <w:rPr>
          <w:rStyle w:val="aff8"/>
        </w:rPr>
        <w:footnoteRef/>
      </w:r>
      <w:r>
        <w:t xml:space="preserve"> Roy A.D. Safety First and the Holding of Assets // Econometrica. – 1952. – Vol. 20, No. 3. – P. 431–449.</w:t>
      </w:r>
    </w:p>
  </w:footnote>
  <w:footnote w:id="455">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6">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7">
    <w:p w:rsidR="00AB61AC" w:rsidRDefault="00AB61AC">
      <w:pPr>
        <w:pStyle w:val="aff9"/>
      </w:pPr>
      <w:r>
        <w:rPr>
          <w:rStyle w:val="aff8"/>
        </w:rPr>
        <w:footnoteRef/>
      </w:r>
      <w:r>
        <w:t xml:space="preserve"> </w:t>
      </w:r>
      <w:r>
        <w:rPr/>
        <w:t xml:space="preserve">Tadqiqotlar jarayonida muallif tomonidan tuzilgan.</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Tadqiqot natijasida muallif tomonidan 3.3.2-jadvalda ko‘rsatilgan manbalar ma’lumotlari asosida hisoblandi.</w:t>
      </w:r>
    </w:p>
  </w:footnote>
  <w:footnote w:id="461">
    <w:p w:rsidR="00AB61AC" w:rsidRDefault="00AB61AC">
      <w:pPr>
        <w:pStyle w:val="aff9"/>
      </w:pPr>
      <w:r>
        <w:rPr>
          <w:rStyle w:val="aff8"/>
        </w:rPr>
        <w:footnoteRef/>
      </w:r>
      <w:r>
        <w:t xml:space="preserve"> Baltagi B.H. Econometric Analysis of Panel Data. – 6th ed. – Cham: Springer, 2021.</w:t>
      </w:r>
    </w:p>
  </w:footnote>
  <w:footnote w:id="462">
    <w:p w:rsidR="00AB61AC" w:rsidRDefault="00AB61AC">
      <w:pPr>
        <w:pStyle w:val="aff9"/>
      </w:pPr>
      <w:r>
        <w:rPr>
          <w:rStyle w:val="aff8"/>
        </w:rPr>
        <w:footnoteRef/>
      </w:r>
      <w:r>
        <w:t xml:space="preserve"> Wooldridge J.M. Econometric Analysis of Cross Section and Panel Data. – 2nd ed. – Cambridge, MA: MIT Press, 2010.</w:t>
      </w:r>
    </w:p>
  </w:footnote>
  <w:footnote w:id="463">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4">
    <w:p w:rsidR="00AB61AC" w:rsidRDefault="00AB61AC">
      <w:pPr>
        <w:pStyle w:val="aff9"/>
      </w:pPr>
      <w:r>
        <w:rPr>
          <w:rStyle w:val="aff8"/>
        </w:rPr>
        <w:footnoteRef/>
      </w:r>
      <w:r>
        <w:t xml:space="preserve"> Hausman J.A. Specification Tests in Econometrics // Econometrica. – 1978. – Vol. 46, No. 6. – P. 1251–1271.</w:t>
      </w:r>
    </w:p>
  </w:footnote>
  <w:footnote w:id="465">
    <w:p w:rsidR="00AB61AC" w:rsidRDefault="00AB61AC">
      <w:pPr>
        <w:pStyle w:val="aff9"/>
      </w:pPr>
      <w:r>
        <w:rPr>
          <w:rStyle w:val="aff8"/>
        </w:rPr>
        <w:footnoteRef/>
      </w:r>
      <w:r>
        <w:t xml:space="preserve"> Nickell S. Biases in Dynamic Models with Fixed Effects // Econometrica. – 1981. – Vol. 49, No. 6. – P. 1417–1426.</w:t>
      </w:r>
    </w:p>
  </w:footnote>
  <w:footnote w:id="466">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7">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8">
    <w:p w:rsidR="00AB61AC" w:rsidRDefault="00AB61AC">
      <w:pPr>
        <w:pStyle w:val="aff9"/>
      </w:pPr>
      <w:r>
        <w:rPr>
          <w:rStyle w:val="aff8"/>
        </w:rPr>
        <w:footnoteRef/>
      </w:r>
      <w:r>
        <w:t xml:space="preserve"> Tadqiqot natijasida muallif tomonidan 3.3.2-jadvalda ko‘rsatilgan manbalar ma’lumotlari asosida hisoblandi.</w:t>
      </w:r>
    </w:p>
  </w:footnote>
  <w:footnote w:id="469">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70">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1">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Tadqiqot natijasida muallif tomonidan 3.3.2-jadvalda ko‘rsatilgan manbalar ma’lumotlari asosida hisoblandi.</w:t>
      </w:r>
    </w:p>
  </w:footnote>
  <w:footnote w:id="474">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5">
    <w:p w:rsidR="00AB61AC" w:rsidRDefault="00AB61AC">
      <w:pPr>
        <w:pStyle w:val="aff9"/>
      </w:pPr>
      <w:r>
        <w:rPr>
          <w:rStyle w:val="aff8"/>
        </w:rPr>
        <w:footnoteRef/>
      </w:r>
      <w:r>
        <w:t xml:space="preserve"> Tadqiqot natijasida muallif tomonidan 3.3.2-jadvalda ko‘rsatilgan manbalar ma’lumotlari asosida hisoblandi.</w:t>
      </w:r>
    </w:p>
  </w:footnote>
  <w:footnote w:id="476">
    <w:p w:rsidR="00AB61AC" w:rsidRDefault="00AB61AC">
      <w:pPr>
        <w:pStyle w:val="aff9"/>
      </w:pPr>
      <w:r>
        <w:rPr>
          <w:rStyle w:val="aff8"/>
        </w:rPr>
        <w:footnoteRef/>
      </w:r>
      <w:r>
        <w:rPr/>
        <w:t xml:space="preserve"> Nickell S. Biases in Dynamic Models with Fixed Effects // Econometrica. – 1981. – Vol. 49, No. 6. – P. 1417–1426.</w:t>
      </w:r>
    </w:p>
  </w:footnote>
  <w:footnote w:id="477">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8">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9">
    <w:p w:rsidR="00AB61AC" w:rsidRDefault="00AB61AC">
      <w:pPr>
        <w:pStyle w:val="aff9"/>
      </w:pPr>
      <w:r>
        <w:rPr>
          <w:rStyle w:val="aff8"/>
        </w:rPr>
        <w:footnoteRef/>
      </w:r>
      <w:r>
        <w:t xml:space="preserve"> Tadqiqot natijasida muallif tomonidan 3.3.3–3.3.6-jadvallar ma’lumotlari asosida ishlab chiqildi.</w:t>
      </w:r>
    </w:p>
  </w:footnote>
  <w:footnote w:id="480">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1">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2">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3">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4">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5">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6">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7">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9">
    <w:p w:rsidR="00AB61AC" w:rsidRDefault="00AB61AC">
      <w:pPr>
        <w:pStyle w:val="aff9"/>
      </w:pPr>
      <w:r>
        <w:rPr>
          <w:rStyle w:val="aff8"/>
        </w:rPr>
        <w:footnoteRef/>
      </w:r>
      <w:r>
        <w:t xml:space="preserve"> </w:t>
      </w:r>
      <w:r>
        <w:rPr/>
        <w:t xml:space="preserve">Tadqiqotlar jarayonida muallif tomonidan tuzilgan.</w:t>
      </w:r>
    </w:p>
  </w:footnote>
  <w:footnote w:id="490">
    <w:p w:rsidR="00AB61AC" w:rsidRDefault="00AB61AC">
      <w:pPr>
        <w:pStyle w:val="aff9"/>
      </w:pPr>
      <w:r>
        <w:rPr>
          <w:rStyle w:val="aff8"/>
        </w:rPr>
        <w:footnoteRef/>
      </w:r>
      <w:r>
        <w:t xml:space="preserve"> </w:t>
      </w:r>
      <w:r>
        <w:rPr/>
        <w:t xml:space="preserve">Tadqiqotlar jarayonida muallif tomonidan tuzilgan.</w:t>
      </w:r>
    </w:p>
  </w:footnote>
  <w:footnote w:id="491">
    <w:p w:rsidR="00AB61AC" w:rsidRDefault="00AB61AC">
      <w:pPr>
        <w:pStyle w:val="aff9"/>
      </w:pPr>
      <w:r>
        <w:rPr>
          <w:rStyle w:val="aff8"/>
        </w:rPr>
        <w:footnoteRef/>
      </w:r>
      <w:r>
        <w:t xml:space="preserve"> Fawcett T. An introduction to ROC analysis // Pattern Recognition Letters. – 2006. – Vol. 27, No. 8. – P. 861–874.</w:t>
      </w:r>
    </w:p>
  </w:footnote>
  <w:footnote w:id="492">
    <w:p w:rsidR="00AB61AC" w:rsidRDefault="00AB61AC">
      <w:pPr>
        <w:pStyle w:val="aff9"/>
      </w:pPr>
      <w:r>
        <w:rPr>
          <w:rStyle w:val="aff8"/>
        </w:rPr>
        <w:footnoteRef/>
      </w:r>
      <w:r>
        <w:t xml:space="preserve"> Hosmer D.W., Lemeshow S., Sturdivant R.X. Applied Logistic Regression. – 3rd ed. – Hoboken, NJ: John Wiley &amp; Sons, 2013.</w:t>
      </w:r>
    </w:p>
  </w:footnote>
  <w:footnote w:id="493">
    <w:p w:rsidR="00AB61AC" w:rsidRDefault="00AB61AC">
      <w:pPr>
        <w:pStyle w:val="aff9"/>
      </w:pPr>
      <w:r>
        <w:rPr>
          <w:rStyle w:val="aff8"/>
        </w:rPr>
        <w:footnoteRef/>
      </w:r>
      <w:r>
        <w:t xml:space="preserve"> Tadqiqot natijasida muallif tomonidan 4.1.2-jadvalda ko‘rsatilgan manbalar ma’lumotlari asosida hisoblandi.</w:t>
      </w:r>
    </w:p>
  </w:footnote>
  <w:footnote w:id="494">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5">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6">
    <w:p w:rsidR="00AB61AC" w:rsidRDefault="00AB61AC">
      <w:pPr>
        <w:pStyle w:val="aff9"/>
      </w:pPr>
      <w:r>
        <w:rPr>
          <w:rStyle w:val="aff8"/>
        </w:rPr>
        <w:footnoteRef/>
      </w:r>
      <w:r>
        <w:t xml:space="preserve"> Tadqiqot natijasida muallif tomonidan 4.1.2-jadvalda ko‘rsatilgan manbalar ma’lumotlari asosida hisoblandi.</w:t>
      </w:r>
    </w:p>
  </w:footnote>
  <w:footnote w:id="497">
    <w:p w:rsidR="00AB61AC" w:rsidRDefault="00AB61AC">
      <w:pPr>
        <w:pStyle w:val="aff9"/>
      </w:pPr>
      <w:r>
        <w:rPr>
          <w:rStyle w:val="aff8"/>
        </w:rPr>
        <w:footnoteRef/>
      </w:r>
      <w:r>
        <w:t xml:space="preserve"> Hosmer D.W., Lemeshow S., Sturdivant R.X. Applied Logistic Regression. – 3rd ed. – Hoboken, NJ: John Wiley &amp; Sons, 2013.</w:t>
      </w:r>
    </w:p>
  </w:footnote>
  <w:footnote w:id="498">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1">
    <w:p w:rsidR="00AB61AC" w:rsidRDefault="00AB61AC">
      <w:pPr>
        <w:pStyle w:val="aff9"/>
      </w:pPr>
      <w:r>
        <w:rPr>
          <w:rStyle w:val="aff8"/>
        </w:rPr>
        <w:footnoteRef/>
      </w:r>
      <w:r>
        <w:t xml:space="preserve"> Tadqiqot natijasida muallif tomonidan 4.1.2-jadvalda ko‘rsatilgan manbalar ma’lumotlari asosida hisoblandi.</w:t>
      </w:r>
    </w:p>
  </w:footnote>
  <w:footnote w:id="502">
    <w:p w:rsidR="00AB61AC" w:rsidRDefault="00AB61AC">
      <w:pPr>
        <w:pStyle w:val="aff9"/>
      </w:pPr>
      <w:r>
        <w:rPr>
          <w:rStyle w:val="aff8"/>
        </w:rPr>
        <w:footnoteRef/>
      </w:r>
      <w:r>
        <w:t xml:space="preserve"> Tadqiqot natijasida muallif tomonidan 4.1.2-jadvalda ko‘rsatilgan manbalar ma’lumotlari asosida hisoblandi.</w:t>
      </w:r>
    </w:p>
  </w:footnote>
  <w:footnote w:id="503">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4">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5">
    <w:p w:rsidR="00AB61AC" w:rsidRPr="00E65E68" w:rsidRDefault="00AB61AC">
      <w:pPr>
        <w:pStyle w:val="aff9"/>
        <w:rPr>
          <w:lang w:val="ru-RU"/>
        </w:rPr>
      </w:pPr>
      <w:r>
        <w:rPr>
          <w:rStyle w:val="aff8"/>
        </w:rPr>
        <w:footnoteRef/>
      </w:r>
      <w:r>
        <w:t xml:space="preserve"> </w:t>
      </w:r>
      <w:r>
        <w:rPr/>
        <w:t xml:space="preserve">Tadqiqotlar jarayonida muallif tomonidan tuzilgan.</w:t>
      </w:r>
    </w:p>
  </w:footnote>
  <w:footnote w:id="506">
    <w:p w:rsidR="00AB61AC" w:rsidRPr="00E65E68" w:rsidRDefault="00AB61AC">
      <w:pPr>
        <w:pStyle w:val="aff9"/>
        <w:rPr>
          <w:lang w:val="ru-RU"/>
        </w:rPr>
      </w:pPr>
      <w:r>
        <w:rPr>
          <w:rStyle w:val="aff8"/>
        </w:rPr>
        <w:footnoteRef/>
      </w:r>
      <w:r>
        <w:t xml:space="preserve"> </w:t>
      </w:r>
      <w:r>
        <w:rPr/>
        <w:t xml:space="preserve">Tadqiqotlar jarayonida muallif tomonidan tuzilgan.</w:t>
      </w:r>
    </w:p>
  </w:footnote>
  <w:footnote w:id="507">
    <w:p w:rsidR="00AB61AC" w:rsidRDefault="00AB61AC">
      <w:pPr>
        <w:pStyle w:val="aff9"/>
      </w:pPr>
      <w:r>
        <w:rPr>
          <w:rStyle w:val="aff8"/>
        </w:rPr>
        <w:footnoteRef/>
      </w:r>
      <w:r>
        <w:t xml:space="preserve"> Tadqiqot natijasida muallif tomonidan 4.1.3–4.1.5-jadvallar ma’lumotlari asosida ishlab chiqildi.</w:t>
      </w:r>
    </w:p>
  </w:footnote>
  <w:footnote w:id="508">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9">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10">
    <w:p w:rsidR="00AB61AC" w:rsidRDefault="00AB61AC">
      <w:pPr>
        <w:pStyle w:val="aff9"/>
      </w:pPr>
      <w:r>
        <w:rPr>
          <w:rStyle w:val="aff8"/>
        </w:rPr>
        <w:footnoteRef/>
      </w:r>
      <w:r>
        <w:t xml:space="preserve"> Basel Committee on Banking Supervision. Stress testing principles. – Basel: BIS, October 2018.</w:t>
      </w:r>
    </w:p>
  </w:footnote>
  <w:footnote w:id="511">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2">
    <w:p w:rsidR="00AB61AC" w:rsidRDefault="00AB61AC">
      <w:pPr>
        <w:pStyle w:val="aff9"/>
      </w:pPr>
      <w:r>
        <w:rPr>
          <w:rStyle w:val="aff8"/>
        </w:rPr>
        <w:footnoteRef/>
      </w:r>
      <w:r>
        <w:t xml:space="preserve"> Tadqiqot natijasida muallif tomonidan </w:t>
      </w:r>
      <w:r>
        <w:rPr/>
        <w:t xml:space="preserve">O‘zbekiston Respublikasi Markaziy banki statistik byulleteni (2026-yil mart, 1.1-jadval) ma’lumotlari asosida ishlab chiqildi</w:t>
      </w:r>
      <w:r>
        <w:t xml:space="preserve">.</w:t>
      </w:r>
    </w:p>
  </w:footnote>
  <w:footnote w:id="513">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w:t>
      </w:r>
      <w:r>
        <w:rPr/>
        <w:t xml:space="preserve">1.1-jadval</w:t>
      </w:r>
      <w:r>
        <w:t xml:space="preserve">. – https://cbu.uz/uz/statistics/buleten/</w:t>
      </w:r>
    </w:p>
  </w:footnote>
  <w:footnote w:id="514">
    <w:p w:rsidR="00AB61AC" w:rsidRDefault="00AB61AC">
      <w:pPr>
        <w:pStyle w:val="aff9"/>
      </w:pPr>
      <w:r>
        <w:rPr>
          <w:rStyle w:val="aff8"/>
        </w:rPr>
        <w:footnoteRef/>
      </w:r>
      <w:r>
        <w:rPr/>
        <w:t xml:space="preserve"> Tadqiqotlar jarayonida muallif tomonidan tuzilgan.</w:t>
      </w:r>
    </w:p>
  </w:footnote>
  <w:footnote w:id="515">
    <w:p w:rsidR="00AB61AC" w:rsidRDefault="00AB61AC">
      <w:pPr>
        <w:pStyle w:val="aff9"/>
      </w:pPr>
      <w:r>
        <w:rPr>
          <w:rStyle w:val="aff8"/>
        </w:rPr>
        <w:footnoteRef/>
      </w:r>
      <w:r>
        <w:t xml:space="preserve"> </w:t>
      </w:r>
      <w:r>
        <w:rPr/>
        <w:t xml:space="preserve">Tadqiqotlar jarayonida muallif tomonidan tuzilgan.</w:t>
      </w:r>
    </w:p>
  </w:footnote>
  <w:footnote w:id="516">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7">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8">
    <w:p w:rsidR="00AB61AC" w:rsidRDefault="00AB61AC">
      <w:pPr>
        <w:pStyle w:val="aff9"/>
      </w:pPr>
      <w:r>
        <w:rPr>
          <w:rStyle w:val="aff8"/>
        </w:rPr>
        <w:footnoteRef/>
      </w:r>
      <w:r>
        <w:rPr/>
        <w:t xml:space="preserve"> Tadqiqotlar jarayonida muallif tomonidan tuzilgan.</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Basel Committee on Banking Supervision. Stress testing principles. – Basel: BIS, October 2018.</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Default="00AB61AC">
      <w:pPr>
        <w:pStyle w:val="aff9"/>
      </w:pPr>
      <w:r>
        <w:rPr>
          <w:rStyle w:val="aff8"/>
        </w:rPr>
        <w:footnoteRef/>
      </w:r>
      <w:r>
        <w:rPr/>
        <w:t xml:space="preserve"> Tadqiqotlar jarayonida muallif tomonidan tuzilgan.</w:t>
      </w:r>
    </w:p>
  </w:footnote>
  <w:footnote w:id="523">
    <w:p w:rsidR="00AB61AC" w:rsidRDefault="00AB61AC">
      <w:pPr>
        <w:pStyle w:val="aff9"/>
      </w:pPr>
      <w:r>
        <w:rPr>
          <w:rStyle w:val="aff8"/>
        </w:rPr>
        <w:footnoteRef/>
      </w:r>
      <w:r>
        <w:t xml:space="preserve"> Tadqiqot natijasida muallif tomonidan 4.2.2-jadvalda ko‘rsatilgan manbalar ma’lumotlari asosida hisoblandi.</w:t>
      </w:r>
    </w:p>
  </w:footnote>
  <w:footnote w:id="524">
    <w:p w:rsidR="00AB61AC" w:rsidRDefault="00AB61AC">
      <w:pPr>
        <w:pStyle w:val="aff9"/>
      </w:pPr>
      <w:r>
        <w:rPr>
          <w:rStyle w:val="aff8"/>
        </w:rPr>
        <w:footnoteRef/>
      </w:r>
      <w:r>
        <w:rPr/>
        <w:t xml:space="preserve"> Tadqiqotlar jarayonida muallif tomonidan tuzilgan.</w:t>
      </w:r>
    </w:p>
  </w:footnote>
  <w:footnote w:id="525">
    <w:p w:rsidR="00AB61AC" w:rsidRDefault="00AB61AC">
      <w:pPr>
        <w:pStyle w:val="aff9"/>
      </w:pPr>
      <w:r>
        <w:rPr>
          <w:rStyle w:val="aff8"/>
        </w:rPr>
        <w:footnoteRef/>
      </w:r>
      <w:r>
        <w:t xml:space="preserve"> Tadqiqot natijasida muallif tomonidan 4.2.2-jadvalda ko‘rsatilgan manbalar ma’lumotlari asosida hisoblandi.</w:t>
      </w:r>
    </w:p>
  </w:footnote>
  <w:footnote w:id="526">
    <w:p w:rsidR="00AB61AC" w:rsidRDefault="00AB61AC">
      <w:pPr>
        <w:pStyle w:val="aff9"/>
      </w:pPr>
      <w:r>
        <w:rPr>
          <w:rStyle w:val="aff8"/>
        </w:rPr>
        <w:footnoteRef/>
      </w:r>
      <w:r>
        <w:t xml:space="preserve"> Tadqiqot natijasida muallif tomonidan 4.2.2-jadvalda ko‘rsatilgan manbalar ma’lumotlari asosida hisoblandi.</w:t>
      </w:r>
    </w:p>
  </w:footnote>
  <w:footnote w:id="527">
    <w:p w:rsidR="00AB61AC" w:rsidRPr="00E65E68" w:rsidRDefault="00AB61AC">
      <w:pPr>
        <w:pStyle w:val="aff9"/>
        <w:rPr>
          <w:lang w:val="ru-RU"/>
        </w:rPr>
      </w:pPr>
      <w:r>
        <w:rPr>
          <w:rStyle w:val="aff8"/>
        </w:rPr>
        <w:footnoteRef/>
      </w:r>
      <w:r>
        <w:t xml:space="preserve"> </w:t>
      </w:r>
      <w:r>
        <w:rPr/>
        <w:t xml:space="preserve">Tadqiqotlar jarayonida muallif tomonidan tuzilgan.</w:t>
      </w:r>
    </w:p>
  </w:footnote>
  <w:footnote w:id="528">
    <w:p w:rsidR="00AB61AC" w:rsidRDefault="00AB61AC">
      <w:pPr>
        <w:pStyle w:val="aff9"/>
      </w:pPr>
      <w:r>
        <w:rPr>
          <w:rStyle w:val="aff8"/>
        </w:rPr>
        <w:footnoteRef/>
      </w:r>
      <w:r>
        <w:t xml:space="preserve"> Tadqiqot natijasida muallif tomonidan </w:t>
      </w:r>
      <w:r>
        <w:rPr/>
        <w:t xml:space="preserve">4.2.7-jadval</w:t>
      </w:r>
      <w:r>
        <w:t xml:space="preserve"> ma’lumotlari asosida ishlab chiqildi.</w:t>
      </w:r>
    </w:p>
  </w:footnote>
  <w:footnote w:id="5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3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3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3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33">
    <w:p w:rsidR="00AB61AC" w:rsidRDefault="00AB61AC">
      <w:pPr>
        <w:pStyle w:val="aff9"/>
      </w:pPr>
      <w:r>
        <w:rPr>
          <w:rStyle w:val="aff8"/>
        </w:rPr>
        <w:footnoteRef/>
      </w:r>
      <w:r>
        <w:t xml:space="preserve"> </w:t>
      </w:r>
      <w:r>
        <w:rPr/>
        <w:t xml:space="preserve">O‘zbekiston Respublikasi Markaziy banki. Moliya sektorini baholash dasturi (FSAP) tavsiyalarini amalga oshirish bo‘yicha 2025–2028-yillarga mo‘ljallangan “yo‘l xaritasi”. – Toshkent, 17.11.2025.</w:t>
      </w:r>
    </w:p>
  </w:footnote>
  <w:footnote w:id="534">
    <w:p w:rsidR="00AB61AC" w:rsidRDefault="00AB61AC">
      <w:pPr>
        <w:pStyle w:val="aff9"/>
      </w:pPr>
      <w:r>
        <w:rPr>
          <w:rStyle w:val="aff8"/>
        </w:rPr>
        <w:footnoteRef/>
      </w:r>
      <w:r>
        <w:t xml:space="preserve"> </w:t>
      </w:r>
      <w:r>
        <w:rPr/>
        <w:t xml:space="preserve">O‘zbekiston Respublikasi Markaziy banki. Moliya sektorini baholash dasturi (FSAP) tavsiyalarini amalga oshirish bo‘yicha 2025–2028-yillarga mo‘ljallangan “yo‘l xaritasi”. – Toshkent, 17.11.2025. – 3, 5, 7, 9, 12, 19-tadbirlar</w:t>
      </w:r>
      <w:r>
        <w:t xml:space="preserve">.</w:t>
      </w:r>
    </w:p>
  </w:footnote>
  <w:footnote w:id="535">
    <w:p w:rsidR="00AB61AC" w:rsidRDefault="00AB61AC">
      <w:pPr>
        <w:pStyle w:val="aff9"/>
      </w:pPr>
      <w:r>
        <w:rPr>
          <w:rStyle w:val="aff8"/>
        </w:rPr>
        <w:footnoteRef/>
      </w:r>
      <w:r>
        <w:t xml:space="preserve"> </w:t>
      </w:r>
      <w:r>
        <w:rPr/>
        <w:t xml:space="preserve">Tadqiqotlar jarayonida muallif tomonidan tuzilgan.</w:t>
      </w:r>
    </w:p>
  </w:footnote>
  <w:footnote w:id="53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7">
    <w:p w:rsidR="00AB61AC" w:rsidRDefault="00AB61AC">
      <w:pPr>
        <w:pStyle w:val="aff9"/>
      </w:pPr>
      <w:r>
        <w:rPr>
          <w:rStyle w:val="aff8"/>
        </w:rPr>
        <w:footnoteRef/>
      </w:r>
      <w:r>
        <w:rPr/>
        <w:t xml:space="preserve"> Sullivan &amp; Cromwell LLP. FFIEC Proposes Revisions to CAMELS Rating System</w:t>
      </w:r>
      <w:r>
        <w:rPr/>
        <w:t xml:space="preserve">. – New York, 20 May 2026. – https://www.sullcrom.com/insights/memo/2026/May/FFIEC-Proposes-Revisions-CAMELS-Rating-System.</w:t>
      </w:r>
    </w:p>
  </w:footnote>
  <w:footnote w:id="538">
    <w:p w:rsidR="00AB61AC" w:rsidRDefault="00AB61AC">
      <w:pPr>
        <w:pStyle w:val="aff9"/>
      </w:pPr>
      <w:r>
        <w:rPr>
          <w:rStyle w:val="aff8"/>
        </w:rPr>
        <w:footnoteRef/>
      </w:r>
      <w:r>
        <w:t xml:space="preserve"> </w:t>
      </w:r>
      <w:r>
        <w:rPr/>
        <w:t xml:space="preserve">O‘zbekiston Respublikasi Markaziy banki. Moliya sektorini baholash dasturi (FSAP) tavsiyalarini amalga oshirish bo‘yicha 2025–2028-yillarga mo‘ljallangan “yo‘l xaritasi”. – Toshkent, 17.11.2025. – 9-tadbir</w:t>
      </w:r>
      <w:r>
        <w:t xml:space="preserve">.</w:t>
      </w:r>
    </w:p>
  </w:footnote>
  <w:footnote w:id="539">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40">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42">
    <w:p w:rsidR="00AB61AC" w:rsidRDefault="00AB61AC">
      <w:pPr>
        <w:pStyle w:val="aff9"/>
      </w:pPr>
      <w:r>
        <w:rPr>
          <w:rStyle w:val="aff8"/>
        </w:rPr>
        <w:footnoteRef/>
      </w:r>
      <w:r>
        <w:t xml:space="preserve"> </w:t>
      </w:r>
      <w:r>
        <w:rPr/>
        <w:t xml:space="preserve">Tadqiqotlar jarayonida muallif tomonidan tuzilgan.</w:t>
      </w:r>
    </w:p>
  </w:footnote>
  <w:footnote w:id="54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44">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4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7">
    <w:p w:rsidR="00AB61AC" w:rsidRDefault="00AB61AC">
      <w:pPr>
        <w:pStyle w:val="aff9"/>
      </w:pPr>
      <w:r>
        <w:rPr>
          <w:rStyle w:val="aff8"/>
        </w:rPr>
        <w:footnoteRef/>
      </w:r>
      <w:r>
        <w:t xml:space="preserve"> </w:t>
      </w:r>
      <w:r>
        <w:rPr/>
        <w:t xml:space="preserve">O‘zbekiston Respublikasi Markaziy banki. Moliya sektorini baholash dasturi (FSAP) tavsiyalarini amalga oshirish bo‘yicha 2025–2028-yillarga mo‘ljallangan “yo‘l xaritasi”. – Toshkent, 17.11.2025. – 7-tadbir</w:t>
      </w:r>
      <w:r>
        <w:t xml:space="preserve">.</w:t>
      </w:r>
    </w:p>
  </w:footnote>
  <w:footnote w:id="548">
    <w:p w:rsidR="00AB61AC" w:rsidRDefault="00AB61AC">
      <w:pPr>
        <w:pStyle w:val="aff9"/>
      </w:pPr>
      <w:r>
        <w:rPr>
          <w:rStyle w:val="aff8"/>
        </w:rPr>
        <w:footnoteRef/>
      </w:r>
      <w:r>
        <w:t xml:space="preserve"> </w:t>
      </w:r>
      <w:r>
        <w:rPr/>
        <w:t xml:space="preserve">Tadqiqotlar jarayonida muallif tomonidan tuzilgan.</w:t>
      </w:r>
    </w:p>
  </w:footnote>
  <w:footnote w:id="54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50">
    <w:p w:rsidR="00AB61AC" w:rsidRDefault="00AB61AC">
      <w:pPr>
        <w:pStyle w:val="aff9"/>
      </w:pPr>
      <w:r>
        <w:rPr>
          <w:rStyle w:val="aff8"/>
        </w:rPr>
        <w:footnoteRef/>
      </w:r>
      <w:r>
        <w:t xml:space="preserve"> Tadqiqot natijasida muallif tomonidan ishlab chiqildi.</w:t>
      </w:r>
    </w:p>
  </w:footnote>
  <w:footnote w:id="551">
    <w:p w:rsidR="00AB61AC" w:rsidRDefault="00AB61AC">
      <w:pPr>
        <w:pStyle w:val="aff9"/>
      </w:pPr>
      <w:r>
        <w:rPr>
          <w:rStyle w:val="aff8"/>
        </w:rPr>
        <w:footnoteRef/>
      </w:r>
      <w:r>
        <w:t xml:space="preserve"> </w:t>
      </w:r>
      <w:r>
        <w:rPr/>
        <w:t xml:space="preserve">Tadqiqotlar jarayonida muallif tomonidan tuzilgan.</w:t>
      </w:r>
    </w:p>
  </w:footnote>
  <w:footnote w:id="552">
    <w:p w:rsidR="00AB61AC" w:rsidRDefault="00AB61AC">
      <w:pPr>
        <w:pStyle w:val="aff9"/>
      </w:pPr>
      <w:r>
        <w:rPr>
          <w:rStyle w:val="aff8"/>
        </w:rPr>
        <w:footnoteRef/>
      </w:r>
      <w:r>
        <w:t xml:space="preserve"> Tadqiqot natijasida muallif tomonidan 3.1.5-jadval ma’lumotlari asosida ishlab chiqildi.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 Id="rId51" Type="http://schemas.openxmlformats.org/officeDocument/2006/relationships/chart" Target="charts/chart301.xml"/><Relationship Id="rId34" Type="http://schemas.openxmlformats.org/officeDocument/2006/relationships/chart" Target="charts/chart311.xml"/><Relationship Id="rId52" Type="http://schemas.openxmlformats.org/officeDocument/2006/relationships/chart" Target="charts/chart312.xml"/><Relationship Id="rId53" Type="http://schemas.openxmlformats.org/officeDocument/2006/relationships/chart" Target="charts/chart321.xml"/><Relationship Id="rId54" Type="http://schemas.openxmlformats.org/officeDocument/2006/relationships/chart" Target="charts/chart322.xml"/><Relationship Id="rId55" Type="http://schemas.openxmlformats.org/officeDocument/2006/relationships/chart" Target="charts/chart323.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_rels/chart301.xml.rels><?xml version='1.0' encoding='UTF-8' standalone='yes'?>
<Relationships xmlns="http://schemas.openxmlformats.org/package/2006/relationships"><Relationship Id="rId1" Type="http://schemas.openxmlformats.org/officeDocument/2006/relationships/package" Target="../embeddings/Microsoft_Excel_Worksheet301.xlsx"/></Relationships>
</file>

<file path=word/charts/_rels/chart311.xml.rels><?xml version='1.0' encoding='UTF-8' standalone='yes'?>
<Relationships xmlns="http://schemas.openxmlformats.org/package/2006/relationships"><Relationship Id="rId1" Type="http://schemas.openxmlformats.org/officeDocument/2006/relationships/package" Target="../embeddings/Microsoft_Excel_Worksheet311.xlsx"/></Relationships>
</file>

<file path=word/charts/_rels/chart312.xml.rels><?xml version='1.0' encoding='UTF-8' standalone='yes'?>
<Relationships xmlns="http://schemas.openxmlformats.org/package/2006/relationships"><Relationship Id="rId1" Type="http://schemas.openxmlformats.org/officeDocument/2006/relationships/package" Target="../embeddings/Microsoft_Excel_Worksheet312.xlsx"/></Relationships>
</file>

<file path=word/charts/_rels/chart321.xml.rels><?xml version='1.0' encoding='UTF-8' standalone='yes'?>
<Relationships xmlns="http://schemas.openxmlformats.org/package/2006/relationships"><Relationship Id="rId1" Type="http://schemas.openxmlformats.org/officeDocument/2006/relationships/package" Target="../embeddings/Microsoft_Excel_Worksheet321.xlsx"/></Relationships>
</file>

<file path=word/charts/_rels/chart322.xml.rels><?xml version='1.0' encoding='UTF-8' standalone='yes'?>
<Relationships xmlns="http://schemas.openxmlformats.org/package/2006/relationships"><Relationship Id="rId1" Type="http://schemas.openxmlformats.org/officeDocument/2006/relationships/package" Target="../embeddings/Microsoft_Excel_Worksheet322.xlsx"/></Relationships>
</file>

<file path=word/charts/_rels/chart323.xml.rels><?xml version='1.0' encoding='UTF-8' standalone='yes'?>
<Relationships xmlns="http://schemas.openxmlformats.org/package/2006/relationships"><Relationship Id="rId1" Type="http://schemas.openxmlformats.org/officeDocument/2006/relationships/package" Target="../embeddings/Microsoft_Excel_Worksheet323.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Birinchi darajali 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Qoldiriladigan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ser>
          <c:idx val="2"/>
          <c:order val="2"/>
          <c:tx>
            <c:strRef>
              <c:f>Sheet1!$F$1</c:f>
              <c:strCache>
                <c:ptCount val="1"/>
                <c:pt idx="0">
                  <c:v>Pog‘ona darajasi</c:v>
                </c:pt>
              </c:strCache>
            </c:strRef>
          </c:tx>
          <c:spPr>
            <a:ln>
              <a:noFill/>
            </a:ln>
          </c:spPr>
          <c:marker>
            <c:symbol val="none"/>
          </c:marker>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100 %</a:t>
                    </a:r>
                  </a:p>
                </c:rich>
              </c:tx>
              <c:spPr>
                <a:noFill/>
                <a:ln>
                  <a:noFill/>
                </a:ln>
              </c:spPr>
              <c:dLblPos val="t"/>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80 %</a:t>
                    </a:r>
                  </a:p>
                </c:rich>
              </c:tx>
              <c:spPr>
                <a:noFill/>
                <a:ln>
                  <a:noFill/>
                </a:ln>
              </c:spPr>
              <c:dLblPos val="t"/>
              <c:showLegendKey val="0"/>
              <c:showVal val="1"/>
              <c:showCatName val="0"/>
              <c:showSerName val="0"/>
              <c:showPercent val="0"/>
              <c:showBubbleSize val="0"/>
            </c:dLbl>
            <c:dLbl>
              <c:idx val="2"/>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60 %</a:t>
                    </a:r>
                  </a:p>
                </c:rich>
              </c:tx>
              <c:spPr>
                <a:noFill/>
                <a:ln>
                  <a:noFill/>
                </a:ln>
              </c:spPr>
              <c:dLblPos val="t"/>
              <c:showLegendKey val="0"/>
              <c:showVal val="1"/>
              <c:showCatName val="0"/>
              <c:showSerName val="0"/>
              <c:showPercent val="0"/>
              <c:showBubbleSize val="0"/>
            </c:dLbl>
            <c:dLbl>
              <c:idx val="3"/>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40 %</a:t>
                    </a:r>
                  </a:p>
                </c:rich>
              </c:tx>
              <c:spPr>
                <a:noFill/>
                <a:ln>
                  <a:noFill/>
                </a:ln>
              </c:spPr>
              <c:dLblPos val="t"/>
              <c:showLegendKey val="0"/>
              <c:showVal val="1"/>
              <c:showCatName val="0"/>
              <c:showSerName val="0"/>
              <c:showPercent val="0"/>
              <c:showBubbleSize val="0"/>
            </c:dLbl>
            <c:dLbl>
              <c:idx val="4"/>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0 %</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Sheet1!$E$2:$E$6</c:f>
              <c:numCache>
                <c:formatCode>General</c:formatCode>
                <c:ptCount val="5"/>
                <c:pt idx="0">
                  <c:v>4.8125</c:v>
                </c:pt>
                <c:pt idx="1">
                  <c:v>5.4375</c:v>
                </c:pt>
                <c:pt idx="2">
                  <c:v>6.0625</c:v>
                </c:pt>
                <c:pt idx="3">
                  <c:v>6.6875</c:v>
                </c:pt>
                <c:pt idx="4">
                  <c:v>7.3125</c:v>
                </c:pt>
              </c:numCache>
            </c:numRef>
          </c:xVal>
          <c:yVal>
            <c:numRef>
              <c:f>Sheet1!$F$2:$F$6</c:f>
              <c:numCache>
                <c:formatCode>General</c:formatCode>
                <c:ptCount val="5"/>
                <c:pt idx="0">
                  <c:v>100</c:v>
                </c:pt>
                <c:pt idx="1">
                  <c:v>80</c:v>
                </c:pt>
                <c:pt idx="2">
                  <c:v>60</c:v>
                </c:pt>
                <c:pt idx="3">
                  <c:v>40</c:v>
                </c:pt>
                <c:pt idx="4">
                  <c:v>0</c:v>
                </c:pt>
              </c:numCache>
            </c:numRef>
          </c:yVal>
          <c:smooth val="0"/>
        </c:ser>
        <c:ser>
          <c:idx val="3"/>
          <c:order val="3"/>
          <c:tx>
            <c:strRef>
              <c:f>Sheet1!$H$1</c:f>
              <c:strCache>
                <c:ptCount val="1"/>
                <c:pt idx="0">
                  <c:v>X qiymatlari</c:v>
                </c:pt>
              </c:strCache>
            </c:strRef>
          </c:tx>
          <c:spPr>
            <a:ln>
              <a:noFill/>
            </a:ln>
          </c:spPr>
          <c:marker>
            <c:symbol val="none"/>
          </c:marker>
          <c:dLbls>
            <c:dLbl>
              <c:idx val="0"/>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4,5</a:t>
                    </a:r>
                  </a:p>
                </c:rich>
              </c:tx>
              <c:spPr>
                <a:noFill/>
                <a:ln>
                  <a:noFill/>
                </a:ln>
              </c:spPr>
              <c:dLblPos val="b"/>
              <c:showLegendKey val="0"/>
              <c:showVal val="1"/>
              <c:showCatName val="0"/>
              <c:showSerName val="0"/>
              <c:showPercent val="0"/>
              <c:showBubbleSize val="0"/>
            </c:dLbl>
            <c:dLbl>
              <c:idx val="1"/>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5,125</a:t>
                    </a:r>
                  </a:p>
                </c:rich>
              </c:tx>
              <c:spPr>
                <a:noFill/>
                <a:ln>
                  <a:noFill/>
                </a:ln>
              </c:spPr>
              <c:dLblPos val="b"/>
              <c:showLegendKey val="0"/>
              <c:showVal val="1"/>
              <c:showCatName val="0"/>
              <c:showSerName val="0"/>
              <c:showPercent val="0"/>
              <c:showBubbleSize val="0"/>
            </c:dLbl>
            <c:dLbl>
              <c:idx val="2"/>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5,75</a:t>
                    </a:r>
                  </a:p>
                </c:rich>
              </c:tx>
              <c:spPr>
                <a:noFill/>
                <a:ln>
                  <a:noFill/>
                </a:ln>
              </c:spPr>
              <c:dLblPos val="b"/>
              <c:showLegendKey val="0"/>
              <c:showVal val="1"/>
              <c:showCatName val="0"/>
              <c:showSerName val="0"/>
              <c:showPercent val="0"/>
              <c:showBubbleSize val="0"/>
            </c:dLbl>
            <c:dLbl>
              <c:idx val="3"/>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6,375</a:t>
                    </a:r>
                  </a:p>
                </c:rich>
              </c:tx>
              <c:spPr>
                <a:noFill/>
                <a:ln>
                  <a:noFill/>
                </a:ln>
              </c:spPr>
              <c:dLblPos val="b"/>
              <c:showLegendKey val="0"/>
              <c:showVal val="1"/>
              <c:showCatName val="0"/>
              <c:showSerName val="0"/>
              <c:showPercent val="0"/>
              <c:showBubbleSize val="0"/>
            </c:dLbl>
            <c:dLbl>
              <c:idx val="4"/>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7,0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xVal>
            <c:numRef>
              <c:f>Sheet1!$G$2:$G$6</c:f>
              <c:numCache>
                <c:formatCode>General</c:formatCode>
                <c:ptCount val="5"/>
                <c:pt idx="0">
                  <c:v>4.5</c:v>
                </c:pt>
                <c:pt idx="1">
                  <c:v>5.125</c:v>
                </c:pt>
                <c:pt idx="2">
                  <c:v>5.75</c:v>
                </c:pt>
                <c:pt idx="3">
                  <c:v>6.375</c:v>
                </c:pt>
                <c:pt idx="4">
                  <c:v>7.0</c:v>
                </c:pt>
              </c:numCache>
            </c:numRef>
          </c:xVal>
          <c:yVal>
            <c:numRef>
              <c:f>Sheet1!$H$2:$H$6</c:f>
              <c:numCache>
                <c:formatCode>General</c:formatCode>
                <c:ptCount val="5"/>
                <c:pt idx="0">
                  <c:v>0</c:v>
                </c:pt>
                <c:pt idx="1">
                  <c:v>0</c:v>
                </c:pt>
                <c:pt idx="2">
                  <c:v>0</c:v>
                </c:pt>
                <c:pt idx="3">
                  <c:v>0</c:v>
                </c:pt>
                <c:pt idx="4">
                  <c:v>0</c:v>
                </c:pt>
              </c:numCache>
            </c:numRef>
          </c:yVal>
          <c:smooth val="0"/>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legendEntry>
        <c:idx val="2"/>
        <c:delete val="1"/>
      </c:legendEntry>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
          <c:y val="0.05"/>
          <c:w val="0.86"/>
          <c:h val="0.8"/>
        </c:manualLayout>
      </c:layout>
      <c:lineChart>
        <c:grouping val="standard"/>
        <c:varyColors val="0"/>
        <c:ser>
          <c:idx val="0"/>
          <c:order val="0"/>
          <c:tx>
            <c:strRef>
              <c:f>Sheet1!$B$1</c:f>
              <c:strCache>
                <c:ptCount val="1"/>
                <c:pt idx="0">
                  <c:v>Substandart va muammoli kreditlar</c:v>
                </c:pt>
              </c:strCache>
            </c:strRef>
          </c:tx>
          <c:spPr>
            <a:ln w="28575">
              <a:solidFill>
                <a:srgbClr val="7030A0"/>
              </a:solidFill>
            </a:ln>
          </c:spPr>
          <c:marker>
            <c:symbol val="circle"/>
            <c:size val="5"/>
            <c:spPr>
              <a:solidFill>
                <a:srgbClr val="7030A0"/>
              </a:solidFill>
              <a:ln>
                <a:noFill/>
              </a:ln>
            </c:spPr>
          </c:marker>
          <c:dLbls>
            <c:numFmt formatCode="0.0" sourceLinked="0"/>
            <c:spPr>
              <a:noFill/>
              <a:ln>
                <a:noFill/>
              </a:ln>
            </c:spPr>
            <c:txPr>
              <a:bodyPr/>
              <a:lstStyle/>
              <a:p>
                <a:pPr>
                  <a:defRPr sz="11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28575">
              <a:solidFill>
                <a:srgbClr val="70AD47"/>
              </a:solidFill>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(5 %)</c:v>
                </c:pt>
              </c:strCache>
            </c:strRef>
          </c:tx>
          <c:spPr>
            <a:ln w="34925">
              <a:solidFill>
                <a:srgbClr val="FF0000"/>
              </a:solidFill>
            </a:ln>
          </c:spPr>
          <c:marker>
            <c:symbol val="none"/>
          </c:marker>
          <c:dLbls>
            <c:dLbl>
              <c:idx val="2"/>
              <c:tx>
                <c:rich>
                  <a:bodyPr wrap="none"/>
                  <a:lstStyle/>
                  <a:p>
                    <a:pPr>
                      <a:defRPr sz="1100" b="1">
                        <a:solidFill>
                          <a:srgbClr val="FF0000"/>
                        </a:solidFill>
                        <a:latin typeface="Times New Roman"/>
                        <a:cs typeface="Times New Roman"/>
                      </a:defRPr>
                    </a:pPr>
                    <a:r>
                      <a:rPr lang="uz-Latn-UZ" sz="1100" b="1">
                        <a:solidFill>
                          <a:srgbClr val="FF0000"/>
                        </a:solidFill>
                        <a:latin typeface="Times New Roman"/>
                        <a:cs typeface="Times New Roman"/>
                      </a:rPr>
                      <a:t>Erta ogohlantirish chegarasi (5 %)</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Kapital rentabelligi (ROE)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Aktivlar rentabelligi, soliq to‘lagunga qadar (ROA)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“O‘zsanoatqurilishbank”</c:v>
                </c:pt>
              </c:strCache>
            </c:strRef>
          </c:tx>
          <c:spPr>
            <a:ln w="28575">
              <a:solidFill>
                <a:srgbClr val="2A78D6"/>
              </a:solidFill>
            </a:ln>
          </c:spPr>
          <c:marker>
            <c:symbol val="circle"/>
            <c:size val="6"/>
            <c:spPr>
              <a:solidFill>
                <a:srgbClr val="2A78D6"/>
              </a:solidFill>
              <a:ln>
                <a:noFill/>
              </a:ln>
            </c:spPr>
          </c:marker>
          <c:dLbls>
            <c:dLbl>
              <c:idx val="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2"/>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4"/>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numFmt formatCode="0.00" sourceLinked="0"/>
            <c:spPr>
              <a:noFill/>
              <a:ln>
                <a:noFill/>
              </a:ln>
            </c:spPr>
            <c:txPr>
              <a:bodyPr/>
              <a:lstStyle/>
              <a:p>
                <a:pPr>
                  <a:defRPr sz="1000" b="1">
                    <a:solidFill>
                      <a:srgbClr val="2A78D6"/>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1.65</c:v>
                </c:pt>
                <c:pt idx="1">
                  <c:v>2.61</c:v>
                </c:pt>
                <c:pt idx="2">
                  <c:v>2.14</c:v>
                </c:pt>
                <c:pt idx="3">
                  <c:v>2.08</c:v>
                </c:pt>
                <c:pt idx="4">
                  <c:v>2.96</c:v>
                </c:pt>
              </c:numCache>
            </c:numRef>
          </c:val>
          <c:smooth val="0"/>
        </c:ser>
        <c:ser>
          <c:idx val="1"/>
          <c:order val="1"/>
          <c:tx>
            <c:strRef>
              <c:f>Sheet1!$C$1</c:f>
              <c:strCache>
                <c:ptCount val="1"/>
                <c:pt idx="0">
                  <c:v>“Mikrokreditbank”</c:v>
                </c:pt>
              </c:strCache>
            </c:strRef>
          </c:tx>
          <c:spPr>
            <a:ln w="28575">
              <a:solidFill>
                <a:srgbClr val="EB6834"/>
              </a:solidFill>
            </a:ln>
          </c:spPr>
          <c:marker>
            <c:symbol val="circle"/>
            <c:size val="6"/>
            <c:spPr>
              <a:solidFill>
                <a:srgbClr val="EB6834"/>
              </a:solidFill>
              <a:ln>
                <a:noFill/>
              </a:ln>
            </c:spPr>
          </c:marker>
          <c:dLbls>
            <c:dLbl>
              <c:idx val="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1"/>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numFmt formatCode="0.00" sourceLinked="0"/>
            <c:spPr>
              <a:noFill/>
              <a:ln>
                <a:noFill/>
              </a:ln>
            </c:spPr>
            <c:txPr>
              <a:bodyPr/>
              <a:lstStyle/>
              <a:p>
                <a:pPr>
                  <a:defRPr sz="1000" b="1">
                    <a:solidFill>
                      <a:srgbClr val="EB6834"/>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2.94</c:v>
                </c:pt>
                <c:pt idx="1">
                  <c:v>2.83</c:v>
                </c:pt>
                <c:pt idx="2">
                  <c:v>2.77</c:v>
                </c:pt>
                <c:pt idx="3">
                  <c:v>3.28</c:v>
                </c:pt>
                <c:pt idx="4">
                  <c:v>2.8</c:v>
                </c:pt>
              </c:numCache>
            </c:numRef>
          </c:val>
          <c:smooth val="0"/>
        </c:ser>
        <c:ser>
          <c:idx val="2"/>
          <c:order val="2"/>
          <c:tx>
            <c:strRef>
              <c:f>Sheet1!$D$1</c:f>
              <c:strCache>
                <c:ptCount val="1"/>
                <c:pt idx="0">
                  <c:v>“Aloqabank”</c:v>
                </c:pt>
              </c:strCache>
            </c:strRef>
          </c:tx>
          <c:spPr>
            <a:ln w="28575">
              <a:solidFill>
                <a:srgbClr val="70AD47"/>
              </a:solidFill>
            </a:ln>
          </c:spPr>
          <c:marker>
            <c:symbol val="circle"/>
            <c:size val="6"/>
            <c:spPr>
              <a:solidFill>
                <a:srgbClr val="70AD47"/>
              </a:solidFill>
              <a:ln>
                <a:noFill/>
              </a:ln>
            </c:spPr>
          </c:marker>
          <c:dLbls>
            <c:dLbl>
              <c:idx val="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3"/>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numFmt formatCode="0.00" sourceLinked="0"/>
            <c:spPr>
              <a:noFill/>
              <a:ln>
                <a:noFill/>
              </a:ln>
            </c:spPr>
            <c:txPr>
              <a:bodyPr/>
              <a:lstStyle/>
              <a:p>
                <a:pPr>
                  <a:defRPr sz="1000" b="1">
                    <a:solidFill>
                      <a:srgbClr val="70AD47"/>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2.46</c:v>
                </c:pt>
                <c:pt idx="1">
                  <c:v>4.9</c:v>
                </c:pt>
                <c:pt idx="2">
                  <c:v>4.01</c:v>
                </c:pt>
                <c:pt idx="3">
                  <c:v>4.01</c:v>
                </c:pt>
                <c:pt idx="4">
                  <c:v>2.83</c:v>
                </c:pt>
              </c:numCache>
            </c:numRef>
          </c:val>
          <c:smooth val="0"/>
        </c:ser>
        <c:ser>
          <c:idx val="3"/>
          <c:order val="3"/>
          <c:tx>
            <c:strRef>
              <c:f>Sheet1!$E$1</c:f>
              <c:strCache>
                <c:ptCount val="1"/>
                <c:pt idx="0">
                  <c:v>Muvofiqlik darajasi (1,0)</c:v>
                </c:pt>
              </c:strCache>
            </c:strRef>
          </c:tx>
          <c:spPr>
            <a:ln w="28575">
              <a:solidFill>
                <a:srgbClr val="7F7F7F"/>
              </a:solidFill>
              <a:prstDash val="dash"/>
            </a:ln>
          </c:spPr>
          <c:marker>
            <c:symbol val="none"/>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Aktivlar sifati</c:v>
                </c:pt>
              </c:strCache>
            </c:strRef>
          </c:tx>
          <c:spPr>
            <a:solidFill>
              <a:srgbClr val="1F4E79"/>
            </a:solidFill>
            <a:ln w="6350">
              <a:solidFill>
                <a:srgbClr val="FFFFFF"/>
              </a:solidFill>
            </a:ln>
          </c:spPr>
          <c:invertIfNegative val="0"/>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+195,7</a:t>
                    </a:r>
                  </a:p>
                </c:rich>
              </c:tx>
              <c:spPr>
                <a:noFill/>
                <a:ln>
                  <a:noFill/>
                </a:ln>
              </c:spPr>
              <c:dLblPos val="outEnd"/>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+44,2</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Sheet1!$B$2:$B$8</c:f>
              <c:numCache>
                <c:formatCode>General</c:formatCode>
                <c:ptCount val="7"/>
                <c:pt idx="0">
                  <c:v>195.7</c:v>
                </c:pt>
                <c:pt idx="1">
                  <c:v>44.2</c:v>
                </c:pt>
              </c:numCache>
            </c:numRef>
          </c:val>
        </c:ser>
        <c:ser>
          <c:idx val="1"/>
          <c:order val="1"/>
          <c:tx>
            <c:strRef>
              <c:f>Sheet1!$C$1</c:f>
              <c:strCache>
                <c:ptCount val="1"/>
                <c:pt idx="0">
                  <c:v>Daromadlilik</c:v>
                </c:pt>
              </c:strCache>
            </c:strRef>
          </c:tx>
          <c:spPr>
            <a:solidFill>
              <a:srgbClr val="C55A11"/>
            </a:solidFill>
            <a:ln w="6350">
              <a:solidFill>
                <a:srgbClr val="FFFFFF"/>
              </a:solidFill>
            </a:ln>
          </c:spPr>
          <c:invertIfNegative val="0"/>
          <c:dLbls>
            <c:dLbl>
              <c:idx val="2"/>
              <c:tx>
                <c:rich>
                  <a:bodyPr/>
                  <a:lstStyle/>
                  <a:p>
                    <a:pPr>
                      <a:defRPr sz="1050" b="1">
                        <a:solidFill>
                          <a:srgbClr val="C55A11"/>
                        </a:solidFill>
                        <a:latin typeface="Times New Roman"/>
                        <a:cs typeface="Times New Roman"/>
                      </a:defRPr>
                    </a:pPr>
                    <a:r>
                      <a:rPr lang="uz-Latn-UZ" sz="1050" b="1">
                        <a:solidFill>
                          <a:srgbClr val="C55A11"/>
                        </a:solidFill>
                        <a:latin typeface="Times New Roman"/>
                        <a:cs typeface="Times New Roman"/>
                      </a:rPr>
                      <a:t>−17,9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Sheet1!$C$2:$C$8</c:f>
              <c:numCache>
                <c:formatCode>General</c:formatCode>
                <c:ptCount val="7"/>
                <c:pt idx="2">
                  <c:v>-17.9</c:v>
                </c:pt>
              </c:numCache>
            </c:numRef>
          </c:val>
        </c:ser>
        <c:ser>
          <c:idx val="2"/>
          <c:order val="2"/>
          <c:tx>
            <c:strRef>
              <c:f>Sheet1!$D$1</c:f>
              <c:strCache>
                <c:ptCount val="1"/>
                <c:pt idx="0">
                  <c:v>Kapital</c:v>
                </c:pt>
              </c:strCache>
            </c:strRef>
          </c:tx>
          <c:spPr>
            <a:solidFill>
              <a:srgbClr val="548235"/>
            </a:solidFill>
            <a:ln w="6350">
              <a:solidFill>
                <a:srgbClr val="FFFFFF"/>
              </a:solidFill>
            </a:ln>
          </c:spPr>
          <c:invertIfNegative val="0"/>
          <c:dLbls>
            <c:dLbl>
              <c:idx val="3"/>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−13,5</a:t>
                    </a:r>
                  </a:p>
                </c:rich>
              </c:tx>
              <c:spPr>
                <a:noFill/>
                <a:ln>
                  <a:noFill/>
                </a:ln>
              </c:spPr>
              <c:dLblPos val="outEnd"/>
              <c:showLegendKey val="0"/>
              <c:showVal val="1"/>
              <c:showCatName val="0"/>
              <c:showSerName val="0"/>
              <c:showPercent val="0"/>
              <c:showBubbleSize val="0"/>
            </c:dLbl>
            <c:dLbl>
              <c:idx val="4"/>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Sheet1!$D$2:$D$8</c:f>
              <c:numCache>
                <c:formatCode>General</c:formatCode>
                <c:ptCount val="7"/>
                <c:pt idx="3">
                  <c:v>-13.5</c:v>
                </c:pt>
                <c:pt idx="4">
                  <c:v>-13.1</c:v>
                </c:pt>
              </c:numCache>
            </c:numRef>
          </c:val>
        </c:ser>
        <c:ser>
          <c:idx val="3"/>
          <c:order val="3"/>
          <c:tx>
            <c:strRef>
              <c:f>Sheet1!$E$1</c:f>
              <c:strCache>
                <c:ptCount val="1"/>
                <c:pt idx="0">
                  <c:v>Likvidlik</c:v>
                </c:pt>
              </c:strCache>
            </c:strRef>
          </c:tx>
          <c:spPr>
            <a:solidFill>
              <a:srgbClr val="7F6000"/>
            </a:solidFill>
            <a:ln w="6350">
              <a:solidFill>
                <a:srgbClr val="FFFFFF"/>
              </a:solidFill>
            </a:ln>
          </c:spPr>
          <c:invertIfNegative val="0"/>
          <c:dLbls>
            <c:dLbl>
              <c:idx val="5"/>
              <c:tx>
                <c:rich>
                  <a:bodyPr/>
                  <a:lstStyle/>
                  <a:p>
                    <a:pPr>
                      <a:defRPr sz="1050" b="1">
                        <a:solidFill>
                          <a:srgbClr val="7F6000"/>
                        </a:solidFill>
                        <a:latin typeface="Times New Roman"/>
                        <a:cs typeface="Times New Roman"/>
                      </a:defRPr>
                    </a:pPr>
                    <a:r>
                      <a:rPr lang="uz-Latn-UZ" sz="1050" b="1">
                        <a:solidFill>
                          <a:srgbClr val="7F6000"/>
                        </a:solidFill>
                        <a:latin typeface="Times New Roman"/>
                        <a:cs typeface="Times New Roman"/>
                      </a:rPr>
                      <a:t>+2,1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Sheet1!$E$2:$E$8</c:f>
              <c:numCache>
                <c:formatCode>General</c:formatCode>
                <c:ptCount val="7"/>
                <c:pt idx="5">
                  <c:v>2.1</c:v>
                </c:pt>
              </c:numCache>
            </c:numRef>
          </c:val>
        </c:ser>
        <c:ser>
          <c:idx val="4"/>
          <c:order val="4"/>
          <c:tx>
            <c:strRef>
              <c:f>Sheet1!$F$1</c:f>
              <c:strCache>
                <c:ptCount val="1"/>
                <c:pt idx="0">
                  <c:v>Balans hajmi</c:v>
                </c:pt>
              </c:strCache>
            </c:strRef>
          </c:tx>
          <c:spPr>
            <a:solidFill>
              <a:srgbClr val="7F7F7F"/>
            </a:solidFill>
            <a:ln w="6350">
              <a:solidFill>
                <a:srgbClr val="FFFFFF"/>
              </a:solidFill>
            </a:ln>
          </c:spPr>
          <c:invertIfNegative val="0"/>
          <c:dLbls>
            <c:dLbl>
              <c:idx val="6"/>
              <c:tx>
                <c:rich>
                  <a:bodyPr/>
                  <a:lstStyle/>
                  <a:p>
                    <a:pPr>
                      <a:defRPr sz="1050" b="1">
                        <a:solidFill>
                          <a:srgbClr val="7F7F7F"/>
                        </a:solidFill>
                        <a:latin typeface="Times New Roman"/>
                        <a:cs typeface="Times New Roman"/>
                      </a:defRPr>
                    </a:pPr>
                    <a:r>
                      <a:rPr lang="uz-Latn-UZ" sz="1050" b="1">
                        <a:solidFill>
                          <a:srgbClr val="7F7F7F"/>
                        </a:solidFill>
                        <a:latin typeface="Times New Roman"/>
                        <a:cs typeface="Times New Roman"/>
                      </a:rPr>
                      <a:t>−5,1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Sheet1!$F$2:$F$8</c:f>
              <c:numCache>
                <c:formatCode>General</c:formatCode>
                <c:ptCount val="7"/>
                <c:pt idx="6">
                  <c:v>-5.1</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none"/>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ser>
          <c:idx val="2"/>
          <c:order val="2"/>
          <c:tx>
            <c:strRef>
              <c:f>Sheet1!$F$1</c:f>
              <c:strCache>
                <c:ptCount val="1"/>
                <c:pt idx="0">
                  <c:v>Misol: ikki bank</c:v>
                </c:pt>
              </c:strCache>
            </c:strRef>
          </c:tx>
          <c:spPr>
            <a:ln w="19050">
              <a:noFill/>
            </a:ln>
          </c:spPr>
          <c:marker>
            <c:symbol val="diamond"/>
            <c:size val="13"/>
            <c:spPr>
              <a:solidFill>
                <a:srgbClr val="C00000"/>
              </a:solidFill>
              <a:ln>
                <a:noFill/>
              </a:ln>
            </c:spPr>
          </c:marker>
          <c:dLbls>
            <c:dLbl>
              <c:idx val="0"/>
              <c:layout>
                <c:manualLayout>
                  <c:x val="0.0"/>
                  <c:y val="0.07"/>
                </c:manualLayout>
              </c:layout>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8,1% → 3,04 ball</a:t>
                    </a:r>
                  </a:p>
                </c:rich>
              </c:tx>
              <c:spPr>
                <a:noFill/>
                <a:ln>
                  <a:noFill/>
                </a:ln>
              </c:spPr>
              <c:dLblPos val="r"/>
              <c:showLegendKey val="0"/>
              <c:showVal val="1"/>
              <c:showCatName val="0"/>
              <c:showSerName val="0"/>
              <c:showPercent val="0"/>
              <c:showBubbleSize val="0"/>
            </c:dLbl>
            <c:dLbl>
              <c:idx val="1"/>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10,4% → 3,96 ball</a:t>
                    </a:r>
                  </a:p>
                </c:rich>
              </c:tx>
              <c:spPr>
                <a:noFill/>
                <a:ln>
                  <a:noFill/>
                </a:ln>
              </c:spPr>
              <c:dLblPos val="l"/>
              <c:showLegendKey val="0"/>
              <c:showVal val="1"/>
              <c:showCatName val="0"/>
              <c:showSerName val="0"/>
              <c:showPercent val="0"/>
              <c:showBubbleSize val="0"/>
            </c:dLbl>
            <c:showLegendKey val="0"/>
            <c:showVal val="0"/>
            <c:showCatName val="0"/>
            <c:showSerName val="0"/>
            <c:showPercent val="0"/>
            <c:showBubbleSize val="0"/>
          </c:dLbls>
          <c:xVal>
            <c:numRef>
              <c:f>Sheet1!$E$2:$E$3</c:f>
              <c:numCache>
                <c:formatCode>General</c:formatCode>
                <c:ptCount val="2"/>
                <c:pt idx="0">
                  <c:v>8.1</c:v>
                </c:pt>
                <c:pt idx="1">
                  <c:v>10.4</c:v>
                </c:pt>
              </c:numCache>
            </c:numRef>
          </c:xVal>
          <c:yVal>
            <c:numRef>
              <c:f>Sheet1!$F$2:$F$3</c:f>
              <c:numCache>
                <c:formatCode>General</c:formatCode>
                <c:ptCount val="2"/>
                <c:pt idx="0">
                  <c:v>3.04</c:v>
                </c:pt>
                <c:pt idx="1">
                  <c:v>3.96</c:v>
                </c:pt>
              </c:numCache>
            </c:numRef>
          </c:yVal>
          <c:smooth val="0"/>
        </c:ser>
        <c:ser>
          <c:idx val="3"/>
          <c:order val="3"/>
          <c:tx>
            <c:strRef>
              <c:f>Sheet1!$H$1</c:f>
              <c:strCache>
                <c:ptCount val="1"/>
                <c:pt idx="0">
                  <c:v>Chegaralar</c:v>
                </c:pt>
              </c:strCache>
            </c:strRef>
          </c:tx>
          <c:spPr>
            <a:ln w="19050">
              <a:noFill/>
            </a:ln>
          </c:spPr>
          <c:marker>
            <c:symbol val="circle"/>
            <c:size val="6"/>
            <c:spPr>
              <a:solidFill>
                <a:srgbClr val="2A78D6"/>
              </a:solidFill>
              <a:ln>
                <a:noFill/>
              </a:ln>
            </c:spPr>
          </c:marker>
          <c:dLbls>
            <c:dLbl>
              <c:idx val="0"/>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1,0</a:t>
                    </a:r>
                  </a:p>
                </c:rich>
              </c:tx>
              <c:spPr>
                <a:noFill/>
                <a:ln>
                  <a:noFill/>
                </a:ln>
              </c:spPr>
              <c:dLblPos val="t"/>
              <c:showLegendKey val="0"/>
              <c:showVal val="1"/>
              <c:showCatName val="0"/>
              <c:showSerName val="0"/>
              <c:showPercent val="0"/>
              <c:showBubbleSize val="0"/>
            </c:dLbl>
            <c:dLbl>
              <c:idx val="1"/>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2,0</a:t>
                    </a:r>
                  </a:p>
                </c:rich>
              </c:tx>
              <c:spPr>
                <a:noFill/>
                <a:ln>
                  <a:noFill/>
                </a:ln>
              </c:spPr>
              <c:dLblPos val="l"/>
              <c:showLegendKey val="0"/>
              <c:showVal val="1"/>
              <c:showCatName val="0"/>
              <c:showSerName val="0"/>
              <c:showPercent val="0"/>
              <c:showBubbleSize val="0"/>
            </c:dLbl>
            <c:dLbl>
              <c:idx val="2"/>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3,0</a:t>
                    </a:r>
                  </a:p>
                </c:rich>
              </c:tx>
              <c:spPr>
                <a:noFill/>
                <a:ln>
                  <a:noFill/>
                </a:ln>
              </c:spPr>
              <c:dLblPos val="l"/>
              <c:showLegendKey val="0"/>
              <c:showVal val="1"/>
              <c:showCatName val="0"/>
              <c:showSerName val="0"/>
              <c:showPercent val="0"/>
              <c:showBubbleSize val="0"/>
            </c:dLbl>
            <c:dLbl>
              <c:idx val="3"/>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4,0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Sheet1!$G$2:$G$5</c:f>
              <c:numCache>
                <c:formatCode>General</c:formatCode>
                <c:ptCount val="4"/>
                <c:pt idx="0">
                  <c:v>4.5</c:v>
                </c:pt>
                <c:pt idx="1">
                  <c:v>7</c:v>
                </c:pt>
                <c:pt idx="2">
                  <c:v>8</c:v>
                </c:pt>
                <c:pt idx="3">
                  <c:v>10.5</c:v>
                </c:pt>
              </c:numCache>
            </c:numRef>
          </c:xVal>
          <c:yVal>
            <c:numRef>
              <c:f>Sheet1!$H$2:$H$5</c:f>
              <c:numCache>
                <c:formatCode>General</c:formatCode>
                <c:ptCount val="4"/>
                <c:pt idx="0">
                  <c:v>1</c:v>
                </c:pt>
                <c:pt idx="1">
                  <c:v>2</c:v>
                </c:pt>
                <c:pt idx="2">
                  <c:v>3</c:v>
                </c:pt>
                <c:pt idx="3">
                  <c:v>4</c:v>
                </c:pt>
              </c:numCache>
            </c:numRef>
          </c:yVal>
          <c:smooth val="0"/>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Sheet1!$B$2:$B$7</c:f>
              <c:numCache>
                <c:formatCode>General</c:formatCode>
                <c:ptCount val="6"/>
                <c:pt idx="0">
                  <c:v>3.27</c:v>
                </c:pt>
                <c:pt idx="1">
                  <c:v>2.81</c:v>
                </c:pt>
                <c:pt idx="2">
                  <c:v>3.13</c:v>
                </c:pt>
                <c:pt idx="3">
                  <c:v>2.47</c:v>
                </c:pt>
                <c:pt idx="4">
                  <c:v>3.25</c:v>
                </c:pt>
                <c:pt idx="5">
                  <c:v>2.78</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Sheet1!$C$2:$C$7</c:f>
              <c:numCache>
                <c:formatCode>General</c:formatCode>
                <c:ptCount val="6"/>
                <c:pt idx="0">
                  <c:v>3.06</c:v>
                </c:pt>
                <c:pt idx="1">
                  <c:v>2.73</c:v>
                </c:pt>
                <c:pt idx="2">
                  <c:v>3.07</c:v>
                </c:pt>
                <c:pt idx="3">
                  <c:v>2.58</c:v>
                </c:pt>
                <c:pt idx="4">
                  <c:v>3.11</c:v>
                </c:pt>
                <c:pt idx="5">
                  <c:v>2.73</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Sheet1!$D$2:$D$7</c:f>
              <c:numCache>
                <c:formatCode>General</c:formatCode>
                <c:ptCount val="6"/>
                <c:pt idx="0">
                  <c:v>3.57</c:v>
                </c:pt>
                <c:pt idx="1">
                  <c:v>3.02</c:v>
                </c:pt>
                <c:pt idx="2">
                  <c:v>3.02</c:v>
                </c:pt>
                <c:pt idx="3">
                  <c:v>2.13</c:v>
                </c:pt>
                <c:pt idx="4">
                  <c:v>3.21</c:v>
                </c:pt>
                <c:pt idx="5">
                  <c:v>2.56</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90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Vaznlar tayanch vaznlar atrofida</c:v>
                </c:pt>
              </c:strCache>
            </c:strRef>
          </c:tx>
          <c:spPr>
            <a:solidFill>
              <a:srgbClr val="2A78D6"/>
            </a:solidFill>
            <a:ln w="6350">
              <a:solidFill>
                <a:srgbClr val="FFFFFF"/>
              </a:solidFill>
            </a:ln>
          </c:spPr>
          <c:invertIfNegative val="0"/>
          <c:dLbls>
            <c:dLbl>
              <c:idx val="0"/>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91,7</a:t>
                    </a:r>
                  </a:p>
                </c:rich>
              </c:tx>
              <c:spPr>
                <a:noFill/>
                <a:ln>
                  <a:noFill/>
                </a:ln>
              </c:spPr>
              <c:dLblPos val="outEnd"/>
              <c:showLegendKey val="0"/>
              <c:showVal val="1"/>
              <c:showCatName val="0"/>
              <c:showSerName val="0"/>
              <c:showPercent val="0"/>
              <c:showBubbleSize val="0"/>
            </c:dLbl>
            <c:dLbl>
              <c:idx val="1"/>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76,9</a:t>
                    </a:r>
                  </a:p>
                </c:rich>
              </c:tx>
              <c:spPr>
                <a:noFill/>
                <a:ln>
                  <a:noFill/>
                </a:ln>
              </c:spPr>
              <c:dLblPos val="outEnd"/>
              <c:showLegendKey val="0"/>
              <c:showVal val="1"/>
              <c:showCatName val="0"/>
              <c:showSerName val="0"/>
              <c:showPercent val="0"/>
              <c:showBubbleSize val="0"/>
            </c:dLbl>
            <c:dLbl>
              <c:idx val="2"/>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71,5</a:t>
                    </a:r>
                  </a:p>
                </c:rich>
              </c:tx>
              <c:spPr>
                <a:noFill/>
                <a:ln>
                  <a:noFill/>
                </a:ln>
              </c:spPr>
              <c:dLblPos val="outEnd"/>
              <c:showLegendKey val="0"/>
              <c:showVal val="1"/>
              <c:showCatName val="0"/>
              <c:showSerName val="0"/>
              <c:showPercent val="0"/>
              <c:showBubbleSize val="0"/>
            </c:dLbl>
            <c:dLbl>
              <c:idx val="3"/>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78,1</a:t>
                    </a:r>
                  </a:p>
                </c:rich>
              </c:tx>
              <c:spPr>
                <a:noFill/>
                <a:ln>
                  <a:noFill/>
                </a:ln>
              </c:spPr>
              <c:dLblPos val="outEnd"/>
              <c:showLegendKey val="0"/>
              <c:showVal val="1"/>
              <c:showCatName val="0"/>
              <c:showSerName val="0"/>
              <c:showPercent val="0"/>
              <c:showBubbleSize val="0"/>
            </c:dLbl>
            <c:dLbl>
              <c:idx val="4"/>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76,1</a:t>
                    </a:r>
                  </a:p>
                </c:rich>
              </c:tx>
              <c:spPr>
                <a:noFill/>
                <a:ln>
                  <a:noFill/>
                </a:ln>
              </c:spPr>
              <c:dLblPos val="outEnd"/>
              <c:showLegendKey val="0"/>
              <c:showVal val="1"/>
              <c:showCatName val="0"/>
              <c:showSerName val="0"/>
              <c:showPercent val="0"/>
              <c:showBubbleSize val="0"/>
            </c:dLbl>
            <c:dLbl>
              <c:idx val="5"/>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78,9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c:v>
                </c:pt>
                <c:pt idx="2">
                  <c:v>71.5</c:v>
                </c:pt>
                <c:pt idx="3">
                  <c:v>78.1</c:v>
                </c:pt>
                <c:pt idx="4">
                  <c:v>76.1</c:v>
                </c:pt>
                <c:pt idx="5">
                  <c:v>78.9</c:v>
                </c:pt>
              </c:numCache>
            </c:numRef>
          </c:val>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dLbl>
              <c:idx val="0"/>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57,0</a:t>
                    </a:r>
                  </a:p>
                </c:rich>
              </c:tx>
              <c:spPr>
                <a:noFill/>
                <a:ln>
                  <a:noFill/>
                </a:ln>
              </c:spPr>
              <c:dLblPos val="outEnd"/>
              <c:showLegendKey val="0"/>
              <c:showVal val="1"/>
              <c:showCatName val="0"/>
              <c:showSerName val="0"/>
              <c:showPercent val="0"/>
              <c:showBubbleSize val="0"/>
            </c:dLbl>
            <c:dLbl>
              <c:idx val="1"/>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52,7</a:t>
                    </a:r>
                  </a:p>
                </c:rich>
              </c:tx>
              <c:spPr>
                <a:noFill/>
                <a:ln>
                  <a:noFill/>
                </a:ln>
              </c:spPr>
              <c:dLblPos val="outEnd"/>
              <c:showLegendKey val="0"/>
              <c:showVal val="1"/>
              <c:showCatName val="0"/>
              <c:showSerName val="0"/>
              <c:showPercent val="0"/>
              <c:showBubbleSize val="0"/>
            </c:dLbl>
            <c:dLbl>
              <c:idx val="2"/>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58,6</a:t>
                    </a:r>
                  </a:p>
                </c:rich>
              </c:tx>
              <c:spPr>
                <a:noFill/>
                <a:ln>
                  <a:noFill/>
                </a:ln>
              </c:spPr>
              <c:dLblPos val="outEnd"/>
              <c:showLegendKey val="0"/>
              <c:showVal val="1"/>
              <c:showCatName val="0"/>
              <c:showSerName val="0"/>
              <c:showPercent val="0"/>
              <c:showBubbleSize val="0"/>
            </c:dLbl>
            <c:dLbl>
              <c:idx val="3"/>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57,7</a:t>
                    </a:r>
                  </a:p>
                </c:rich>
              </c:tx>
              <c:spPr>
                <a:noFill/>
                <a:ln>
                  <a:noFill/>
                </a:ln>
              </c:spPr>
              <c:dLblPos val="outEnd"/>
              <c:showLegendKey val="0"/>
              <c:showVal val="1"/>
              <c:showCatName val="0"/>
              <c:showSerName val="0"/>
              <c:showPercent val="0"/>
              <c:showBubbleSize val="0"/>
            </c:dLbl>
            <c:dLbl>
              <c:idx val="4"/>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53,1</a:t>
                    </a:r>
                  </a:p>
                </c:rich>
              </c:tx>
              <c:spPr>
                <a:noFill/>
                <a:ln>
                  <a:noFill/>
                </a:ln>
              </c:spPr>
              <c:dLblPos val="outEnd"/>
              <c:showLegendKey val="0"/>
              <c:showVal val="1"/>
              <c:showCatName val="0"/>
              <c:showSerName val="0"/>
              <c:showPercent val="0"/>
              <c:showBubbleSize val="0"/>
            </c:dLbl>
            <c:dLbl>
              <c:idx val="5"/>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55,8</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57.0</c:v>
                </c:pt>
                <c:pt idx="1">
                  <c:v>52.7</c:v>
                </c:pt>
                <c:pt idx="2">
                  <c:v>58.6</c:v>
                </c:pt>
                <c:pt idx="3">
                  <c:v>57.7</c:v>
                </c:pt>
                <c:pt idx="4">
                  <c:v>53.1</c:v>
                </c:pt>
                <c:pt idx="5">
                  <c:v>55.8</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1"/>
          <c:y val="0.04"/>
          <c:w val="0.8"/>
          <c:h val="0.84"/>
        </c:manualLayout>
      </c:layout>
      <c:lineChart>
        <c:grouping val="standard"/>
        <c:varyColors val="0"/>
        <c:ser>
          <c:idx val="0"/>
          <c:order val="0"/>
          <c:tx>
            <c:strRef>
              <c:f>Sheet1!$B$1</c:f>
              <c:strCache>
                <c:ptCount val="1"/>
                <c:pt idx="0">
                  <c:v>“Xalq banki”</c:v>
                </c:pt>
              </c:strCache>
            </c:strRef>
          </c:tx>
          <c:spPr>
            <a:ln w="28575">
              <a:solidFill>
                <a:srgbClr val="70AD47"/>
              </a:solidFill>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Sheet1!$B$2:$B$6</c:f>
              <c:numCache>
                <c:formatCode>0.00</c:formatCode>
                <c:ptCount val="5"/>
                <c:pt idx="0">
                  <c:v>2.66</c:v>
                </c:pt>
                <c:pt idx="1">
                  <c:v>2.71</c:v>
                </c:pt>
                <c:pt idx="2">
                  <c:v>2.96</c:v>
                </c:pt>
                <c:pt idx="3">
                  <c:v>3.2</c:v>
                </c:pt>
                <c:pt idx="4">
                  <c:v>3.38</c:v>
                </c:pt>
              </c:numCache>
            </c:numRef>
          </c:val>
          <c:smooth val="0"/>
        </c:ser>
        <c:ser>
          <c:idx val="1"/>
          <c:order val="1"/>
          <c:tx>
            <c:strRef>
              <c:f>Sheet1!$C$1</c:f>
              <c:strCache>
                <c:ptCount val="1"/>
                <c:pt idx="0">
                  <c:v>“Biznesni rivojlantirish banki”</c:v>
                </c:pt>
              </c:strCache>
            </c:strRef>
          </c:tx>
          <c:spPr>
            <a:ln w="28575">
              <a:solidFill>
                <a:srgbClr val="FFC000"/>
              </a:solidFill>
            </a:ln>
          </c:spPr>
          <c:marker>
            <c:symbol val="circle"/>
            <c:size val="5"/>
            <c:spPr>
              <a:solidFill>
                <a:srgbClr val="FFC000"/>
              </a:solidFill>
              <a:ln>
                <a:noFill/>
              </a:ln>
            </c:spPr>
          </c:marker>
          <c:cat>
            <c:strRef>
              <c:f>Sheet1!$A$2:$A$6</c:f>
              <c:strCache>
                <c:ptCount val="5"/>
                <c:pt idx="0">
                  <c:v>2021</c:v>
                </c:pt>
                <c:pt idx="1">
                  <c:v>2022</c:v>
                </c:pt>
                <c:pt idx="2">
                  <c:v>2023</c:v>
                </c:pt>
                <c:pt idx="3">
                  <c:v>2024</c:v>
                </c:pt>
                <c:pt idx="4">
                  <c:v>2025</c:v>
                </c:pt>
              </c:strCache>
            </c:strRef>
          </c:cat>
          <c:val>
            <c:numRef>
              <c:f>Sheet1!$C$2:$C$6</c:f>
              <c:numCache>
                <c:formatCode>0.00</c:formatCode>
                <c:ptCount val="5"/>
                <c:pt idx="0">
                  <c:v>2.51</c:v>
                </c:pt>
                <c:pt idx="1">
                  <c:v>2.25</c:v>
                </c:pt>
                <c:pt idx="2">
                  <c:v>2.03</c:v>
                </c:pt>
                <c:pt idx="3">
                  <c:v>2.58</c:v>
                </c:pt>
                <c:pt idx="4">
                  <c:v>3.23</c:v>
                </c:pt>
              </c:numCache>
            </c:numRef>
          </c:val>
          <c:smooth val="0"/>
        </c:ser>
        <c:ser>
          <c:idx val="2"/>
          <c:order val="2"/>
          <c:tx>
            <c:strRef>
              <c:f>Sheet1!$D$1</c:f>
              <c:strCache>
                <c:ptCount val="1"/>
                <c:pt idx="0">
                  <c:v>“Ipoteka-bank”</c:v>
                </c:pt>
              </c:strCache>
            </c:strRef>
          </c:tx>
          <c:spPr>
            <a:ln w="28575">
              <a:solidFill>
                <a:srgbClr val="7030A0"/>
              </a:solidFill>
            </a:ln>
          </c:spPr>
          <c:marker>
            <c:symbol val="circle"/>
            <c:size val="5"/>
            <c:spPr>
              <a:solidFill>
                <a:srgbClr val="7030A0"/>
              </a:solidFill>
              <a:ln>
                <a:noFill/>
              </a:ln>
            </c:spPr>
          </c:marker>
          <c:cat>
            <c:strRef>
              <c:f>Sheet1!$A$2:$A$6</c:f>
              <c:strCache>
                <c:ptCount val="5"/>
                <c:pt idx="0">
                  <c:v>2021</c:v>
                </c:pt>
                <c:pt idx="1">
                  <c:v>2022</c:v>
                </c:pt>
                <c:pt idx="2">
                  <c:v>2023</c:v>
                </c:pt>
                <c:pt idx="3">
                  <c:v>2024</c:v>
                </c:pt>
                <c:pt idx="4">
                  <c:v>2025</c:v>
                </c:pt>
              </c:strCache>
            </c:strRef>
          </c:cat>
          <c:val>
            <c:numRef>
              <c:f>Sheet1!$D$2:$D$6</c:f>
              <c:numCache>
                <c:formatCode>0.00</c:formatCode>
                <c:ptCount val="5"/>
                <c:pt idx="0">
                  <c:v>3.32</c:v>
                </c:pt>
                <c:pt idx="1">
                  <c:v>3.37</c:v>
                </c:pt>
                <c:pt idx="2">
                  <c:v>2.69</c:v>
                </c:pt>
                <c:pt idx="3">
                  <c:v>3.13</c:v>
                </c:pt>
                <c:pt idx="4">
                  <c:v>3.11</c:v>
                </c:pt>
              </c:numCache>
            </c:numRef>
          </c:val>
          <c:smooth val="0"/>
        </c:ser>
        <c:ser>
          <c:idx val="3"/>
          <c:order val="3"/>
          <c:tx>
            <c:strRef>
              <c:f>Sheet1!$E$1</c:f>
              <c:strCache>
                <c:ptCount val="1"/>
                <c:pt idx="0">
                  <c:v>“O‘zsanoatqurilishbank”</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Sheet1!$E$2:$E$6</c:f>
              <c:numCache>
                <c:formatCode>0.00</c:formatCode>
                <c:ptCount val="5"/>
                <c:pt idx="0">
                  <c:v>2.92</c:v>
                </c:pt>
                <c:pt idx="1">
                  <c:v>2.81</c:v>
                </c:pt>
                <c:pt idx="2">
                  <c:v>2.91</c:v>
                </c:pt>
                <c:pt idx="3">
                  <c:v>2.72</c:v>
                </c:pt>
                <c:pt idx="4">
                  <c:v>2.81</c:v>
                </c:pt>
              </c:numCache>
            </c:numRef>
          </c:val>
          <c:smooth val="0"/>
        </c:ser>
        <c:ser>
          <c:idx val="4"/>
          <c:order val="4"/>
          <c:tx>
            <c:strRef>
              <c:f>Sheet1!$F$1</c:f>
              <c:strCache>
                <c:ptCount val="1"/>
                <c:pt idx="0">
                  <c:v>“Mikrokreditbank”</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Sheet1!$F$2:$F$6</c:f>
              <c:numCache>
                <c:formatCode>0.00</c:formatCode>
                <c:ptCount val="5"/>
                <c:pt idx="0">
                  <c:v>2.18</c:v>
                </c:pt>
                <c:pt idx="1">
                  <c:v>2.31</c:v>
                </c:pt>
                <c:pt idx="2">
                  <c:v>2.22</c:v>
                </c:pt>
                <c:pt idx="3">
                  <c:v>2.25</c:v>
                </c:pt>
                <c:pt idx="4">
                  <c:v>2.47</c:v>
                </c:pt>
              </c:numCache>
            </c:numRef>
          </c:val>
          <c:smooth val="0"/>
        </c:ser>
        <c:ser>
          <c:idx val="5"/>
          <c:order val="5"/>
          <c:tx>
            <c:strRef>
              <c:f>Sheet1!$G$1</c:f>
              <c:strCache>
                <c:ptCount val="1"/>
                <c:pt idx="0">
                  <c:v>“Aloqabank” (tanlanmadan tashqari)</c:v>
                </c:pt>
              </c:strCache>
            </c:strRef>
          </c:tx>
          <c:spPr>
            <a:ln w="28575">
              <a:solidFill>
                <a:srgbClr val="00A3A3"/>
              </a:solidFill>
              <a:prstDash val="dash"/>
            </a:ln>
          </c:spPr>
          <c:marker>
            <c:symbol val="circle"/>
            <c:size val="5"/>
            <c:spPr>
              <a:solidFill>
                <a:srgbClr val="00A3A3"/>
              </a:solidFill>
              <a:ln>
                <a:noFill/>
              </a:ln>
            </c:spPr>
          </c:marker>
          <c:cat>
            <c:strRef>
              <c:f>Sheet1!$A$2:$A$6</c:f>
              <c:strCache>
                <c:ptCount val="5"/>
                <c:pt idx="0">
                  <c:v>2021</c:v>
                </c:pt>
                <c:pt idx="1">
                  <c:v>2022</c:v>
                </c:pt>
                <c:pt idx="2">
                  <c:v>2023</c:v>
                </c:pt>
                <c:pt idx="3">
                  <c:v>2024</c:v>
                </c:pt>
                <c:pt idx="4">
                  <c:v>2025</c:v>
                </c:pt>
              </c:strCache>
            </c:strRef>
          </c:cat>
          <c:val>
            <c:numRef>
              <c:f>Sheet1!$G$2:$G$6</c:f>
              <c:numCache>
                <c:formatCode>0.00</c:formatCode>
                <c:ptCount val="5"/>
                <c:pt idx="0">
                  <c:v>3.01</c:v>
                </c:pt>
                <c:pt idx="1">
                  <c:v>2.97</c:v>
                </c:pt>
                <c:pt idx="2">
                  <c:v>3.17</c:v>
                </c:pt>
                <c:pt idx="3">
                  <c:v>3.1</c:v>
                </c:pt>
                <c:pt idx="4">
                  <c:v>2.78</c:v>
                </c:pt>
              </c:numCache>
            </c:numRef>
          </c:val>
          <c:smooth val="0"/>
        </c:ser>
        <c:ser>
          <c:idx val="6"/>
          <c:order val="6"/>
          <c:tx>
            <c:strRef>
              <c:f>Sheet1!$H$1</c:f>
              <c:strCache>
                <c:ptCount val="1"/>
                <c:pt idx="0">
                  <c:v>I va II sinflar chegarasi</c:v>
                </c:pt>
              </c:strCache>
            </c:strRef>
          </c:tx>
          <c:spPr>
            <a:ln w="19050">
              <a:solidFill>
                <a:srgbClr val="C00000"/>
              </a:solidFill>
              <a:prstDash val="sysDash"/>
            </a:ln>
          </c:spPr>
          <c:marker>
            <c:symbol val="none"/>
          </c:marker>
          <c:dLbls>
            <c:dLbl>
              <c:idx val="2"/>
              <c:layout>
                <c:manualLayout>
                  <c:x val="0"/>
                  <c:y val="-0.10"/>
                </c:manualLayout>
              </c:layout>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 va II sinflar chegarasi (3,25)</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Sheet1!$H$2:$H$6</c:f>
              <c:numCache>
                <c:formatCode>0.00</c:formatCode>
                <c:ptCount val="5"/>
                <c:pt idx="0">
                  <c:v>3.25</c:v>
                </c:pt>
                <c:pt idx="1">
                  <c:v>3.25</c:v>
                </c:pt>
                <c:pt idx="2">
                  <c:v>3.25</c:v>
                </c:pt>
                <c:pt idx="3">
                  <c:v>3.25</c:v>
                </c:pt>
                <c:pt idx="4">
                  <c:v>3.25</c:v>
                </c:pt>
              </c:numCache>
            </c:numRef>
          </c:val>
          <c:smooth val="0"/>
        </c:ser>
        <c:ser>
          <c:idx val="7"/>
          <c:order val="7"/>
          <c:tx>
            <c:strRef>
              <c:f>Sheet1!$I$1</c:f>
              <c:strCache>
                <c:ptCount val="1"/>
                <c:pt idx="0">
                  <c:v>II va III sinflar chegarasi</c:v>
                </c:pt>
              </c:strCache>
            </c:strRef>
          </c:tx>
          <c:spPr>
            <a:ln w="19050">
              <a:solidFill>
                <a:srgbClr val="C00000"/>
              </a:solidFill>
              <a:prstDash val="sysDash"/>
            </a:ln>
          </c:spPr>
          <c:marker>
            <c:symbol val="none"/>
          </c:marker>
          <c:dLbls>
            <c:dLbl>
              <c:idx val="2"/>
              <c:layout>
                <c:manualLayout>
                  <c:x val="-0.06"/>
                  <c:y val="0"/>
                </c:manualLayout>
              </c:layout>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II va III sinflar chegarasi (2,50)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Sheet1!$I$2:$I$6</c:f>
              <c:numCache>
                <c:formatCode>0.00</c:formatCode>
                <c:ptCount val="5"/>
                <c:pt idx="0">
                  <c:v>2.5</c:v>
                </c:pt>
                <c:pt idx="1">
                  <c:v>2.5</c:v>
                </c:pt>
                <c:pt idx="2">
                  <c:v>2.5</c:v>
                </c:pt>
                <c:pt idx="3">
                  <c:v>2.5</c:v>
                </c:pt>
                <c:pt idx="4">
                  <c:v>2.5</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75"/>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25"/>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numFmt formatCode="0.00" sourceLinked="0"/>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numFmt formatCode="0.00" sourceLinked="0"/>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numFmt formatCode="0.00" sourceLinked="0"/>
          <c:showLegendKey val="0"/>
          <c:showVal val="0"/>
          <c:showCatName val="0"/>
          <c:showSerName val="0"/>
          <c:showPercent val="0"/>
          <c:showBubbleSize val="0"/>
        </c:dLbls>
        <c:axId val="333"/>
        <c:axId val="444"/>
      </c:scatterChart>
      <c:valAx>
        <c:axId val="333"/>
        <c:scaling>
          <c:orientation val="minMax"/>
          <c:max val="202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MBII-8,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085"/>
          <c:y val="0.03"/>
          <c:w val="0.895"/>
          <c:h val="0.8"/>
        </c:manualLayout>
      </c:layout>
      <c:scatterChart>
        <c:scatterStyle val="lineMarker"/>
        <c:varyColors val="0"/>
        <c:ser>
          <c:idx val="0"/>
          <c:order val="0"/>
          <c:tx>
            <c:strRef>
              <c:f>Sheet1!$B$1</c:f>
              <c:strCache>
                <c:ptCount val="1"/>
                <c:pt idx="0">
                  <c:v>MBII-8 (AUC = 0,86)</c:v>
                </c:pt>
              </c:strCache>
            </c:strRef>
          </c:tx>
          <c:spPr>
            <a:ln w="28575">
              <a:solidFill>
                <a:srgbClr val="2A78D6"/>
              </a:solidFill>
            </a:ln>
          </c:spPr>
          <c:marker>
            <c:symbol val="none"/>
          </c:marker>
          <c:xVal>
            <c:numRef>
              <c:f>Sheet1!$A$2:$A$33</c:f>
              <c:numCache>
                <c:formatCode>General</c:formatCode>
                <c:ptCount val="32"/>
                <c:pt idx="0">
                  <c:v>0.0</c:v>
                </c:pt>
                <c:pt idx="1">
                  <c:v>0.0</c:v>
                </c:pt>
                <c:pt idx="2">
                  <c:v>0.35</c:v>
                </c:pt>
                <c:pt idx="3">
                  <c:v>0.35</c:v>
                </c:pt>
                <c:pt idx="4">
                  <c:v>0.71</c:v>
                </c:pt>
                <c:pt idx="5">
                  <c:v>0.71</c:v>
                </c:pt>
                <c:pt idx="6">
                  <c:v>1.77</c:v>
                </c:pt>
                <c:pt idx="7">
                  <c:v>1.77</c:v>
                </c:pt>
                <c:pt idx="8">
                  <c:v>3.9</c:v>
                </c:pt>
                <c:pt idx="9">
                  <c:v>3.9</c:v>
                </c:pt>
                <c:pt idx="10">
                  <c:v>5.67</c:v>
                </c:pt>
                <c:pt idx="11">
                  <c:v>5.67</c:v>
                </c:pt>
                <c:pt idx="12">
                  <c:v>7.8</c:v>
                </c:pt>
                <c:pt idx="13">
                  <c:v>7.8</c:v>
                </c:pt>
                <c:pt idx="14">
                  <c:v>8.16</c:v>
                </c:pt>
                <c:pt idx="15">
                  <c:v>8.16</c:v>
                </c:pt>
                <c:pt idx="16">
                  <c:v>16.67</c:v>
                </c:pt>
                <c:pt idx="17">
                  <c:v>16.67</c:v>
                </c:pt>
                <c:pt idx="18">
                  <c:v>21.28</c:v>
                </c:pt>
                <c:pt idx="19">
                  <c:v>21.28</c:v>
                </c:pt>
                <c:pt idx="20">
                  <c:v>24.11</c:v>
                </c:pt>
                <c:pt idx="21">
                  <c:v>24.11</c:v>
                </c:pt>
                <c:pt idx="22">
                  <c:v>52.13</c:v>
                </c:pt>
                <c:pt idx="23">
                  <c:v>52.13</c:v>
                </c:pt>
                <c:pt idx="24">
                  <c:v>63.48</c:v>
                </c:pt>
                <c:pt idx="25">
                  <c:v>63.48</c:v>
                </c:pt>
                <c:pt idx="26">
                  <c:v>69.15</c:v>
                </c:pt>
                <c:pt idx="27">
                  <c:v>69.15</c:v>
                </c:pt>
                <c:pt idx="28">
                  <c:v>72.34</c:v>
                </c:pt>
                <c:pt idx="29">
                  <c:v>72.34</c:v>
                </c:pt>
                <c:pt idx="30">
                  <c:v>100.0</c:v>
                </c:pt>
                <c:pt idx="31">
                  <c:v>100.0</c:v>
                </c:pt>
              </c:numCache>
            </c:numRef>
          </c:xVal>
          <c:yVal>
            <c:numRef>
              <c:f>Sheet1!$B$2:$B$33</c:f>
              <c:numCache>
                <c:formatCode>General</c:formatCode>
                <c:ptCount val="32"/>
                <c:pt idx="0">
                  <c:v>0.0</c:v>
                </c:pt>
                <c:pt idx="1">
                  <c:v>7.69</c:v>
                </c:pt>
                <c:pt idx="2">
                  <c:v>7.69</c:v>
                </c:pt>
                <c:pt idx="3">
                  <c:v>38.46</c:v>
                </c:pt>
                <c:pt idx="4">
                  <c:v>38.46</c:v>
                </c:pt>
                <c:pt idx="5">
                  <c:v>46.15</c:v>
                </c:pt>
                <c:pt idx="6">
                  <c:v>46.15</c:v>
                </c:pt>
                <c:pt idx="7">
                  <c:v>57.69</c:v>
                </c:pt>
                <c:pt idx="8">
                  <c:v>57.69</c:v>
                </c:pt>
                <c:pt idx="9">
                  <c:v>61.54</c:v>
                </c:pt>
                <c:pt idx="10">
                  <c:v>61.54</c:v>
                </c:pt>
                <c:pt idx="11">
                  <c:v>65.38</c:v>
                </c:pt>
                <c:pt idx="12">
                  <c:v>65.38</c:v>
                </c:pt>
                <c:pt idx="13">
                  <c:v>69.23</c:v>
                </c:pt>
                <c:pt idx="14">
                  <c:v>69.23</c:v>
                </c:pt>
                <c:pt idx="15">
                  <c:v>73.08</c:v>
                </c:pt>
                <c:pt idx="16">
                  <c:v>73.08</c:v>
                </c:pt>
                <c:pt idx="17">
                  <c:v>76.92</c:v>
                </c:pt>
                <c:pt idx="18">
                  <c:v>76.92</c:v>
                </c:pt>
                <c:pt idx="19">
                  <c:v>80.77</c:v>
                </c:pt>
                <c:pt idx="20">
                  <c:v>80.77</c:v>
                </c:pt>
                <c:pt idx="21">
                  <c:v>84.62</c:v>
                </c:pt>
                <c:pt idx="22">
                  <c:v>84.62</c:v>
                </c:pt>
                <c:pt idx="23">
                  <c:v>88.46</c:v>
                </c:pt>
                <c:pt idx="24">
                  <c:v>88.46</c:v>
                </c:pt>
                <c:pt idx="25">
                  <c:v>92.31</c:v>
                </c:pt>
                <c:pt idx="26">
                  <c:v>92.31</c:v>
                </c:pt>
                <c:pt idx="27">
                  <c:v>96.15</c:v>
                </c:pt>
                <c:pt idx="28">
                  <c:v>96.15</c:v>
                </c:pt>
                <c:pt idx="29">
                  <c:v>100.0</c:v>
                </c:pt>
                <c:pt idx="30">
                  <c:v>100.0</c:v>
                </c:pt>
                <c:pt idx="31">
                  <c:v>100.0</c:v>
                </c:pt>
              </c:numCache>
            </c:numRef>
          </c:yVal>
          <c:smooth val="0"/>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Sheet1!$C$2:$C$33</c:f>
              <c:numCache>
                <c:formatCode>General</c:formatCode>
                <c:ptCount val="32"/>
                <c:pt idx="0">
                  <c:v>0.0</c:v>
                </c:pt>
                <c:pt idx="1">
                  <c:v>0.0</c:v>
                </c:pt>
                <c:pt idx="2">
                  <c:v>0.35</c:v>
                </c:pt>
                <c:pt idx="3">
                  <c:v>0.35</c:v>
                </c:pt>
                <c:pt idx="4">
                  <c:v>2.13</c:v>
                </c:pt>
                <c:pt idx="5">
                  <c:v>2.13</c:v>
                </c:pt>
                <c:pt idx="6">
                  <c:v>2.84</c:v>
                </c:pt>
                <c:pt idx="7">
                  <c:v>2.84</c:v>
                </c:pt>
                <c:pt idx="8">
                  <c:v>4.26</c:v>
                </c:pt>
                <c:pt idx="9">
                  <c:v>4.26</c:v>
                </c:pt>
                <c:pt idx="10">
                  <c:v>6.03</c:v>
                </c:pt>
                <c:pt idx="11">
                  <c:v>6.03</c:v>
                </c:pt>
                <c:pt idx="12">
                  <c:v>6.74</c:v>
                </c:pt>
                <c:pt idx="13">
                  <c:v>6.74</c:v>
                </c:pt>
                <c:pt idx="14">
                  <c:v>12.06</c:v>
                </c:pt>
                <c:pt idx="15">
                  <c:v>12.06</c:v>
                </c:pt>
                <c:pt idx="16">
                  <c:v>13.83</c:v>
                </c:pt>
                <c:pt idx="17">
                  <c:v>13.83</c:v>
                </c:pt>
                <c:pt idx="18">
                  <c:v>17.38</c:v>
                </c:pt>
                <c:pt idx="19">
                  <c:v>17.38</c:v>
                </c:pt>
                <c:pt idx="20">
                  <c:v>17.73</c:v>
                </c:pt>
                <c:pt idx="21">
                  <c:v>17.73</c:v>
                </c:pt>
                <c:pt idx="22">
                  <c:v>21.63</c:v>
                </c:pt>
                <c:pt idx="23">
                  <c:v>21.63</c:v>
                </c:pt>
                <c:pt idx="24">
                  <c:v>64.89</c:v>
                </c:pt>
                <c:pt idx="25">
                  <c:v>64.89</c:v>
                </c:pt>
                <c:pt idx="26">
                  <c:v>73.4</c:v>
                </c:pt>
                <c:pt idx="27">
                  <c:v>73.4</c:v>
                </c:pt>
                <c:pt idx="28">
                  <c:v>82.27</c:v>
                </c:pt>
                <c:pt idx="29">
                  <c:v>82.27</c:v>
                </c:pt>
                <c:pt idx="30">
                  <c:v>100.0</c:v>
                </c:pt>
                <c:pt idx="31">
                  <c:v>100.0</c:v>
                </c:pt>
              </c:numCache>
            </c:numRef>
          </c:xVal>
          <c:yVal>
            <c:numRef>
              <c:f>Sheet1!$D$2:$D$33</c:f>
              <c:numCache>
                <c:formatCode>General</c:formatCode>
                <c:ptCount val="32"/>
                <c:pt idx="0">
                  <c:v>0.0</c:v>
                </c:pt>
                <c:pt idx="1">
                  <c:v>7.69</c:v>
                </c:pt>
                <c:pt idx="2">
                  <c:v>7.69</c:v>
                </c:pt>
                <c:pt idx="3">
                  <c:v>34.62</c:v>
                </c:pt>
                <c:pt idx="4">
                  <c:v>34.62</c:v>
                </c:pt>
                <c:pt idx="5">
                  <c:v>38.46</c:v>
                </c:pt>
                <c:pt idx="6">
                  <c:v>38.46</c:v>
                </c:pt>
                <c:pt idx="7">
                  <c:v>42.31</c:v>
                </c:pt>
                <c:pt idx="8">
                  <c:v>42.31</c:v>
                </c:pt>
                <c:pt idx="9">
                  <c:v>50.0</c:v>
                </c:pt>
                <c:pt idx="10">
                  <c:v>50.0</c:v>
                </c:pt>
                <c:pt idx="11">
                  <c:v>61.54</c:v>
                </c:pt>
                <c:pt idx="12">
                  <c:v>61.54</c:v>
                </c:pt>
                <c:pt idx="13">
                  <c:v>65.38</c:v>
                </c:pt>
                <c:pt idx="14">
                  <c:v>65.38</c:v>
                </c:pt>
                <c:pt idx="15">
                  <c:v>69.23</c:v>
                </c:pt>
                <c:pt idx="16">
                  <c:v>69.23</c:v>
                </c:pt>
                <c:pt idx="17">
                  <c:v>76.92</c:v>
                </c:pt>
                <c:pt idx="18">
                  <c:v>76.92</c:v>
                </c:pt>
                <c:pt idx="19">
                  <c:v>80.77</c:v>
                </c:pt>
                <c:pt idx="20">
                  <c:v>80.77</c:v>
                </c:pt>
                <c:pt idx="21">
                  <c:v>84.62</c:v>
                </c:pt>
                <c:pt idx="22">
                  <c:v>84.62</c:v>
                </c:pt>
                <c:pt idx="23">
                  <c:v>88.46</c:v>
                </c:pt>
                <c:pt idx="24">
                  <c:v>88.46</c:v>
                </c:pt>
                <c:pt idx="25">
                  <c:v>92.31</c:v>
                </c:pt>
                <c:pt idx="26">
                  <c:v>92.31</c:v>
                </c:pt>
                <c:pt idx="27">
                  <c:v>96.15</c:v>
                </c:pt>
                <c:pt idx="28">
                  <c:v>96.15</c:v>
                </c:pt>
                <c:pt idx="29">
                  <c:v>100.0</c:v>
                </c:pt>
                <c:pt idx="30">
                  <c:v>100.0</c:v>
                </c:pt>
                <c:pt idx="31">
                  <c:v>100.0</c:v>
                </c:pt>
              </c:numCache>
            </c:numRef>
          </c:yVal>
          <c:smooth val="0"/>
        </c:ser>
        <c:ser>
          <c:idx val="2"/>
          <c:order val="2"/>
          <c:tx>
            <c:strRef>
              <c:f>Sheet1!$F$1</c:f>
              <c:strCache>
                <c:ptCount val="1"/>
                <c:pt idx="0">
                  <c:v>ln(Z-score) (AUC = 0,42)</c:v>
                </c:pt>
              </c:strCache>
            </c:strRef>
          </c:tx>
          <c:spPr>
            <a:ln w="28575">
              <a:solidFill>
                <a:srgbClr val="EB6834"/>
              </a:solidFill>
            </a:ln>
          </c:spPr>
          <c:marker>
            <c:symbol val="none"/>
          </c:marker>
          <c:xVal>
            <c:numRef>
              <c:f>Sheet1!$E$2:$E$33</c:f>
              <c:numCache>
                <c:formatCode>General</c:formatCode>
                <c:ptCount val="32"/>
                <c:pt idx="0">
                  <c:v>0.0</c:v>
                </c:pt>
                <c:pt idx="1">
                  <c:v>6.63</c:v>
                </c:pt>
                <c:pt idx="2">
                  <c:v>6.63</c:v>
                </c:pt>
                <c:pt idx="3">
                  <c:v>7.14</c:v>
                </c:pt>
                <c:pt idx="4">
                  <c:v>7.14</c:v>
                </c:pt>
                <c:pt idx="5">
                  <c:v>21.94</c:v>
                </c:pt>
                <c:pt idx="6">
                  <c:v>21.94</c:v>
                </c:pt>
                <c:pt idx="7">
                  <c:v>22.45</c:v>
                </c:pt>
                <c:pt idx="8">
                  <c:v>22.45</c:v>
                </c:pt>
                <c:pt idx="9">
                  <c:v>23.98</c:v>
                </c:pt>
                <c:pt idx="10">
                  <c:v>23.98</c:v>
                </c:pt>
                <c:pt idx="11">
                  <c:v>28.57</c:v>
                </c:pt>
                <c:pt idx="12">
                  <c:v>28.57</c:v>
                </c:pt>
                <c:pt idx="13">
                  <c:v>29.59</c:v>
                </c:pt>
                <c:pt idx="14">
                  <c:v>29.59</c:v>
                </c:pt>
                <c:pt idx="15">
                  <c:v>31.12</c:v>
                </c:pt>
                <c:pt idx="16">
                  <c:v>31.12</c:v>
                </c:pt>
                <c:pt idx="17">
                  <c:v>88.27</c:v>
                </c:pt>
                <c:pt idx="18">
                  <c:v>88.27</c:v>
                </c:pt>
                <c:pt idx="19">
                  <c:v>88.78</c:v>
                </c:pt>
                <c:pt idx="20">
                  <c:v>88.78</c:v>
                </c:pt>
                <c:pt idx="21">
                  <c:v>89.8</c:v>
                </c:pt>
                <c:pt idx="22">
                  <c:v>89.8</c:v>
                </c:pt>
                <c:pt idx="23">
                  <c:v>90.31</c:v>
                </c:pt>
                <c:pt idx="24">
                  <c:v>90.31</c:v>
                </c:pt>
                <c:pt idx="25">
                  <c:v>91.33</c:v>
                </c:pt>
                <c:pt idx="26">
                  <c:v>91.33</c:v>
                </c:pt>
                <c:pt idx="27">
                  <c:v>98.47</c:v>
                </c:pt>
                <c:pt idx="28">
                  <c:v>98.47</c:v>
                </c:pt>
                <c:pt idx="29">
                  <c:v>99.49</c:v>
                </c:pt>
                <c:pt idx="30">
                  <c:v>99.49</c:v>
                </c:pt>
                <c:pt idx="31">
                  <c:v>100.0</c:v>
                </c:pt>
              </c:numCache>
            </c:numRef>
          </c:xVal>
          <c:yVal>
            <c:numRef>
              <c:f>Sheet1!$F$2:$F$33</c:f>
              <c:numCache>
                <c:formatCode>General</c:formatCode>
                <c:ptCount val="32"/>
                <c:pt idx="0">
                  <c:v>0.0</c:v>
                </c:pt>
                <c:pt idx="1">
                  <c:v>0.0</c:v>
                </c:pt>
                <c:pt idx="2">
                  <c:v>5.56</c:v>
                </c:pt>
                <c:pt idx="3">
                  <c:v>5.56</c:v>
                </c:pt>
                <c:pt idx="4">
                  <c:v>11.11</c:v>
                </c:pt>
                <c:pt idx="5">
                  <c:v>11.11</c:v>
                </c:pt>
                <c:pt idx="6">
                  <c:v>16.67</c:v>
                </c:pt>
                <c:pt idx="7">
                  <c:v>16.67</c:v>
                </c:pt>
                <c:pt idx="8">
                  <c:v>22.22</c:v>
                </c:pt>
                <c:pt idx="9">
                  <c:v>22.22</c:v>
                </c:pt>
                <c:pt idx="10">
                  <c:v>27.78</c:v>
                </c:pt>
                <c:pt idx="11">
                  <c:v>27.78</c:v>
                </c:pt>
                <c:pt idx="12">
                  <c:v>38.89</c:v>
                </c:pt>
                <c:pt idx="13">
                  <c:v>38.89</c:v>
                </c:pt>
                <c:pt idx="14">
                  <c:v>44.44</c:v>
                </c:pt>
                <c:pt idx="15">
                  <c:v>44.44</c:v>
                </c:pt>
                <c:pt idx="16">
                  <c:v>50.0</c:v>
                </c:pt>
                <c:pt idx="17">
                  <c:v>50.0</c:v>
                </c:pt>
                <c:pt idx="18">
                  <c:v>55.56</c:v>
                </c:pt>
                <c:pt idx="19">
                  <c:v>55.56</c:v>
                </c:pt>
                <c:pt idx="20">
                  <c:v>61.11</c:v>
                </c:pt>
                <c:pt idx="21">
                  <c:v>61.11</c:v>
                </c:pt>
                <c:pt idx="22">
                  <c:v>66.67</c:v>
                </c:pt>
                <c:pt idx="23">
                  <c:v>66.67</c:v>
                </c:pt>
                <c:pt idx="24">
                  <c:v>72.22</c:v>
                </c:pt>
                <c:pt idx="25">
                  <c:v>72.22</c:v>
                </c:pt>
                <c:pt idx="26">
                  <c:v>77.78</c:v>
                </c:pt>
                <c:pt idx="27">
                  <c:v>77.78</c:v>
                </c:pt>
                <c:pt idx="28">
                  <c:v>83.33</c:v>
                </c:pt>
                <c:pt idx="29">
                  <c:v>83.33</c:v>
                </c:pt>
                <c:pt idx="30">
                  <c:v>100.0</c:v>
                </c:pt>
                <c:pt idx="31">
                  <c:v>100.0</c:v>
                </c:pt>
              </c:numCache>
            </c:numRef>
          </c:yVal>
          <c:smooth val="0"/>
        </c:ser>
        <c:ser>
          <c:idx val="3"/>
          <c:order val="3"/>
          <c:tx>
            <c:strRef>
              <c:f>Sheet1!$H$1</c:f>
              <c:strCache>
                <c:ptCount val="1"/>
                <c:pt idx="0">
                  <c:v>Tasodifiy bashorat</c:v>
                </c:pt>
              </c:strCache>
            </c:strRef>
          </c:tx>
          <c:spPr>
            <a:ln w="9525">
              <a:solidFill>
                <a:srgbClr val="808080"/>
              </a:solidFill>
              <a:prstDash val="sysDash"/>
            </a:ln>
          </c:spPr>
          <c:marker>
            <c:symbol val="none"/>
          </c:marker>
          <c:xVal>
            <c:numRef>
              <c:f>Sheet1!$G$2:$G$33</c:f>
              <c:numCache>
                <c:formatCode>General</c:formatCode>
                <c:ptCount val="32"/>
                <c:pt idx="0">
                  <c:v>0</c:v>
                </c:pt>
                <c:pt idx="1">
                  <c:v>100</c:v>
                </c:pt>
                <c:pt idx="2">
                  <c:v>100</c:v>
                </c:pt>
                <c:pt idx="3">
                  <c:v>100</c:v>
                </c:pt>
                <c:pt idx="4">
                  <c:v>100</c:v>
                </c:pt>
                <c:pt idx="5">
                  <c:v>100</c:v>
                </c:pt>
                <c:pt idx="6">
                  <c:v>100</c:v>
                </c:pt>
                <c:pt idx="7">
                  <c:v>100</c:v>
                </c:pt>
                <c:pt idx="8">
                  <c:v>100</c:v>
                </c:pt>
                <c:pt idx="9">
                  <c:v>100</c:v>
                </c:pt>
                <c:pt idx="10">
                  <c:v>100</c:v>
                </c:pt>
                <c:pt idx="11">
                  <c:v>100</c:v>
                </c:pt>
                <c:pt idx="12">
                  <c:v>100</c:v>
                </c:pt>
                <c:pt idx="13">
                  <c:v>100</c:v>
                </c:pt>
                <c:pt idx="14">
                  <c:v>100</c:v>
                </c:pt>
                <c:pt idx="15">
                  <c:v>100</c:v>
                </c:pt>
                <c:pt idx="16">
                  <c:v>100</c:v>
                </c:pt>
                <c:pt idx="17">
                  <c:v>100</c:v>
                </c:pt>
                <c:pt idx="18">
                  <c:v>100</c:v>
                </c:pt>
                <c:pt idx="19">
                  <c:v>100</c:v>
                </c:pt>
                <c:pt idx="20">
                  <c:v>100</c:v>
                </c:pt>
                <c:pt idx="21">
                  <c:v>100</c:v>
                </c:pt>
                <c:pt idx="22">
                  <c:v>100</c:v>
                </c:pt>
                <c:pt idx="23">
                  <c:v>100</c:v>
                </c:pt>
                <c:pt idx="24">
                  <c:v>100</c:v>
                </c:pt>
                <c:pt idx="25">
                  <c:v>100</c:v>
                </c:pt>
                <c:pt idx="26">
                  <c:v>100</c:v>
                </c:pt>
                <c:pt idx="27">
                  <c:v>100</c:v>
                </c:pt>
                <c:pt idx="28">
                  <c:v>100</c:v>
                </c:pt>
                <c:pt idx="29">
                  <c:v>100</c:v>
                </c:pt>
                <c:pt idx="30">
                  <c:v>100</c:v>
                </c:pt>
                <c:pt idx="31">
                  <c:v>100</c:v>
                </c:pt>
              </c:numCache>
            </c:numRef>
          </c:xVal>
          <c:yVal>
            <c:numRef>
              <c:f>Sheet1!$H$2:$H$33</c:f>
              <c:numCache>
                <c:formatCode>General</c:formatCode>
                <c:ptCount val="32"/>
                <c:pt idx="0">
                  <c:v>0</c:v>
                </c:pt>
                <c:pt idx="1">
                  <c:v>100</c:v>
                </c:pt>
                <c:pt idx="2">
                  <c:v>100</c:v>
                </c:pt>
                <c:pt idx="3">
                  <c:v>100</c:v>
                </c:pt>
                <c:pt idx="4">
                  <c:v>100</c:v>
                </c:pt>
                <c:pt idx="5">
                  <c:v>100</c:v>
                </c:pt>
                <c:pt idx="6">
                  <c:v>100</c:v>
                </c:pt>
                <c:pt idx="7">
                  <c:v>100</c:v>
                </c:pt>
                <c:pt idx="8">
                  <c:v>100</c:v>
                </c:pt>
                <c:pt idx="9">
                  <c:v>100</c:v>
                </c:pt>
                <c:pt idx="10">
                  <c:v>100</c:v>
                </c:pt>
                <c:pt idx="11">
                  <c:v>100</c:v>
                </c:pt>
                <c:pt idx="12">
                  <c:v>100</c:v>
                </c:pt>
                <c:pt idx="13">
                  <c:v>100</c:v>
                </c:pt>
                <c:pt idx="14">
                  <c:v>100</c:v>
                </c:pt>
                <c:pt idx="15">
                  <c:v>100</c:v>
                </c:pt>
                <c:pt idx="16">
                  <c:v>100</c:v>
                </c:pt>
                <c:pt idx="17">
                  <c:v>100</c:v>
                </c:pt>
                <c:pt idx="18">
                  <c:v>100</c:v>
                </c:pt>
                <c:pt idx="19">
                  <c:v>100</c:v>
                </c:pt>
                <c:pt idx="20">
                  <c:v>100</c:v>
                </c:pt>
                <c:pt idx="21">
                  <c:v>100</c:v>
                </c:pt>
                <c:pt idx="22">
                  <c:v>100</c:v>
                </c:pt>
                <c:pt idx="23">
                  <c:v>100</c:v>
                </c:pt>
                <c:pt idx="24">
                  <c:v>100</c:v>
                </c:pt>
                <c:pt idx="25">
                  <c:v>100</c:v>
                </c:pt>
                <c:pt idx="26">
                  <c:v>100</c:v>
                </c:pt>
                <c:pt idx="27">
                  <c:v>100</c:v>
                </c:pt>
                <c:pt idx="28">
                  <c:v>100</c:v>
                </c:pt>
                <c:pt idx="29">
                  <c:v>100</c:v>
                </c:pt>
                <c:pt idx="30">
                  <c:v>100</c:v>
                </c:pt>
                <c:pt idx="31">
                  <c:v>100</c:v>
                </c:pt>
              </c:numCache>
            </c:numRef>
          </c:yVal>
          <c:smooth val="0"/>
        </c:ser>
        <c:ser>
          <c:idx val="4"/>
          <c:order val="4"/>
          <c:tx>
            <c:strRef>
              <c:f>Sheet1!$J$1</c:f>
              <c:strCache>
                <c:ptCount val="1"/>
                <c:pt idx="0">
                  <c:v>MBII-8 = 3,25 (monitoring)</c:v>
                </c:pt>
              </c:strCache>
            </c:strRef>
          </c:tx>
          <c:spPr>
            <a:ln>
              <a:noFill/>
            </a:ln>
          </c:spPr>
          <c:marker>
            <c:symbol val="square"/>
            <c:size val="9"/>
            <c:spPr>
              <a:solidFill>
                <a:srgbClr val="7030A0"/>
              </a:solidFill>
              <a:ln w="9525">
                <a:solidFill>
                  <a:srgbClr val="FFFFFF"/>
                </a:solidFill>
              </a:ln>
            </c:spPr>
          </c:marker>
          <c:xVal>
            <c:numRef>
              <c:f>Sheet1!$I$2:$I$2</c:f>
              <c:numCache>
                <c:formatCode>General</c:formatCode>
                <c:ptCount val="1"/>
                <c:pt idx="0">
                  <c:v>30.5</c:v>
                </c:pt>
              </c:numCache>
            </c:numRef>
          </c:xVal>
          <c:yVal>
            <c:numRef>
              <c:f>Sheet1!$J$2:$J$2</c:f>
              <c:numCache>
                <c:formatCode>General</c:formatCode>
                <c:ptCount val="1"/>
                <c:pt idx="0">
                  <c:v>84.62</c:v>
                </c:pt>
              </c:numCache>
            </c:numRef>
          </c:yVal>
          <c:smooth val="0"/>
        </c:ser>
        <c:ser>
          <c:idx val="5"/>
          <c:order val="5"/>
          <c:tx>
            <c:strRef>
              <c:f>Sheet1!$L$1</c:f>
              <c:strCache>
                <c:ptCount val="1"/>
                <c:pt idx="0">
                  <c:v>MBII-8 = 2,85 (optimal)</c:v>
                </c:pt>
              </c:strCache>
            </c:strRef>
          </c:tx>
          <c:spPr>
            <a:ln>
              <a:noFill/>
            </a:ln>
          </c:spPr>
          <c:marker>
            <c:symbol val="triangle"/>
            <c:size val="9"/>
            <c:spPr>
              <a:solidFill>
                <a:srgbClr val="000000"/>
              </a:solidFill>
              <a:ln w="9525">
                <a:solidFill>
                  <a:srgbClr val="FFFFFF"/>
                </a:solidFill>
              </a:ln>
            </c:spPr>
          </c:marker>
          <c:xVal>
            <c:numRef>
              <c:f>Sheet1!$K$2:$K$2</c:f>
              <c:numCache>
                <c:formatCode>General</c:formatCode>
                <c:ptCount val="1"/>
                <c:pt idx="0">
                  <c:v>8.16</c:v>
                </c:pt>
              </c:numCache>
            </c:numRef>
          </c:xVal>
          <c:yVal>
            <c:numRef>
              <c:f>Sheet1!$L$2:$L$2</c:f>
              <c:numCache>
                <c:formatCode>General</c:formatCode>
                <c:ptCount val="1"/>
                <c:pt idx="0">
                  <c:v>69.23</c:v>
                </c:pt>
              </c:numCache>
            </c:numRef>
          </c:yVal>
          <c:smooth val="0"/>
        </c:ser>
        <c:ser>
          <c:idx val="6"/>
          <c:order val="6"/>
          <c:tx>
            <c:strRef>
              <c:f>Sheet1!$N$1</c:f>
              <c:strCache>
                <c:ptCount val="1"/>
                <c:pt idx="0">
                  <c:v>MBII-8 = 2,75 (nazorat choralari)</c:v>
                </c:pt>
              </c:strCache>
            </c:strRef>
          </c:tx>
          <c:spPr>
            <a:ln>
              <a:noFill/>
            </a:ln>
          </c:spPr>
          <c:marker>
            <c:symbol val="diamond"/>
            <c:size val="9"/>
            <c:spPr>
              <a:solidFill>
                <a:srgbClr val="C00000"/>
              </a:solidFill>
              <a:ln w="9525">
                <a:solidFill>
                  <a:srgbClr val="FFFFFF"/>
                </a:solidFill>
              </a:ln>
            </c:spPr>
          </c:marker>
          <c:xVal>
            <c:numRef>
              <c:f>Sheet1!$M$2:$M$2</c:f>
              <c:numCache>
                <c:formatCode>General</c:formatCode>
                <c:ptCount val="1"/>
                <c:pt idx="0">
                  <c:v>6.03</c:v>
                </c:pt>
              </c:numCache>
            </c:numRef>
          </c:xVal>
          <c:yVal>
            <c:numRef>
              <c:f>Sheet1!$N$2:$N$2</c:f>
              <c:numCache>
                <c:formatCode>General</c:formatCode>
                <c:ptCount val="1"/>
                <c:pt idx="0">
                  <c:v>65.38</c:v>
                </c:pt>
              </c:numCache>
            </c:numRef>
          </c:yVal>
          <c:smooth val="0"/>
        </c:ser>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r"/>
      <c:layout>
        <c:manualLayout>
          <c:xMode val="edge"/>
          <c:yMode val="edge"/>
          <c:x val="0.5"/>
          <c:y val="0.465"/>
          <c:w val="0.475"/>
          <c:h val="0.37"/>
        </c:manualLayout>
      </c:layout>
      <c:overlay val="1"/>
      <c:spPr>
        <a:solidFill>
          <a:srgbClr val="FFFFFF"/>
        </a:solidFill>
        <a:ln w="6350">
          <a:solidFill>
            <a:srgbClr val="BFBFBF"/>
          </a:solidFill>
        </a:ln>
      </c:spPr>
      <c:txPr>
        <a:bodyPr/>
        <a:lstStyle/>
        <a:p>
          <a:pPr>
            <a:defRPr sz="100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48.8</c:v>
                </c:pt>
                <c:pt idx="6">
                  <c:v>39.3</c:v>
                </c:pt>
                <c:pt idx="7">
                  <c:v>30.5</c:v>
                </c:pt>
                <c:pt idx="8">
                  <c:v>23.0</c:v>
                </c:pt>
                <c:pt idx="9">
                  <c:v>16.9</c:v>
                </c:pt>
                <c:pt idx="10">
                  <c:v>12.1</c:v>
                </c:pt>
                <c:pt idx="11">
                  <c:v>8.6</c:v>
                </c:pt>
                <c:pt idx="12">
                  <c:v>6.0</c:v>
                </c:pt>
                <c:pt idx="13">
                  <c:v>4.2</c:v>
                </c:pt>
                <c:pt idx="14">
                  <c:v>2.9</c:v>
                </c:pt>
                <c:pt idx="15">
                  <c:v>2.0</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MBII-8,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MBII-8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MBII-13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MBII-8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MBII-13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5"/>
            <c:spPr>
              <a:solidFill>
                <a:srgbClr val="000000"/>
              </a:solidFill>
              <a:ln>
                <a:noFill/>
              </a:ln>
            </c:spPr>
          </c:marker>
          <c:dLbls>
            <c:dLbl>
              <c:idx val="0"/>
              <c:delete val="1"/>
            </c:dLbl>
            <c:dLbl>
              <c:idx val="1"/>
              <c:delete val="1"/>
            </c:dLbl>
            <c:dLbl>
              <c:idx val="2"/>
              <c:numFmt formatCode="0.00" sourceLinked="0"/>
              <c:spPr>
                <a:noFill/>
                <a:ln>
                  <a:noFill/>
                </a:ln>
              </c:spPr>
              <c:txPr>
                <a:bodyPr/>
                <a:lstStyle/>
                <a:p>
                  <a:pPr>
                    <a:defRPr sz="1000" b="1">
                      <a:solidFill>
                        <a:srgbClr val="000000"/>
                      </a:solidFill>
                      <a:latin typeface="Times New Roman"/>
                      <a:cs typeface="Times New Roman"/>
                    </a:defRPr>
                  </a:pPr>
                  <a:endParaRPr lang="uz-Latn-UZ"/>
                </a:p>
              </c:txPr>
              <c:dLblPos val="t"/>
              <c:showLegendKey val="0"/>
              <c:showVal val="1"/>
              <c:showCatName val="0"/>
              <c:showSerName val="0"/>
              <c:showPercent val="0"/>
              <c:showBubbleSize val="0"/>
            </c:dLbl>
            <c:dLbl>
              <c:idx val="3"/>
              <c:numFmt formatCode="0.00" sourceLinked="0"/>
              <c:spPr>
                <a:noFill/>
                <a:ln>
                  <a:noFill/>
                </a:ln>
              </c:spPr>
              <c:txPr>
                <a:bodyPr/>
                <a:lstStyle/>
                <a:p>
                  <a:pPr>
                    <a:defRPr sz="1000" b="1">
                      <a:solidFill>
                        <a:srgbClr val="000000"/>
                      </a:solidFill>
                      <a:latin typeface="Times New Roman"/>
                      <a:cs typeface="Times New Roman"/>
                    </a:defRPr>
                  </a:pPr>
                  <a:endParaRPr lang="uz-Latn-UZ"/>
                </a:p>
              </c:txPr>
              <c:dLblPos val="l"/>
              <c:showLegendKey val="0"/>
              <c:showVal val="1"/>
              <c:showCatName val="0"/>
              <c:showSerName val="0"/>
              <c:showPercent val="0"/>
              <c:showBubbleSize val="0"/>
            </c:dLbl>
            <c:dLbl>
              <c:idx val="4"/>
              <c:delete val="1"/>
            </c:dLbl>
            <c:dLbl>
              <c:idx val="5"/>
              <c:delete val="1"/>
            </c:dLbl>
            <c:dLbl>
              <c:idx val="6"/>
              <c:delete val="1"/>
            </c:dLbl>
            <c:dLbl>
              <c:idx val="7"/>
              <c:numFmt formatCode="0.00" sourceLinked="0"/>
              <c:spPr>
                <a:noFill/>
                <a:ln>
                  <a:noFill/>
                </a:ln>
              </c:spPr>
              <c:txPr>
                <a:bodyPr/>
                <a:lstStyle/>
                <a:p>
                  <a:pPr>
                    <a:defRPr sz="1000" b="1">
                      <a:solidFill>
                        <a:srgbClr val="000000"/>
                      </a:solidFill>
                      <a:latin typeface="Times New Roman"/>
                      <a:cs typeface="Times New Roman"/>
                    </a:defRPr>
                  </a:pPr>
                  <a:endParaRPr lang="uz-Latn-UZ"/>
                </a:p>
              </c:txPr>
              <c:dLblPos val="l"/>
              <c:showLegendKey val="0"/>
              <c:showVal val="1"/>
              <c:showCatName val="0"/>
              <c:showSerName val="0"/>
              <c:showPercent val="0"/>
              <c:showBubbleSize val="0"/>
            </c:dLbl>
            <c:dLbl>
              <c:idx val="8"/>
              <c:delete val="1"/>
            </c:dLbl>
            <c:dLbl>
              <c:idx val="9"/>
              <c:delete val="1"/>
            </c:dLbl>
            <c:dLbl>
              <c:idx val="10"/>
              <c:delete val="1"/>
            </c:dLbl>
            <c:dLbl>
              <c:idx val="11"/>
              <c:numFmt formatCode="0.00" sourceLinked="0"/>
              <c:spPr>
                <a:noFill/>
                <a:ln>
                  <a:noFill/>
                </a:ln>
              </c:spPr>
              <c:txPr>
                <a:bodyPr/>
                <a:lstStyle/>
                <a:p>
                  <a:pPr>
                    <a:defRPr sz="1000" b="1">
                      <a:solidFill>
                        <a:srgbClr val="000000"/>
                      </a:solidFill>
                      <a:latin typeface="Times New Roman"/>
                      <a:cs typeface="Times New Roman"/>
                    </a:defRPr>
                  </a:pPr>
                  <a:endParaRPr lang="uz-Latn-UZ"/>
                </a:p>
              </c:txPr>
              <c:dLblPos val="b"/>
              <c:showLegendKey val="0"/>
              <c:showVal val="1"/>
              <c:showCatName val="0"/>
              <c:showSerName val="0"/>
              <c:showPercent val="0"/>
              <c:showBubbleSize val="0"/>
            </c:dLbl>
            <c:dLbl>
              <c:idx val="12"/>
              <c:delete val="1"/>
            </c:dLbl>
            <c:dLbl>
              <c:idx val="13"/>
              <c:delete val="1"/>
            </c:dLbl>
            <c:dLbl>
              <c:idx val="14"/>
              <c:delete val="1"/>
            </c:dLbl>
            <c:dLbl>
              <c:idx val="15"/>
              <c:numFmt formatCode="0.00" sourceLinked="0"/>
              <c:spPr>
                <a:noFill/>
                <a:ln>
                  <a:noFill/>
                </a:ln>
              </c:spPr>
              <c:txPr>
                <a:bodyPr/>
                <a:lstStyle/>
                <a:p>
                  <a:pPr>
                    <a:defRPr sz="1000" b="1">
                      <a:solidFill>
                        <a:srgbClr val="000000"/>
                      </a:solidFill>
                      <a:latin typeface="Times New Roman"/>
                      <a:cs typeface="Times New Roman"/>
                    </a:defRPr>
                  </a:pPr>
                  <a:endParaRPr lang="uz-Latn-UZ"/>
                </a:p>
              </c:txPr>
              <c:dLblPos val="b"/>
              <c:showLegendKey val="0"/>
              <c:showVal val="1"/>
              <c:showCatName val="0"/>
              <c:showSerName val="0"/>
              <c:showPercent val="0"/>
              <c:showBubbleSize val="0"/>
            </c:dLbl>
            <c:dLbl>
              <c:idx val="16"/>
              <c:delete val="1"/>
            </c:dLbl>
            <c:dLbl>
              <c:idx val="17"/>
              <c:delete val="1"/>
            </c:dLbl>
            <c:dLbl>
              <c:idx val="18"/>
              <c:delete val="1"/>
            </c:dLbl>
            <c:dLbl>
              <c:idx val="19"/>
              <c:numFmt formatCode="0.00" sourceLinked="0"/>
              <c:spPr>
                <a:noFill/>
                <a:ln>
                  <a:noFill/>
                </a:ln>
              </c:spPr>
              <c:txPr>
                <a:bodyPr/>
                <a:lstStyle/>
                <a:p>
                  <a:pPr>
                    <a:defRPr sz="1000" b="1">
                      <a:solidFill>
                        <a:srgbClr val="000000"/>
                      </a:solidFill>
                      <a:latin typeface="Times New Roman"/>
                      <a:cs typeface="Times New Roman"/>
                    </a:defRPr>
                  </a:pPr>
                  <a:endParaRPr lang="uz-Latn-UZ"/>
                </a:p>
              </c:txPr>
              <c:dLblPos val="b"/>
              <c:showLegendKey val="0"/>
              <c:showVal val="1"/>
              <c:showCatName val="0"/>
              <c:showSerName val="0"/>
              <c:showPercent val="0"/>
              <c:showBubbleSize val="0"/>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showLegendKey val="0"/>
            <c:showVal val="0"/>
            <c:showCatName val="0"/>
            <c:showSerName val="0"/>
            <c:showPercent val="0"/>
            <c:showBubbleSize val="0"/>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2A78D6"/>
                      </a:solidFill>
                      <a:latin typeface="Times New Roman"/>
                      <a:cs typeface="Times New Roman"/>
                    </a:defRPr>
                  </a:pPr>
                  <a:endParaRPr lang="uz-Latn-UZ"/>
                </a:p>
              </c:txPr>
              <c:dLblPos val="r"/>
              <c:showLegendKey val="0"/>
              <c:showVal val="1"/>
              <c:showCatName val="0"/>
              <c:showSerName val="0"/>
              <c:showPercent val="0"/>
              <c:showBubbleSize val="0"/>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showLegendKey val="0"/>
            <c:showVal val="0"/>
            <c:showCatName val="0"/>
            <c:showSerName val="0"/>
            <c:showPercent val="0"/>
            <c:showBubbleSize val="0"/>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showLegendKey val="0"/>
            <c:showVal val="0"/>
            <c:showCatName val="0"/>
            <c:showSerName val="0"/>
            <c:showPercent val="0"/>
            <c:showBubbleSize val="0"/>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FFC000"/>
                      </a:solidFill>
                      <a:latin typeface="Times New Roman"/>
                      <a:cs typeface="Times New Roman"/>
                    </a:defRPr>
                  </a:pPr>
                  <a:endParaRPr lang="uz-Latn-UZ"/>
                </a:p>
              </c:txPr>
              <c:dLblPos val="r"/>
              <c:showLegendKey val="0"/>
              <c:showVal val="1"/>
              <c:showCatName val="0"/>
              <c:showSerName val="0"/>
              <c:showPercent val="0"/>
              <c:showBubbleSize val="0"/>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showLegendKey val="0"/>
            <c:showVal val="0"/>
            <c:showCatName val="0"/>
            <c:showSerName val="0"/>
            <c:showPercent val="0"/>
            <c:showBubbleSize val="0"/>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C00000"/>
                      </a:solidFill>
                      <a:latin typeface="Times New Roman"/>
                      <a:cs typeface="Times New Roman"/>
                    </a:defRPr>
                  </a:pPr>
                  <a:endParaRPr lang="uz-Latn-UZ"/>
                </a:p>
              </c:txPr>
              <c:dLblPos val="t"/>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C00000"/>
                      </a:solidFill>
                      <a:latin typeface="Times New Roman"/>
                      <a:cs typeface="Times New Roman"/>
                    </a:defRPr>
                  </a:pPr>
                  <a:endParaRPr lang="uz-Latn-UZ"/>
                </a:p>
              </c:txPr>
              <c:dLblPos val="t"/>
              <c:showLegendKey val="0"/>
              <c:showVal val="1"/>
              <c:showCatName val="0"/>
              <c:showSerName val="0"/>
              <c:showPercent val="0"/>
              <c:showBubbleSize val="0"/>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showLegendKey val="0"/>
            <c:showVal val="0"/>
            <c:showCatName val="0"/>
            <c:showSerName val="0"/>
            <c:showPercent val="0"/>
            <c:showBubbleSize val="0"/>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6"/>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 (MBII-8)</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 (MBII-13)</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 (MBII-8)</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 (MBII-13)</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1"/>
          <c:y val="0.04"/>
          <c:w val="0.8"/>
          <c:h val="0.84"/>
        </c:manualLayout>
      </c:layout>
      <c:lineChart>
        <c:grouping val="standard"/>
        <c:varyColors val="0"/>
        <c:ser>
          <c:idx val="0"/>
          <c:order val="0"/>
          <c:tx>
            <c:strRef>
              <c:f>Sheet1!$B$1</c:f>
              <c:strCache>
                <c:ptCount val="1"/>
                <c:pt idx="0">
                  <c:v>“O‘zsanoatqurilishbank”: milliy hisobot</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Sheet1!$B$2:$B$6</c:f>
              <c:numCache>
                <c:formatCode>0.00</c:formatCode>
                <c:ptCount val="5"/>
                <c:pt idx="0">
                  <c:v>3.29</c:v>
                </c:pt>
                <c:pt idx="1">
                  <c:v>3.13</c:v>
                </c:pt>
                <c:pt idx="2">
                  <c:v>3.14</c:v>
                </c:pt>
                <c:pt idx="3">
                  <c:v>3.09</c:v>
                </c:pt>
                <c:pt idx="4">
                  <c:v>3.27</c:v>
                </c:pt>
              </c:numCache>
            </c:numRef>
          </c:val>
          <c:smooth val="0"/>
        </c:ser>
        <c:ser>
          <c:idx val="1"/>
          <c:order val="1"/>
          <c:tx>
            <c:strRef>
              <c:f>Sheet1!$C$1</c:f>
              <c:strCache>
                <c:ptCount val="1"/>
                <c:pt idx="0">
                  <c:v>“O‘zsanoatqurilishbank”: MHXS</c:v>
                </c:pt>
              </c:strCache>
            </c:strRef>
          </c:tx>
          <c:spPr>
            <a:ln w="28575">
              <a:solidFill>
                <a:srgbClr val="2A78D6"/>
              </a:solidFill>
              <a:prstDash val="dash"/>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Sheet1!$C$2:$C$6</c:f>
              <c:numCache>
                <c:formatCode>0.00</c:formatCode>
                <c:ptCount val="5"/>
                <c:pt idx="0">
                  <c:v>2.92</c:v>
                </c:pt>
                <c:pt idx="1">
                  <c:v>2.81</c:v>
                </c:pt>
                <c:pt idx="2">
                  <c:v>2.91</c:v>
                </c:pt>
                <c:pt idx="3">
                  <c:v>2.72</c:v>
                </c:pt>
                <c:pt idx="4">
                  <c:v>2.81</c:v>
                </c:pt>
              </c:numCache>
            </c:numRef>
          </c:val>
          <c:smooth val="0"/>
        </c:ser>
        <c:ser>
          <c:idx val="2"/>
          <c:order val="2"/>
          <c:tx>
            <c:strRef>
              <c:f>Sheet1!$D$1</c:f>
              <c:strCache>
                <c:ptCount val="1"/>
                <c:pt idx="0">
                  <c:v>“Mikrokreditbank”: milliy hisobot</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Sheet1!$D$2:$D$6</c:f>
              <c:numCache>
                <c:formatCode>0.00</c:formatCode>
                <c:ptCount val="5"/>
                <c:pt idx="0">
                  <c:v>2.81</c:v>
                </c:pt>
                <c:pt idx="1">
                  <c:v>2.79</c:v>
                </c:pt>
                <c:pt idx="2">
                  <c:v>2.65</c:v>
                </c:pt>
                <c:pt idx="3">
                  <c:v>2.78</c:v>
                </c:pt>
                <c:pt idx="4">
                  <c:v>3.13</c:v>
                </c:pt>
              </c:numCache>
            </c:numRef>
          </c:val>
          <c:smooth val="0"/>
        </c:ser>
        <c:ser>
          <c:idx val="3"/>
          <c:order val="3"/>
          <c:tx>
            <c:strRef>
              <c:f>Sheet1!$E$1</c:f>
              <c:strCache>
                <c:ptCount val="1"/>
                <c:pt idx="0">
                  <c:v>“Mikrokreditbank”: MHXS</c:v>
                </c:pt>
              </c:strCache>
            </c:strRef>
          </c:tx>
          <c:spPr>
            <a:ln w="28575">
              <a:solidFill>
                <a:srgbClr val="EB6834"/>
              </a:solidFill>
              <a:prstDash val="dash"/>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Sheet1!$E$2:$E$6</c:f>
              <c:numCache>
                <c:formatCode>0.00</c:formatCode>
                <c:ptCount val="5"/>
                <c:pt idx="0">
                  <c:v>2.18</c:v>
                </c:pt>
                <c:pt idx="1">
                  <c:v>2.31</c:v>
                </c:pt>
                <c:pt idx="2">
                  <c:v>2.22</c:v>
                </c:pt>
                <c:pt idx="3">
                  <c:v>2.25</c:v>
                </c:pt>
                <c:pt idx="4">
                  <c:v>2.47</c:v>
                </c:pt>
              </c:numCache>
            </c:numRef>
          </c:val>
          <c:smooth val="0"/>
        </c:ser>
        <c:ser>
          <c:idx val="4"/>
          <c:order val="4"/>
          <c:tx>
            <c:strRef>
              <c:f>Sheet1!$F$1</c:f>
              <c:strCache>
                <c:ptCount val="1"/>
                <c:pt idx="0">
                  <c:v>“Aloqabank”: milliy hisobot</c:v>
                </c:pt>
              </c:strCache>
            </c:strRef>
          </c:tx>
          <c:spPr>
            <a:ln w="28575">
              <a:solidFill>
                <a:srgbClr val="548235"/>
              </a:solidFill>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Sheet1!$F$2:$F$6</c:f>
              <c:numCache>
                <c:formatCode>0.00</c:formatCode>
                <c:ptCount val="5"/>
                <c:pt idx="0">
                  <c:v>3.32</c:v>
                </c:pt>
                <c:pt idx="1">
                  <c:v>3.52</c:v>
                </c:pt>
                <c:pt idx="2">
                  <c:v>3.58</c:v>
                </c:pt>
                <c:pt idx="3">
                  <c:v>3.53</c:v>
                </c:pt>
                <c:pt idx="4">
                  <c:v>3.25</c:v>
                </c:pt>
              </c:numCache>
            </c:numRef>
          </c:val>
          <c:smooth val="0"/>
        </c:ser>
        <c:ser>
          <c:idx val="5"/>
          <c:order val="5"/>
          <c:tx>
            <c:strRef>
              <c:f>Sheet1!$G$1</c:f>
              <c:strCache>
                <c:ptCount val="1"/>
                <c:pt idx="0">
                  <c:v>“Aloqabank”: MHXS</c:v>
                </c:pt>
              </c:strCache>
            </c:strRef>
          </c:tx>
          <c:spPr>
            <a:ln w="28575">
              <a:solidFill>
                <a:srgbClr val="548235"/>
              </a:solidFill>
              <a:prstDash val="dash"/>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Sheet1!$G$2:$G$6</c:f>
              <c:numCache>
                <c:formatCode>0.00</c:formatCode>
                <c:ptCount val="5"/>
                <c:pt idx="0">
                  <c:v>3.01</c:v>
                </c:pt>
                <c:pt idx="1">
                  <c:v>2.97</c:v>
                </c:pt>
                <c:pt idx="2">
                  <c:v>3.17</c:v>
                </c:pt>
                <c:pt idx="3">
                  <c:v>3.1</c:v>
                </c:pt>
                <c:pt idx="4">
                  <c:v>2.78</c:v>
                </c:pt>
              </c:numCache>
            </c:numRef>
          </c:val>
          <c:smooth val="0"/>
        </c:ser>
        <c:ser>
          <c:idx val="6"/>
          <c:order val="6"/>
          <c:tx>
            <c:strRef>
              <c:f>Sheet1!$H$1</c:f>
              <c:strCache>
                <c:ptCount val="1"/>
                <c:pt idx="0">
                  <c:v>I va 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 va II sinflar chegarasi (3,25)</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Sheet1!$H$2:$H$6</c:f>
              <c:numCache>
                <c:formatCode>0.00</c:formatCode>
                <c:ptCount val="5"/>
                <c:pt idx="0">
                  <c:v>3.25</c:v>
                </c:pt>
                <c:pt idx="1">
                  <c:v>3.25</c:v>
                </c:pt>
                <c:pt idx="2">
                  <c:v>3.25</c:v>
                </c:pt>
                <c:pt idx="3">
                  <c:v>3.25</c:v>
                </c:pt>
                <c:pt idx="4">
                  <c:v>3.25</c:v>
                </c:pt>
              </c:numCache>
            </c:numRef>
          </c:val>
          <c:smooth val="0"/>
        </c:ser>
        <c:ser>
          <c:idx val="7"/>
          <c:order val="7"/>
          <c:tx>
            <c:strRef>
              <c:f>Sheet1!$I$1</c:f>
              <c:strCache>
                <c:ptCount val="1"/>
                <c:pt idx="0">
                  <c:v>II va III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II va III sinflar chegarasi (2,50)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Sheet1!$I$2:$I$6</c:f>
              <c:numCache>
                <c:formatCode>0.00</c:formatCode>
                <c:ptCount val="5"/>
                <c:pt idx="0">
                  <c:v>2.5</c:v>
                </c:pt>
                <c:pt idx="1">
                  <c:v>2.5</c:v>
                </c:pt>
                <c:pt idx="2">
                  <c:v>2.5</c:v>
                </c:pt>
                <c:pt idx="3">
                  <c:v>2.5</c:v>
                </c:pt>
                <c:pt idx="4">
                  <c:v>2.5</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75"/>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25"/>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2021-yil</c:v>
                </c:pt>
              </c:strCache>
            </c:strRef>
          </c:tx>
          <c:spPr>
            <a:ln>
              <a:noFill/>
            </a:ln>
          </c:spPr>
          <c:marker>
            <c:symbol val="circle"/>
            <c:size val="8"/>
            <c:spPr>
              <a:solidFill>
                <a:srgbClr val="C00000"/>
              </a:solidFill>
              <a:ln>
                <a:noFill/>
              </a:ln>
            </c:spPr>
          </c:marker>
          <c:xVal>
            <c:numRef>
              <c:f>Sheet1!$A$2:$A$5</c:f>
              <c:numCache>
                <c:formatCode>General</c:formatCode>
                <c:ptCount val="4"/>
                <c:pt idx="0">
                  <c:v>4.9</c:v>
                </c:pt>
                <c:pt idx="1">
                  <c:v>0.8</c:v>
                </c:pt>
                <c:pt idx="2">
                  <c:v>0.0</c:v>
                </c:pt>
                <c:pt idx="3">
                  <c:v>1.6</c:v>
                </c:pt>
              </c:numCache>
            </c:numRef>
          </c:xVal>
          <c:yVal>
            <c:numRef>
              <c:f>Sheet1!$B$2:$B$5</c:f>
              <c:numCache>
                <c:formatCode>General</c:formatCode>
                <c:ptCount val="4"/>
                <c:pt idx="0">
                  <c:v>3.54</c:v>
                </c:pt>
                <c:pt idx="1">
                  <c:v>5.51</c:v>
                </c:pt>
                <c:pt idx="2">
                  <c:v>5.74</c:v>
                </c:pt>
                <c:pt idx="3">
                  <c:v>5.2</c:v>
                </c:pt>
              </c:numCache>
            </c:numRef>
          </c:yVal>
          <c:smooth val="0"/>
        </c:ser>
        <c:ser>
          <c:idx val="1"/>
          <c:order val="1"/>
          <c:tx>
            <c:strRef>
              <c:f>Sheet1!$D$1</c:f>
              <c:strCache>
                <c:ptCount val="1"/>
                <c:pt idx="0">
                  <c:v>2022-yil</c:v>
                </c:pt>
              </c:strCache>
            </c:strRef>
          </c:tx>
          <c:spPr>
            <a:ln>
              <a:noFill/>
            </a:ln>
          </c:spPr>
          <c:marker>
            <c:symbol val="circle"/>
            <c:size val="8"/>
            <c:spPr>
              <a:solidFill>
                <a:srgbClr val="EB6834"/>
              </a:solidFill>
              <a:ln>
                <a:noFill/>
              </a:ln>
            </c:spPr>
          </c:marker>
          <c:xVal>
            <c:numRef>
              <c:f>Sheet1!$C$2:$C$5</c:f>
              <c:numCache>
                <c:formatCode>General</c:formatCode>
                <c:ptCount val="4"/>
                <c:pt idx="0">
                  <c:v>4.8</c:v>
                </c:pt>
                <c:pt idx="1">
                  <c:v>8.4</c:v>
                </c:pt>
                <c:pt idx="2">
                  <c:v>8.8</c:v>
                </c:pt>
                <c:pt idx="3">
                  <c:v>8.0</c:v>
                </c:pt>
              </c:numCache>
            </c:numRef>
          </c:xVal>
          <c:yVal>
            <c:numRef>
              <c:f>Sheet1!$D$2:$D$5</c:f>
              <c:numCache>
                <c:formatCode>General</c:formatCode>
                <c:ptCount val="4"/>
                <c:pt idx="0">
                  <c:v>4.95</c:v>
                </c:pt>
                <c:pt idx="1">
                  <c:v>4.89</c:v>
                </c:pt>
                <c:pt idx="2">
                  <c:v>4.72</c:v>
                </c:pt>
                <c:pt idx="3">
                  <c:v>3.59</c:v>
                </c:pt>
              </c:numCache>
            </c:numRef>
          </c:yVal>
          <c:smooth val="0"/>
        </c:ser>
        <c:ser>
          <c:idx val="2"/>
          <c:order val="2"/>
          <c:tx>
            <c:strRef>
              <c:f>Sheet1!$F$1</c:f>
              <c:strCache>
                <c:ptCount val="1"/>
                <c:pt idx="0">
                  <c:v>2023-yil</c:v>
                </c:pt>
              </c:strCache>
            </c:strRef>
          </c:tx>
          <c:spPr>
            <a:ln>
              <a:noFill/>
            </a:ln>
          </c:spPr>
          <c:marker>
            <c:symbol val="circle"/>
            <c:size val="8"/>
            <c:spPr>
              <a:solidFill>
                <a:srgbClr val="BF9000"/>
              </a:solidFill>
              <a:ln>
                <a:noFill/>
              </a:ln>
            </c:spPr>
          </c:marker>
          <c:xVal>
            <c:numRef>
              <c:f>Sheet1!$E$2:$E$5</c:f>
              <c:numCache>
                <c:formatCode>General</c:formatCode>
                <c:ptCount val="4"/>
                <c:pt idx="0">
                  <c:v>5.1</c:v>
                </c:pt>
                <c:pt idx="1">
                  <c:v>4.5</c:v>
                </c:pt>
                <c:pt idx="2">
                  <c:v>5.3</c:v>
                </c:pt>
                <c:pt idx="3">
                  <c:v>6.0</c:v>
                </c:pt>
              </c:numCache>
            </c:numRef>
          </c:xVal>
          <c:yVal>
            <c:numRef>
              <c:f>Sheet1!$F$2:$F$5</c:f>
              <c:numCache>
                <c:formatCode>General</c:formatCode>
                <c:ptCount val="4"/>
                <c:pt idx="0">
                  <c:v>3.51</c:v>
                </c:pt>
                <c:pt idx="1">
                  <c:v>3.38</c:v>
                </c:pt>
                <c:pt idx="2">
                  <c:v>3.73</c:v>
                </c:pt>
                <c:pt idx="3">
                  <c:v>3.53</c:v>
                </c:pt>
              </c:numCache>
            </c:numRef>
          </c:yVal>
          <c:smooth val="0"/>
        </c:ser>
        <c:ser>
          <c:idx val="3"/>
          <c:order val="3"/>
          <c:tx>
            <c:strRef>
              <c:f>Sheet1!$H$1</c:f>
              <c:strCache>
                <c:ptCount val="1"/>
                <c:pt idx="0">
                  <c:v>2024-yil</c:v>
                </c:pt>
              </c:strCache>
            </c:strRef>
          </c:tx>
          <c:spPr>
            <a:ln>
              <a:noFill/>
            </a:ln>
          </c:spPr>
          <c:marker>
            <c:symbol val="circle"/>
            <c:size val="8"/>
            <c:spPr>
              <a:solidFill>
                <a:srgbClr val="70AD47"/>
              </a:solidFill>
              <a:ln>
                <a:noFill/>
              </a:ln>
            </c:spPr>
          </c:marker>
          <c:xVal>
            <c:numRef>
              <c:f>Sheet1!$G$2:$G$5</c:f>
              <c:numCache>
                <c:formatCode>General</c:formatCode>
                <c:ptCount val="4"/>
                <c:pt idx="0">
                  <c:v>6.5</c:v>
                </c:pt>
                <c:pt idx="1">
                  <c:v>7.1</c:v>
                </c:pt>
                <c:pt idx="2">
                  <c:v>6.5</c:v>
                </c:pt>
                <c:pt idx="3">
                  <c:v>6.31</c:v>
                </c:pt>
              </c:numCache>
            </c:numRef>
          </c:xVal>
          <c:yVal>
            <c:numRef>
              <c:f>Sheet1!$H$2:$H$5</c:f>
              <c:numCache>
                <c:formatCode>General</c:formatCode>
                <c:ptCount val="4"/>
                <c:pt idx="0">
                  <c:v>4.52</c:v>
                </c:pt>
                <c:pt idx="1">
                  <c:v>4.05</c:v>
                </c:pt>
                <c:pt idx="2">
                  <c:v>4.18</c:v>
                </c:pt>
                <c:pt idx="3">
                  <c:v>3.97</c:v>
                </c:pt>
              </c:numCache>
            </c:numRef>
          </c:yVal>
          <c:smooth val="0"/>
        </c:ser>
        <c:ser>
          <c:idx val="4"/>
          <c:order val="4"/>
          <c:tx>
            <c:strRef>
              <c:f>Sheet1!$J$1</c:f>
              <c:strCache>
                <c:ptCount val="1"/>
                <c:pt idx="0">
                  <c:v>2025-yil</c:v>
                </c:pt>
              </c:strCache>
            </c:strRef>
          </c:tx>
          <c:spPr>
            <a:ln>
              <a:noFill/>
            </a:ln>
          </c:spPr>
          <c:marker>
            <c:symbol val="circle"/>
            <c:size val="8"/>
            <c:spPr>
              <a:solidFill>
                <a:srgbClr val="2A78D6"/>
              </a:solidFill>
              <a:ln>
                <a:noFill/>
              </a:ln>
            </c:spPr>
          </c:marker>
          <c:xVal>
            <c:numRef>
              <c:f>Sheet1!$I$2:$I$5</c:f>
              <c:numCache>
                <c:formatCode>General</c:formatCode>
                <c:ptCount val="4"/>
                <c:pt idx="0">
                  <c:v>6.6</c:v>
                </c:pt>
                <c:pt idx="1">
                  <c:v>6.7</c:v>
                </c:pt>
                <c:pt idx="2">
                  <c:v>6.6</c:v>
                </c:pt>
                <c:pt idx="3">
                  <c:v>6.7</c:v>
                </c:pt>
              </c:numCache>
            </c:numRef>
          </c:xVal>
          <c:yVal>
            <c:numRef>
              <c:f>Sheet1!$J$2:$J$5</c:f>
              <c:numCache>
                <c:formatCode>General</c:formatCode>
                <c:ptCount val="4"/>
                <c:pt idx="0">
                  <c:v>4.26</c:v>
                </c:pt>
                <c:pt idx="1">
                  <c:v>3.8</c:v>
                </c:pt>
                <c:pt idx="2">
                  <c:v>3.65</c:v>
                </c:pt>
                <c:pt idx="3">
                  <c:v>2.99</c:v>
                </c:pt>
              </c:numCache>
            </c:numRef>
          </c:yVal>
          <c:smooth val="0"/>
        </c:ser>
        <c:ser>
          <c:idx val="5"/>
          <c:order val="5"/>
          <c:tx>
            <c:strRef>
              <c:f>Sheet1!$L$1</c:f>
              <c:strCache>
                <c:ptCount val="1"/>
                <c:pt idx="0">
                  <c:v>Regressiya chizig‘i</c:v>
                </c:pt>
              </c:strCache>
            </c:strRef>
          </c:tx>
          <c:spPr>
            <a:ln w="19050">
              <a:solidFill>
                <a:srgbClr val="000000"/>
              </a:solidFill>
            </a:ln>
          </c:spPr>
          <c:marker>
            <c:symbol val="none"/>
          </c:marker>
          <c:xVal>
            <c:numRef>
              <c:f>Sheet1!$K$2:$K$3</c:f>
              <c:numCache>
                <c:formatCode>General</c:formatCode>
                <c:ptCount val="2"/>
                <c:pt idx="0">
                  <c:v>0.0</c:v>
                </c:pt>
                <c:pt idx="1">
                  <c:v>9.0</c:v>
                </c:pt>
              </c:numCache>
            </c:numRef>
          </c:xVal>
          <c:yVal>
            <c:numRef>
              <c:f>Sheet1!$L$2:$L$3</c:f>
              <c:numCache>
                <c:formatCode>General</c:formatCode>
                <c:ptCount val="2"/>
                <c:pt idx="0">
                  <c:v>5.143</c:v>
                </c:pt>
                <c:pt idx="1">
                  <c:v>3.592</c:v>
                </c:pt>
              </c:numCache>
            </c:numRef>
          </c:yVal>
          <c:smooth val="0"/>
        </c:ser>
        <c:axId val="333"/>
        <c:axId val="444"/>
      </c:scatterChart>
      <c:valAx>
        <c:axId val="333"/>
        <c:scaling>
          <c:orientation val="minMax"/>
          <c:max val="1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YaIM real o‘sish sur’ati (4 chorak oldin),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2"/>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
      </c:valAx>
      <c:spPr>
        <a:noFill/>
        <a:ln>
          <a:noFill/>
        </a:ln>
      </c:spPr>
    </c:plotArea>
    <c:legend>
      <c:legendPos val="r"/>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Boshqa banklar (246 ta kuzatuv)</c:v>
                </c:pt>
              </c:strCache>
            </c:strRef>
          </c:tx>
          <c:spPr>
            <a:ln>
              <a:noFill/>
            </a:ln>
          </c:spPr>
          <c:marker>
            <c:symbol val="circle"/>
            <c:size val="5"/>
            <c:spPr>
              <a:solidFill>
                <a:srgbClr val="2A78D6"/>
              </a:solidFill>
              <a:ln>
                <a:noFill/>
              </a:ln>
            </c:spPr>
          </c:marker>
          <c:xVal>
            <c:numRef>
              <c:f>Sheet1!$A$2:$A$247</c:f>
              <c:numCache>
                <c:formatCode>General</c:formatCode>
                <c:ptCount val="246"/>
                <c:pt idx="0">
                  <c:v>1.51</c:v>
                </c:pt>
                <c:pt idx="1">
                  <c:v>2.14</c:v>
                </c:pt>
                <c:pt idx="2">
                  <c:v>2.26</c:v>
                </c:pt>
                <c:pt idx="3">
                  <c:v>2.45</c:v>
                </c:pt>
                <c:pt idx="4">
                  <c:v>3.15</c:v>
                </c:pt>
                <c:pt idx="5">
                  <c:v>1.68</c:v>
                </c:pt>
                <c:pt idx="6">
                  <c:v>1.62</c:v>
                </c:pt>
                <c:pt idx="7">
                  <c:v>2.01</c:v>
                </c:pt>
                <c:pt idx="8">
                  <c:v>2.56</c:v>
                </c:pt>
                <c:pt idx="9">
                  <c:v>2.46</c:v>
                </c:pt>
                <c:pt idx="10">
                  <c:v>2.46</c:v>
                </c:pt>
                <c:pt idx="11">
                  <c:v>2.44</c:v>
                </c:pt>
                <c:pt idx="12">
                  <c:v>2.76</c:v>
                </c:pt>
                <c:pt idx="13">
                  <c:v>3.76</c:v>
                </c:pt>
                <c:pt idx="14">
                  <c:v>4.35</c:v>
                </c:pt>
                <c:pt idx="15">
                  <c:v>4.75</c:v>
                </c:pt>
                <c:pt idx="16">
                  <c:v>6.83</c:v>
                </c:pt>
                <c:pt idx="17">
                  <c:v>6.63</c:v>
                </c:pt>
                <c:pt idx="18">
                  <c:v>3.01</c:v>
                </c:pt>
                <c:pt idx="19">
                  <c:v>1.42</c:v>
                </c:pt>
                <c:pt idx="20">
                  <c:v>2.4</c:v>
                </c:pt>
                <c:pt idx="21">
                  <c:v>3.01</c:v>
                </c:pt>
                <c:pt idx="22">
                  <c:v>2.5</c:v>
                </c:pt>
                <c:pt idx="23">
                  <c:v>1.49</c:v>
                </c:pt>
                <c:pt idx="24">
                  <c:v>1.56</c:v>
                </c:pt>
                <c:pt idx="25">
                  <c:v>2.2</c:v>
                </c:pt>
                <c:pt idx="26">
                  <c:v>2.8</c:v>
                </c:pt>
                <c:pt idx="27">
                  <c:v>2.01</c:v>
                </c:pt>
                <c:pt idx="28">
                  <c:v>1.25</c:v>
                </c:pt>
                <c:pt idx="29">
                  <c:v>0.61</c:v>
                </c:pt>
                <c:pt idx="30">
                  <c:v>0.81</c:v>
                </c:pt>
                <c:pt idx="31">
                  <c:v>1.15</c:v>
                </c:pt>
                <c:pt idx="32">
                  <c:v>0.91</c:v>
                </c:pt>
                <c:pt idx="33">
                  <c:v>1.36</c:v>
                </c:pt>
                <c:pt idx="34">
                  <c:v>0.85</c:v>
                </c:pt>
                <c:pt idx="35">
                  <c:v>1.56</c:v>
                </c:pt>
                <c:pt idx="36">
                  <c:v>1.71</c:v>
                </c:pt>
                <c:pt idx="37">
                  <c:v>0.52</c:v>
                </c:pt>
                <c:pt idx="38">
                  <c:v>0.73</c:v>
                </c:pt>
                <c:pt idx="39">
                  <c:v>0.65</c:v>
                </c:pt>
                <c:pt idx="40">
                  <c:v>0.79</c:v>
                </c:pt>
                <c:pt idx="41">
                  <c:v>0.6</c:v>
                </c:pt>
                <c:pt idx="42">
                  <c:v>0.9</c:v>
                </c:pt>
                <c:pt idx="43">
                  <c:v>1.92</c:v>
                </c:pt>
                <c:pt idx="44">
                  <c:v>2.69</c:v>
                </c:pt>
                <c:pt idx="45">
                  <c:v>3.27</c:v>
                </c:pt>
                <c:pt idx="46">
                  <c:v>4.18</c:v>
                </c:pt>
                <c:pt idx="47">
                  <c:v>3.21</c:v>
                </c:pt>
                <c:pt idx="48">
                  <c:v>7.72</c:v>
                </c:pt>
                <c:pt idx="49">
                  <c:v>7.69</c:v>
                </c:pt>
                <c:pt idx="50">
                  <c:v>9.26</c:v>
                </c:pt>
                <c:pt idx="51">
                  <c:v>17.53</c:v>
                </c:pt>
                <c:pt idx="52">
                  <c:v>4.67</c:v>
                </c:pt>
                <c:pt idx="53">
                  <c:v>8.46</c:v>
                </c:pt>
                <c:pt idx="54">
                  <c:v>14.83</c:v>
                </c:pt>
                <c:pt idx="55">
                  <c:v>14.87</c:v>
                </c:pt>
                <c:pt idx="56">
                  <c:v>14.77</c:v>
                </c:pt>
                <c:pt idx="57">
                  <c:v>17.53</c:v>
                </c:pt>
                <c:pt idx="58">
                  <c:v>16.73</c:v>
                </c:pt>
                <c:pt idx="59">
                  <c:v>9.87</c:v>
                </c:pt>
                <c:pt idx="60">
                  <c:v>4.92</c:v>
                </c:pt>
                <c:pt idx="61">
                  <c:v>0.86</c:v>
                </c:pt>
                <c:pt idx="62">
                  <c:v>0.64</c:v>
                </c:pt>
                <c:pt idx="63">
                  <c:v>0.68</c:v>
                </c:pt>
                <c:pt idx="64">
                  <c:v>0.59</c:v>
                </c:pt>
                <c:pt idx="65">
                  <c:v>0.6</c:v>
                </c:pt>
                <c:pt idx="66">
                  <c:v>0.59</c:v>
                </c:pt>
                <c:pt idx="67">
                  <c:v>0.64</c:v>
                </c:pt>
                <c:pt idx="68">
                  <c:v>0.63</c:v>
                </c:pt>
                <c:pt idx="69">
                  <c:v>1.22</c:v>
                </c:pt>
                <c:pt idx="70">
                  <c:v>1.22</c:v>
                </c:pt>
                <c:pt idx="71">
                  <c:v>1.44</c:v>
                </c:pt>
                <c:pt idx="72">
                  <c:v>1.66</c:v>
                </c:pt>
                <c:pt idx="73">
                  <c:v>1.49</c:v>
                </c:pt>
                <c:pt idx="74">
                  <c:v>1.46</c:v>
                </c:pt>
                <c:pt idx="75">
                  <c:v>1.4</c:v>
                </c:pt>
                <c:pt idx="76">
                  <c:v>0.8</c:v>
                </c:pt>
                <c:pt idx="77">
                  <c:v>1.97</c:v>
                </c:pt>
                <c:pt idx="78">
                  <c:v>1.99</c:v>
                </c:pt>
                <c:pt idx="79">
                  <c:v>1.62</c:v>
                </c:pt>
                <c:pt idx="80">
                  <c:v>0.55</c:v>
                </c:pt>
                <c:pt idx="81">
                  <c:v>0.77</c:v>
                </c:pt>
                <c:pt idx="82">
                  <c:v>1.37</c:v>
                </c:pt>
                <c:pt idx="83">
                  <c:v>1.47</c:v>
                </c:pt>
                <c:pt idx="84">
                  <c:v>1.06</c:v>
                </c:pt>
                <c:pt idx="85">
                  <c:v>2.06</c:v>
                </c:pt>
                <c:pt idx="86">
                  <c:v>1.6</c:v>
                </c:pt>
                <c:pt idx="87">
                  <c:v>1.46</c:v>
                </c:pt>
                <c:pt idx="88">
                  <c:v>1.37</c:v>
                </c:pt>
                <c:pt idx="89">
                  <c:v>1.73</c:v>
                </c:pt>
                <c:pt idx="90">
                  <c:v>2.76</c:v>
                </c:pt>
                <c:pt idx="91">
                  <c:v>2.73</c:v>
                </c:pt>
                <c:pt idx="92">
                  <c:v>2.52</c:v>
                </c:pt>
                <c:pt idx="93">
                  <c:v>3.19</c:v>
                </c:pt>
                <c:pt idx="94">
                  <c:v>3.39</c:v>
                </c:pt>
                <c:pt idx="95">
                  <c:v>3.19</c:v>
                </c:pt>
                <c:pt idx="96">
                  <c:v>1.87</c:v>
                </c:pt>
                <c:pt idx="97">
                  <c:v>2.1</c:v>
                </c:pt>
                <c:pt idx="98">
                  <c:v>2.77</c:v>
                </c:pt>
                <c:pt idx="99">
                  <c:v>2.48</c:v>
                </c:pt>
                <c:pt idx="100">
                  <c:v>2.14</c:v>
                </c:pt>
                <c:pt idx="101">
                  <c:v>0.88</c:v>
                </c:pt>
                <c:pt idx="102">
                  <c:v>1.38</c:v>
                </c:pt>
                <c:pt idx="103">
                  <c:v>1.49</c:v>
                </c:pt>
                <c:pt idx="104">
                  <c:v>1.53</c:v>
                </c:pt>
                <c:pt idx="105">
                  <c:v>1.46</c:v>
                </c:pt>
                <c:pt idx="106">
                  <c:v>1.48</c:v>
                </c:pt>
                <c:pt idx="107">
                  <c:v>1.39</c:v>
                </c:pt>
                <c:pt idx="108">
                  <c:v>1.12</c:v>
                </c:pt>
                <c:pt idx="109">
                  <c:v>7.37</c:v>
                </c:pt>
                <c:pt idx="110">
                  <c:v>4.65</c:v>
                </c:pt>
                <c:pt idx="111">
                  <c:v>7.46</c:v>
                </c:pt>
                <c:pt idx="112">
                  <c:v>7.55</c:v>
                </c:pt>
                <c:pt idx="113">
                  <c:v>12.34</c:v>
                </c:pt>
                <c:pt idx="114">
                  <c:v>10.19</c:v>
                </c:pt>
                <c:pt idx="115">
                  <c:v>10.24</c:v>
                </c:pt>
                <c:pt idx="116">
                  <c:v>6.6</c:v>
                </c:pt>
                <c:pt idx="117">
                  <c:v>6.29</c:v>
                </c:pt>
                <c:pt idx="118">
                  <c:v>3.55</c:v>
                </c:pt>
                <c:pt idx="119">
                  <c:v>0.0</c:v>
                </c:pt>
                <c:pt idx="120">
                  <c:v>0.0</c:v>
                </c:pt>
                <c:pt idx="121">
                  <c:v>0.0</c:v>
                </c:pt>
                <c:pt idx="122">
                  <c:v>0.0</c:v>
                </c:pt>
                <c:pt idx="123">
                  <c:v>0.0</c:v>
                </c:pt>
                <c:pt idx="124">
                  <c:v>0.0</c:v>
                </c:pt>
                <c:pt idx="125">
                  <c:v>0.0</c:v>
                </c:pt>
                <c:pt idx="126">
                  <c:v>0.0</c:v>
                </c:pt>
                <c:pt idx="127">
                  <c:v>0.0</c:v>
                </c:pt>
                <c:pt idx="128">
                  <c:v>0.0</c:v>
                </c:pt>
                <c:pt idx="129">
                  <c:v>0.0</c:v>
                </c:pt>
                <c:pt idx="130">
                  <c:v>0.0</c:v>
                </c:pt>
                <c:pt idx="131">
                  <c:v>0.0</c:v>
                </c:pt>
                <c:pt idx="132">
                  <c:v>0.0</c:v>
                </c:pt>
                <c:pt idx="133">
                  <c:v>0.0</c:v>
                </c:pt>
                <c:pt idx="134">
                  <c:v>0.0</c:v>
                </c:pt>
                <c:pt idx="135">
                  <c:v>2.49</c:v>
                </c:pt>
                <c:pt idx="136">
                  <c:v>2.03</c:v>
                </c:pt>
                <c:pt idx="137">
                  <c:v>2.01</c:v>
                </c:pt>
                <c:pt idx="138">
                  <c:v>1.17</c:v>
                </c:pt>
                <c:pt idx="139">
                  <c:v>0.74</c:v>
                </c:pt>
                <c:pt idx="140">
                  <c:v>0.69</c:v>
                </c:pt>
                <c:pt idx="141">
                  <c:v>1.18</c:v>
                </c:pt>
                <c:pt idx="142">
                  <c:v>1.41</c:v>
                </c:pt>
                <c:pt idx="143">
                  <c:v>1.89</c:v>
                </c:pt>
                <c:pt idx="144">
                  <c:v>2.93</c:v>
                </c:pt>
                <c:pt idx="145">
                  <c:v>3.06</c:v>
                </c:pt>
                <c:pt idx="146">
                  <c:v>4.55</c:v>
                </c:pt>
                <c:pt idx="147">
                  <c:v>5.06</c:v>
                </c:pt>
                <c:pt idx="148">
                  <c:v>5.49</c:v>
                </c:pt>
                <c:pt idx="149">
                  <c:v>4.39</c:v>
                </c:pt>
                <c:pt idx="150">
                  <c:v>2.81</c:v>
                </c:pt>
                <c:pt idx="151">
                  <c:v>1.04</c:v>
                </c:pt>
                <c:pt idx="152">
                  <c:v>0.85</c:v>
                </c:pt>
                <c:pt idx="153">
                  <c:v>0.68</c:v>
                </c:pt>
                <c:pt idx="154">
                  <c:v>0.64</c:v>
                </c:pt>
                <c:pt idx="155">
                  <c:v>0.65</c:v>
                </c:pt>
                <c:pt idx="156">
                  <c:v>0.3</c:v>
                </c:pt>
                <c:pt idx="157">
                  <c:v>0.21</c:v>
                </c:pt>
                <c:pt idx="158">
                  <c:v>0.3</c:v>
                </c:pt>
                <c:pt idx="159">
                  <c:v>0.39</c:v>
                </c:pt>
                <c:pt idx="160">
                  <c:v>0.11</c:v>
                </c:pt>
                <c:pt idx="161">
                  <c:v>0.19</c:v>
                </c:pt>
                <c:pt idx="162">
                  <c:v>0.18</c:v>
                </c:pt>
                <c:pt idx="163">
                  <c:v>1.13</c:v>
                </c:pt>
                <c:pt idx="164">
                  <c:v>1.91</c:v>
                </c:pt>
                <c:pt idx="165">
                  <c:v>1.44</c:v>
                </c:pt>
                <c:pt idx="166">
                  <c:v>0.15</c:v>
                </c:pt>
                <c:pt idx="167">
                  <c:v>2.47</c:v>
                </c:pt>
                <c:pt idx="168">
                  <c:v>8.6</c:v>
                </c:pt>
                <c:pt idx="169">
                  <c:v>10.5</c:v>
                </c:pt>
                <c:pt idx="170">
                  <c:v>7.31</c:v>
                </c:pt>
                <c:pt idx="171">
                  <c:v>3.37</c:v>
                </c:pt>
                <c:pt idx="172">
                  <c:v>1.58</c:v>
                </c:pt>
                <c:pt idx="173">
                  <c:v>2.12</c:v>
                </c:pt>
                <c:pt idx="174">
                  <c:v>2.6</c:v>
                </c:pt>
                <c:pt idx="175">
                  <c:v>3.84</c:v>
                </c:pt>
                <c:pt idx="176">
                  <c:v>3.48</c:v>
                </c:pt>
                <c:pt idx="177">
                  <c:v>3.41</c:v>
                </c:pt>
                <c:pt idx="178">
                  <c:v>2.33</c:v>
                </c:pt>
                <c:pt idx="179">
                  <c:v>2.39</c:v>
                </c:pt>
                <c:pt idx="180">
                  <c:v>2.46</c:v>
                </c:pt>
                <c:pt idx="181">
                  <c:v>2.76</c:v>
                </c:pt>
                <c:pt idx="182">
                  <c:v>2.78</c:v>
                </c:pt>
                <c:pt idx="183">
                  <c:v>2.57</c:v>
                </c:pt>
                <c:pt idx="184">
                  <c:v>2.43</c:v>
                </c:pt>
                <c:pt idx="185">
                  <c:v>2.08</c:v>
                </c:pt>
                <c:pt idx="186">
                  <c:v>1.95</c:v>
                </c:pt>
                <c:pt idx="187">
                  <c:v>2.27</c:v>
                </c:pt>
                <c:pt idx="188">
                  <c:v>2.22</c:v>
                </c:pt>
                <c:pt idx="189">
                  <c:v>1.94</c:v>
                </c:pt>
                <c:pt idx="190">
                  <c:v>2.05</c:v>
                </c:pt>
                <c:pt idx="191">
                  <c:v>2.5</c:v>
                </c:pt>
                <c:pt idx="192">
                  <c:v>2.85</c:v>
                </c:pt>
                <c:pt idx="193">
                  <c:v>2.14</c:v>
                </c:pt>
                <c:pt idx="194">
                  <c:v>3.3</c:v>
                </c:pt>
                <c:pt idx="195">
                  <c:v>4.08</c:v>
                </c:pt>
                <c:pt idx="196">
                  <c:v>4.49</c:v>
                </c:pt>
                <c:pt idx="197">
                  <c:v>5.71</c:v>
                </c:pt>
                <c:pt idx="198">
                  <c:v>1.76</c:v>
                </c:pt>
                <c:pt idx="199">
                  <c:v>1.94</c:v>
                </c:pt>
                <c:pt idx="200">
                  <c:v>3.97</c:v>
                </c:pt>
                <c:pt idx="201">
                  <c:v>3.78</c:v>
                </c:pt>
                <c:pt idx="202">
                  <c:v>5.38</c:v>
                </c:pt>
                <c:pt idx="203">
                  <c:v>3.55</c:v>
                </c:pt>
                <c:pt idx="204">
                  <c:v>2.55</c:v>
                </c:pt>
                <c:pt idx="205">
                  <c:v>2.04</c:v>
                </c:pt>
                <c:pt idx="206">
                  <c:v>2.6</c:v>
                </c:pt>
                <c:pt idx="207">
                  <c:v>1.75</c:v>
                </c:pt>
                <c:pt idx="208">
                  <c:v>2.79</c:v>
                </c:pt>
                <c:pt idx="209">
                  <c:v>3.43</c:v>
                </c:pt>
                <c:pt idx="210">
                  <c:v>3.24</c:v>
                </c:pt>
                <c:pt idx="211">
                  <c:v>3.71</c:v>
                </c:pt>
                <c:pt idx="212">
                  <c:v>3.26</c:v>
                </c:pt>
                <c:pt idx="213">
                  <c:v>3.51</c:v>
                </c:pt>
                <c:pt idx="214">
                  <c:v>4.29</c:v>
                </c:pt>
                <c:pt idx="215">
                  <c:v>4.49</c:v>
                </c:pt>
                <c:pt idx="216">
                  <c:v>4.55</c:v>
                </c:pt>
                <c:pt idx="217">
                  <c:v>1.87</c:v>
                </c:pt>
                <c:pt idx="218">
                  <c:v>0.93</c:v>
                </c:pt>
                <c:pt idx="219">
                  <c:v>0.65</c:v>
                </c:pt>
                <c:pt idx="220">
                  <c:v>0.59</c:v>
                </c:pt>
                <c:pt idx="221">
                  <c:v>3.04</c:v>
                </c:pt>
                <c:pt idx="222">
                  <c:v>0.88</c:v>
                </c:pt>
                <c:pt idx="223">
                  <c:v>0.8</c:v>
                </c:pt>
                <c:pt idx="224">
                  <c:v>1.23</c:v>
                </c:pt>
                <c:pt idx="225">
                  <c:v>1.12</c:v>
                </c:pt>
                <c:pt idx="226">
                  <c:v>0.88</c:v>
                </c:pt>
                <c:pt idx="227">
                  <c:v>0.94</c:v>
                </c:pt>
                <c:pt idx="228">
                  <c:v>0.58</c:v>
                </c:pt>
                <c:pt idx="229">
                  <c:v>0.52</c:v>
                </c:pt>
                <c:pt idx="230">
                  <c:v>4.03</c:v>
                </c:pt>
                <c:pt idx="231">
                  <c:v>4.41</c:v>
                </c:pt>
                <c:pt idx="232">
                  <c:v>6.12</c:v>
                </c:pt>
                <c:pt idx="233">
                  <c:v>2.91</c:v>
                </c:pt>
                <c:pt idx="234">
                  <c:v>5.02</c:v>
                </c:pt>
                <c:pt idx="235">
                  <c:v>2.55</c:v>
                </c:pt>
                <c:pt idx="236">
                  <c:v>1.6</c:v>
                </c:pt>
                <c:pt idx="237">
                  <c:v>2.24</c:v>
                </c:pt>
                <c:pt idx="238">
                  <c:v>2.38</c:v>
                </c:pt>
                <c:pt idx="239">
                  <c:v>1.47</c:v>
                </c:pt>
                <c:pt idx="240">
                  <c:v>3.34</c:v>
                </c:pt>
                <c:pt idx="241">
                  <c:v>3.28</c:v>
                </c:pt>
                <c:pt idx="242">
                  <c:v>3.58</c:v>
                </c:pt>
                <c:pt idx="243">
                  <c:v>4.58</c:v>
                </c:pt>
                <c:pt idx="244">
                  <c:v>3.54</c:v>
                </c:pt>
                <c:pt idx="245">
                  <c:v>3.86</c:v>
                </c:pt>
              </c:numCache>
            </c:numRef>
          </c:xVal>
          <c:yVal>
            <c:numRef>
              <c:f>Sheet1!$B$2:$B$247</c:f>
              <c:numCache>
                <c:formatCode>General</c:formatCode>
                <c:ptCount val="246"/>
                <c:pt idx="0">
                  <c:v>-4.76</c:v>
                </c:pt>
                <c:pt idx="1">
                  <c:v>-0.22</c:v>
                </c:pt>
                <c:pt idx="2">
                  <c:v>3.24</c:v>
                </c:pt>
                <c:pt idx="3">
                  <c:v>4.34</c:v>
                </c:pt>
                <c:pt idx="4">
                  <c:v>0.94</c:v>
                </c:pt>
                <c:pt idx="5">
                  <c:v>4.75</c:v>
                </c:pt>
                <c:pt idx="6">
                  <c:v>3.89</c:v>
                </c:pt>
                <c:pt idx="7">
                  <c:v>3.94</c:v>
                </c:pt>
                <c:pt idx="8">
                  <c:v>0.89</c:v>
                </c:pt>
                <c:pt idx="9">
                  <c:v>1.81</c:v>
                </c:pt>
                <c:pt idx="10">
                  <c:v>3.26</c:v>
                </c:pt>
                <c:pt idx="11">
                  <c:v>3.93</c:v>
                </c:pt>
                <c:pt idx="12">
                  <c:v>4.26</c:v>
                </c:pt>
                <c:pt idx="13">
                  <c:v>-0.48</c:v>
                </c:pt>
                <c:pt idx="14">
                  <c:v>4.09</c:v>
                </c:pt>
                <c:pt idx="15">
                  <c:v>1.84</c:v>
                </c:pt>
                <c:pt idx="16">
                  <c:v>4.05</c:v>
                </c:pt>
                <c:pt idx="17">
                  <c:v>3.91</c:v>
                </c:pt>
                <c:pt idx="18">
                  <c:v>5.3</c:v>
                </c:pt>
                <c:pt idx="19">
                  <c:v>4.38</c:v>
                </c:pt>
                <c:pt idx="20">
                  <c:v>4.87</c:v>
                </c:pt>
                <c:pt idx="21">
                  <c:v>5.11</c:v>
                </c:pt>
                <c:pt idx="22">
                  <c:v>0.09</c:v>
                </c:pt>
                <c:pt idx="23">
                  <c:v>9.32</c:v>
                </c:pt>
                <c:pt idx="24">
                  <c:v>5.0</c:v>
                </c:pt>
                <c:pt idx="25">
                  <c:v>3.87</c:v>
                </c:pt>
                <c:pt idx="26">
                  <c:v>7.51</c:v>
                </c:pt>
                <c:pt idx="27">
                  <c:v>4.8</c:v>
                </c:pt>
                <c:pt idx="28">
                  <c:v>5.42</c:v>
                </c:pt>
                <c:pt idx="29">
                  <c:v>6.18</c:v>
                </c:pt>
                <c:pt idx="30">
                  <c:v>6.1</c:v>
                </c:pt>
                <c:pt idx="31">
                  <c:v>6.56</c:v>
                </c:pt>
                <c:pt idx="32">
                  <c:v>6.28</c:v>
                </c:pt>
                <c:pt idx="33">
                  <c:v>6.62</c:v>
                </c:pt>
                <c:pt idx="34">
                  <c:v>8.04</c:v>
                </c:pt>
                <c:pt idx="35">
                  <c:v>7.7</c:v>
                </c:pt>
                <c:pt idx="36">
                  <c:v>9.13</c:v>
                </c:pt>
                <c:pt idx="37">
                  <c:v>9.22</c:v>
                </c:pt>
                <c:pt idx="38">
                  <c:v>7.97</c:v>
                </c:pt>
                <c:pt idx="39">
                  <c:v>4.66</c:v>
                </c:pt>
                <c:pt idx="40">
                  <c:v>6.68</c:v>
                </c:pt>
                <c:pt idx="41">
                  <c:v>4.76</c:v>
                </c:pt>
                <c:pt idx="42">
                  <c:v>4.96</c:v>
                </c:pt>
                <c:pt idx="43">
                  <c:v>4.65</c:v>
                </c:pt>
                <c:pt idx="44">
                  <c:v>5.26</c:v>
                </c:pt>
                <c:pt idx="45">
                  <c:v>6.26</c:v>
                </c:pt>
                <c:pt idx="46">
                  <c:v>5.88</c:v>
                </c:pt>
                <c:pt idx="47">
                  <c:v>5.58</c:v>
                </c:pt>
                <c:pt idx="48">
                  <c:v>0.29</c:v>
                </c:pt>
                <c:pt idx="49">
                  <c:v>0.88</c:v>
                </c:pt>
                <c:pt idx="50">
                  <c:v>0.15</c:v>
                </c:pt>
                <c:pt idx="51">
                  <c:v>-0.8</c:v>
                </c:pt>
                <c:pt idx="52">
                  <c:v>0.18</c:v>
                </c:pt>
                <c:pt idx="53">
                  <c:v>0.18</c:v>
                </c:pt>
                <c:pt idx="54">
                  <c:v>0.15</c:v>
                </c:pt>
                <c:pt idx="55">
                  <c:v>0.0</c:v>
                </c:pt>
                <c:pt idx="56">
                  <c:v>-9.84</c:v>
                </c:pt>
                <c:pt idx="57">
                  <c:v>-1.85</c:v>
                </c:pt>
                <c:pt idx="58">
                  <c:v>0.3</c:v>
                </c:pt>
                <c:pt idx="59">
                  <c:v>1.03</c:v>
                </c:pt>
                <c:pt idx="60">
                  <c:v>0.41</c:v>
                </c:pt>
                <c:pt idx="61">
                  <c:v>4.03</c:v>
                </c:pt>
                <c:pt idx="62">
                  <c:v>5.52</c:v>
                </c:pt>
                <c:pt idx="63">
                  <c:v>5.79</c:v>
                </c:pt>
                <c:pt idx="64">
                  <c:v>5.08</c:v>
                </c:pt>
                <c:pt idx="65">
                  <c:v>5.92</c:v>
                </c:pt>
                <c:pt idx="66">
                  <c:v>6.66</c:v>
                </c:pt>
                <c:pt idx="67">
                  <c:v>7.88</c:v>
                </c:pt>
                <c:pt idx="68">
                  <c:v>5.59</c:v>
                </c:pt>
                <c:pt idx="69">
                  <c:v>5.98</c:v>
                </c:pt>
                <c:pt idx="70">
                  <c:v>6.16</c:v>
                </c:pt>
                <c:pt idx="71">
                  <c:v>5.96</c:v>
                </c:pt>
                <c:pt idx="72">
                  <c:v>5.59</c:v>
                </c:pt>
                <c:pt idx="73">
                  <c:v>5.4</c:v>
                </c:pt>
                <c:pt idx="74">
                  <c:v>5.36</c:v>
                </c:pt>
                <c:pt idx="75">
                  <c:v>5.71</c:v>
                </c:pt>
                <c:pt idx="76">
                  <c:v>5.11</c:v>
                </c:pt>
                <c:pt idx="77">
                  <c:v>10.2</c:v>
                </c:pt>
                <c:pt idx="78">
                  <c:v>-4.34</c:v>
                </c:pt>
                <c:pt idx="79">
                  <c:v>3.55</c:v>
                </c:pt>
                <c:pt idx="80">
                  <c:v>3.45</c:v>
                </c:pt>
                <c:pt idx="81">
                  <c:v>1.57</c:v>
                </c:pt>
                <c:pt idx="82">
                  <c:v>7.61</c:v>
                </c:pt>
                <c:pt idx="83">
                  <c:v>-0.82</c:v>
                </c:pt>
                <c:pt idx="84">
                  <c:v>2.89</c:v>
                </c:pt>
                <c:pt idx="85">
                  <c:v>1.62</c:v>
                </c:pt>
                <c:pt idx="86">
                  <c:v>2.22</c:v>
                </c:pt>
                <c:pt idx="87">
                  <c:v>2.18</c:v>
                </c:pt>
                <c:pt idx="88">
                  <c:v>3.05</c:v>
                </c:pt>
                <c:pt idx="89">
                  <c:v>2.24</c:v>
                </c:pt>
                <c:pt idx="90">
                  <c:v>2.2</c:v>
                </c:pt>
                <c:pt idx="91">
                  <c:v>1.88</c:v>
                </c:pt>
                <c:pt idx="92">
                  <c:v>-2.41</c:v>
                </c:pt>
                <c:pt idx="93">
                  <c:v>5.44</c:v>
                </c:pt>
                <c:pt idx="94">
                  <c:v>5.03</c:v>
                </c:pt>
                <c:pt idx="95">
                  <c:v>4.88</c:v>
                </c:pt>
                <c:pt idx="96">
                  <c:v>2.14</c:v>
                </c:pt>
                <c:pt idx="97">
                  <c:v>5.98</c:v>
                </c:pt>
                <c:pt idx="98">
                  <c:v>2.28</c:v>
                </c:pt>
                <c:pt idx="99">
                  <c:v>8.22</c:v>
                </c:pt>
                <c:pt idx="100">
                  <c:v>3.81</c:v>
                </c:pt>
                <c:pt idx="101">
                  <c:v>5.37</c:v>
                </c:pt>
                <c:pt idx="102">
                  <c:v>4.55</c:v>
                </c:pt>
                <c:pt idx="103">
                  <c:v>4.52</c:v>
                </c:pt>
                <c:pt idx="104">
                  <c:v>4.04</c:v>
                </c:pt>
                <c:pt idx="105">
                  <c:v>4.84</c:v>
                </c:pt>
                <c:pt idx="106">
                  <c:v>3.45</c:v>
                </c:pt>
                <c:pt idx="107">
                  <c:v>4.34</c:v>
                </c:pt>
                <c:pt idx="108">
                  <c:v>2.65</c:v>
                </c:pt>
                <c:pt idx="109">
                  <c:v>-2.23</c:v>
                </c:pt>
                <c:pt idx="110">
                  <c:v>3.13</c:v>
                </c:pt>
                <c:pt idx="111">
                  <c:v>0.03</c:v>
                </c:pt>
                <c:pt idx="112">
                  <c:v>1.56</c:v>
                </c:pt>
                <c:pt idx="113">
                  <c:v>-0.02</c:v>
                </c:pt>
                <c:pt idx="114">
                  <c:v>-3.33</c:v>
                </c:pt>
                <c:pt idx="115">
                  <c:v>-0.24</c:v>
                </c:pt>
                <c:pt idx="116">
                  <c:v>-2.86</c:v>
                </c:pt>
                <c:pt idx="117">
                  <c:v>3.91</c:v>
                </c:pt>
                <c:pt idx="118">
                  <c:v>2.26</c:v>
                </c:pt>
                <c:pt idx="119">
                  <c:v>1.97</c:v>
                </c:pt>
                <c:pt idx="120">
                  <c:v>2.42</c:v>
                </c:pt>
                <c:pt idx="121">
                  <c:v>3.15</c:v>
                </c:pt>
                <c:pt idx="122">
                  <c:v>3.08</c:v>
                </c:pt>
                <c:pt idx="123">
                  <c:v>4.28</c:v>
                </c:pt>
                <c:pt idx="124">
                  <c:v>5.06</c:v>
                </c:pt>
                <c:pt idx="125">
                  <c:v>4.7</c:v>
                </c:pt>
                <c:pt idx="126">
                  <c:v>5.35</c:v>
                </c:pt>
                <c:pt idx="127">
                  <c:v>4.59</c:v>
                </c:pt>
                <c:pt idx="128">
                  <c:v>5.94</c:v>
                </c:pt>
                <c:pt idx="129">
                  <c:v>5.88</c:v>
                </c:pt>
                <c:pt idx="130">
                  <c:v>5.16</c:v>
                </c:pt>
                <c:pt idx="131">
                  <c:v>6.12</c:v>
                </c:pt>
                <c:pt idx="132">
                  <c:v>5.9</c:v>
                </c:pt>
                <c:pt idx="133">
                  <c:v>5.68</c:v>
                </c:pt>
                <c:pt idx="134">
                  <c:v>6.07</c:v>
                </c:pt>
                <c:pt idx="135">
                  <c:v>3.57</c:v>
                </c:pt>
                <c:pt idx="136">
                  <c:v>7.13</c:v>
                </c:pt>
                <c:pt idx="137">
                  <c:v>5.21</c:v>
                </c:pt>
                <c:pt idx="138">
                  <c:v>4.09</c:v>
                </c:pt>
                <c:pt idx="139">
                  <c:v>4.76</c:v>
                </c:pt>
                <c:pt idx="140">
                  <c:v>4.1</c:v>
                </c:pt>
                <c:pt idx="141">
                  <c:v>5.06</c:v>
                </c:pt>
                <c:pt idx="142">
                  <c:v>5.09</c:v>
                </c:pt>
                <c:pt idx="143">
                  <c:v>3.62</c:v>
                </c:pt>
                <c:pt idx="144">
                  <c:v>3.17</c:v>
                </c:pt>
                <c:pt idx="145">
                  <c:v>1.9</c:v>
                </c:pt>
                <c:pt idx="146">
                  <c:v>2.02</c:v>
                </c:pt>
                <c:pt idx="147">
                  <c:v>6.13</c:v>
                </c:pt>
                <c:pt idx="148">
                  <c:v>-1.03</c:v>
                </c:pt>
                <c:pt idx="149">
                  <c:v>4.32</c:v>
                </c:pt>
                <c:pt idx="150">
                  <c:v>4.62</c:v>
                </c:pt>
                <c:pt idx="151">
                  <c:v>5.35</c:v>
                </c:pt>
                <c:pt idx="152">
                  <c:v>6.36</c:v>
                </c:pt>
                <c:pt idx="153">
                  <c:v>4.91</c:v>
                </c:pt>
                <c:pt idx="154">
                  <c:v>5.24</c:v>
                </c:pt>
                <c:pt idx="155">
                  <c:v>5.04</c:v>
                </c:pt>
                <c:pt idx="156">
                  <c:v>6.21</c:v>
                </c:pt>
                <c:pt idx="157">
                  <c:v>6.21</c:v>
                </c:pt>
                <c:pt idx="158">
                  <c:v>5.13</c:v>
                </c:pt>
                <c:pt idx="159">
                  <c:v>5.92</c:v>
                </c:pt>
                <c:pt idx="160">
                  <c:v>7.11</c:v>
                </c:pt>
                <c:pt idx="161">
                  <c:v>7.73</c:v>
                </c:pt>
                <c:pt idx="162">
                  <c:v>5.29</c:v>
                </c:pt>
                <c:pt idx="163">
                  <c:v>6.41</c:v>
                </c:pt>
                <c:pt idx="164">
                  <c:v>5.2</c:v>
                </c:pt>
                <c:pt idx="165">
                  <c:v>5.82</c:v>
                </c:pt>
                <c:pt idx="166">
                  <c:v>5.36</c:v>
                </c:pt>
                <c:pt idx="167">
                  <c:v>-3.69</c:v>
                </c:pt>
                <c:pt idx="168">
                  <c:v>5.45</c:v>
                </c:pt>
                <c:pt idx="169">
                  <c:v>-1.4</c:v>
                </c:pt>
                <c:pt idx="170">
                  <c:v>0.16</c:v>
                </c:pt>
                <c:pt idx="171">
                  <c:v>-2.78</c:v>
                </c:pt>
                <c:pt idx="172">
                  <c:v>2.42</c:v>
                </c:pt>
                <c:pt idx="173">
                  <c:v>1.59</c:v>
                </c:pt>
                <c:pt idx="174">
                  <c:v>1.31</c:v>
                </c:pt>
                <c:pt idx="175">
                  <c:v>-0.43</c:v>
                </c:pt>
                <c:pt idx="176">
                  <c:v>-0.5</c:v>
                </c:pt>
                <c:pt idx="177">
                  <c:v>1.02</c:v>
                </c:pt>
                <c:pt idx="178">
                  <c:v>2.0</c:v>
                </c:pt>
                <c:pt idx="179">
                  <c:v>0.05</c:v>
                </c:pt>
                <c:pt idx="180">
                  <c:v>0.16</c:v>
                </c:pt>
                <c:pt idx="181">
                  <c:v>0.26</c:v>
                </c:pt>
                <c:pt idx="182">
                  <c:v>2.73</c:v>
                </c:pt>
                <c:pt idx="183">
                  <c:v>-9.84</c:v>
                </c:pt>
                <c:pt idx="184">
                  <c:v>-9.64</c:v>
                </c:pt>
                <c:pt idx="185">
                  <c:v>-0.26</c:v>
                </c:pt>
                <c:pt idx="186">
                  <c:v>0.66</c:v>
                </c:pt>
                <c:pt idx="187">
                  <c:v>1.87</c:v>
                </c:pt>
                <c:pt idx="188">
                  <c:v>-0.59</c:v>
                </c:pt>
                <c:pt idx="189">
                  <c:v>2.72</c:v>
                </c:pt>
                <c:pt idx="190">
                  <c:v>6.17</c:v>
                </c:pt>
                <c:pt idx="191">
                  <c:v>4.76</c:v>
                </c:pt>
                <c:pt idx="192">
                  <c:v>6.73</c:v>
                </c:pt>
                <c:pt idx="193">
                  <c:v>3.09</c:v>
                </c:pt>
                <c:pt idx="194">
                  <c:v>1.18</c:v>
                </c:pt>
                <c:pt idx="195">
                  <c:v>2.14</c:v>
                </c:pt>
                <c:pt idx="196">
                  <c:v>-2.01</c:v>
                </c:pt>
                <c:pt idx="197">
                  <c:v>-0.83</c:v>
                </c:pt>
                <c:pt idx="198">
                  <c:v>7.43</c:v>
                </c:pt>
                <c:pt idx="199">
                  <c:v>10.2</c:v>
                </c:pt>
                <c:pt idx="200">
                  <c:v>8.6</c:v>
                </c:pt>
                <c:pt idx="201">
                  <c:v>5.32</c:v>
                </c:pt>
                <c:pt idx="202">
                  <c:v>8.15</c:v>
                </c:pt>
                <c:pt idx="203">
                  <c:v>10.2</c:v>
                </c:pt>
                <c:pt idx="204">
                  <c:v>10.0</c:v>
                </c:pt>
                <c:pt idx="205">
                  <c:v>9.01</c:v>
                </c:pt>
                <c:pt idx="206">
                  <c:v>7.99</c:v>
                </c:pt>
                <c:pt idx="207">
                  <c:v>8.15</c:v>
                </c:pt>
                <c:pt idx="208">
                  <c:v>6.03</c:v>
                </c:pt>
                <c:pt idx="209">
                  <c:v>9.6</c:v>
                </c:pt>
                <c:pt idx="210">
                  <c:v>6.97</c:v>
                </c:pt>
                <c:pt idx="211">
                  <c:v>6.44</c:v>
                </c:pt>
                <c:pt idx="212">
                  <c:v>6.68</c:v>
                </c:pt>
                <c:pt idx="213">
                  <c:v>7.3</c:v>
                </c:pt>
                <c:pt idx="214">
                  <c:v>3.21</c:v>
                </c:pt>
                <c:pt idx="215">
                  <c:v>10.2</c:v>
                </c:pt>
                <c:pt idx="216">
                  <c:v>10.19</c:v>
                </c:pt>
                <c:pt idx="217">
                  <c:v>0.75</c:v>
                </c:pt>
                <c:pt idx="218">
                  <c:v>6.86</c:v>
                </c:pt>
                <c:pt idx="219">
                  <c:v>7.2</c:v>
                </c:pt>
                <c:pt idx="220">
                  <c:v>3.32</c:v>
                </c:pt>
                <c:pt idx="221">
                  <c:v>1.01</c:v>
                </c:pt>
                <c:pt idx="222">
                  <c:v>7.88</c:v>
                </c:pt>
                <c:pt idx="223">
                  <c:v>5.21</c:v>
                </c:pt>
                <c:pt idx="224">
                  <c:v>6.92</c:v>
                </c:pt>
                <c:pt idx="225">
                  <c:v>4.05</c:v>
                </c:pt>
                <c:pt idx="226">
                  <c:v>8.83</c:v>
                </c:pt>
                <c:pt idx="227">
                  <c:v>7.84</c:v>
                </c:pt>
                <c:pt idx="228">
                  <c:v>6.59</c:v>
                </c:pt>
                <c:pt idx="229">
                  <c:v>2.88</c:v>
                </c:pt>
                <c:pt idx="230">
                  <c:v>3.77</c:v>
                </c:pt>
                <c:pt idx="231">
                  <c:v>5.76</c:v>
                </c:pt>
                <c:pt idx="232">
                  <c:v>1.89</c:v>
                </c:pt>
                <c:pt idx="233">
                  <c:v>5.07</c:v>
                </c:pt>
                <c:pt idx="234">
                  <c:v>2.45</c:v>
                </c:pt>
                <c:pt idx="235">
                  <c:v>-0.1</c:v>
                </c:pt>
                <c:pt idx="236">
                  <c:v>4.25</c:v>
                </c:pt>
                <c:pt idx="237">
                  <c:v>2.46</c:v>
                </c:pt>
                <c:pt idx="238">
                  <c:v>2.38</c:v>
                </c:pt>
                <c:pt idx="239">
                  <c:v>1.97</c:v>
                </c:pt>
                <c:pt idx="240">
                  <c:v>2.96</c:v>
                </c:pt>
                <c:pt idx="241">
                  <c:v>1.53</c:v>
                </c:pt>
                <c:pt idx="242">
                  <c:v>1.07</c:v>
                </c:pt>
                <c:pt idx="243">
                  <c:v>2.02</c:v>
                </c:pt>
                <c:pt idx="244">
                  <c:v>3.11</c:v>
                </c:pt>
                <c:pt idx="245">
                  <c:v>1.11</c:v>
                </c:pt>
              </c:numCache>
            </c:numRef>
          </c:yVal>
          <c:smooth val="0"/>
        </c:ser>
        <c:ser>
          <c:idx val="1"/>
          <c:order val="1"/>
          <c:tx>
            <c:strRef>
              <c:f>Sheet1!$D$1</c:f>
              <c:strCache>
                <c:ptCount val="1"/>
                <c:pt idx="0">
                  <c:v>Davlat ulushi mavjud banklar (148 ta kuzatuv)</c:v>
                </c:pt>
              </c:strCache>
            </c:strRef>
          </c:tx>
          <c:spPr>
            <a:ln>
              <a:noFill/>
            </a:ln>
          </c:spPr>
          <c:marker>
            <c:symbol val="circle"/>
            <c:size val="5"/>
            <c:spPr>
              <a:solidFill>
                <a:srgbClr val="C00000"/>
              </a:solidFill>
              <a:ln>
                <a:noFill/>
              </a:ln>
            </c:spPr>
          </c:marker>
          <c:xVal>
            <c:numRef>
              <c:f>Sheet1!$C$2:$C$149</c:f>
              <c:numCache>
                <c:formatCode>General</c:formatCode>
                <c:ptCount val="148"/>
                <c:pt idx="0">
                  <c:v>4.5</c:v>
                </c:pt>
                <c:pt idx="1">
                  <c:v>4.53</c:v>
                </c:pt>
                <c:pt idx="2">
                  <c:v>4.6</c:v>
                </c:pt>
                <c:pt idx="3">
                  <c:v>3.84</c:v>
                </c:pt>
                <c:pt idx="4">
                  <c:v>3.99</c:v>
                </c:pt>
                <c:pt idx="5">
                  <c:v>3.79</c:v>
                </c:pt>
                <c:pt idx="6">
                  <c:v>3.55</c:v>
                </c:pt>
                <c:pt idx="7">
                  <c:v>3.8</c:v>
                </c:pt>
                <c:pt idx="8">
                  <c:v>3.75</c:v>
                </c:pt>
                <c:pt idx="9">
                  <c:v>3.43</c:v>
                </c:pt>
                <c:pt idx="10">
                  <c:v>3.46</c:v>
                </c:pt>
                <c:pt idx="11">
                  <c:v>4.88</c:v>
                </c:pt>
                <c:pt idx="12">
                  <c:v>4.49</c:v>
                </c:pt>
                <c:pt idx="13">
                  <c:v>3.78</c:v>
                </c:pt>
                <c:pt idx="14">
                  <c:v>3.36</c:v>
                </c:pt>
                <c:pt idx="15">
                  <c:v>3.33</c:v>
                </c:pt>
                <c:pt idx="16">
                  <c:v>3.36</c:v>
                </c:pt>
                <c:pt idx="17">
                  <c:v>3.18</c:v>
                </c:pt>
                <c:pt idx="18">
                  <c:v>3.24</c:v>
                </c:pt>
                <c:pt idx="19">
                  <c:v>2.03</c:v>
                </c:pt>
                <c:pt idx="20">
                  <c:v>1.78</c:v>
                </c:pt>
                <c:pt idx="21">
                  <c:v>1.47</c:v>
                </c:pt>
                <c:pt idx="22">
                  <c:v>2.38</c:v>
                </c:pt>
                <c:pt idx="23">
                  <c:v>1.52</c:v>
                </c:pt>
                <c:pt idx="24">
                  <c:v>3.99</c:v>
                </c:pt>
                <c:pt idx="25">
                  <c:v>4.09</c:v>
                </c:pt>
                <c:pt idx="26">
                  <c:v>2.81</c:v>
                </c:pt>
                <c:pt idx="27">
                  <c:v>1.87</c:v>
                </c:pt>
                <c:pt idx="28">
                  <c:v>2.57</c:v>
                </c:pt>
                <c:pt idx="29">
                  <c:v>2.42</c:v>
                </c:pt>
                <c:pt idx="30">
                  <c:v>2.37</c:v>
                </c:pt>
                <c:pt idx="31">
                  <c:v>2.54</c:v>
                </c:pt>
                <c:pt idx="32">
                  <c:v>4.77</c:v>
                </c:pt>
                <c:pt idx="33">
                  <c:v>4.76</c:v>
                </c:pt>
                <c:pt idx="34">
                  <c:v>4.75</c:v>
                </c:pt>
                <c:pt idx="35">
                  <c:v>4.65</c:v>
                </c:pt>
                <c:pt idx="36">
                  <c:v>4.37</c:v>
                </c:pt>
                <c:pt idx="37">
                  <c:v>4.24</c:v>
                </c:pt>
                <c:pt idx="38">
                  <c:v>4.41</c:v>
                </c:pt>
                <c:pt idx="39">
                  <c:v>4.41</c:v>
                </c:pt>
                <c:pt idx="40">
                  <c:v>4.61</c:v>
                </c:pt>
                <c:pt idx="41">
                  <c:v>4.65</c:v>
                </c:pt>
                <c:pt idx="42">
                  <c:v>4.77</c:v>
                </c:pt>
                <c:pt idx="43">
                  <c:v>4.53</c:v>
                </c:pt>
                <c:pt idx="44">
                  <c:v>4.72</c:v>
                </c:pt>
                <c:pt idx="45">
                  <c:v>4.55</c:v>
                </c:pt>
                <c:pt idx="46">
                  <c:v>4.71</c:v>
                </c:pt>
                <c:pt idx="47">
                  <c:v>3.62</c:v>
                </c:pt>
                <c:pt idx="48">
                  <c:v>4.93</c:v>
                </c:pt>
                <c:pt idx="49">
                  <c:v>4.89</c:v>
                </c:pt>
                <c:pt idx="50">
                  <c:v>4.51</c:v>
                </c:pt>
                <c:pt idx="51">
                  <c:v>4.49</c:v>
                </c:pt>
                <c:pt idx="52">
                  <c:v>4.5</c:v>
                </c:pt>
                <c:pt idx="53">
                  <c:v>4.17</c:v>
                </c:pt>
                <c:pt idx="54">
                  <c:v>8.88</c:v>
                </c:pt>
                <c:pt idx="55">
                  <c:v>16.07</c:v>
                </c:pt>
                <c:pt idx="56">
                  <c:v>12.47</c:v>
                </c:pt>
                <c:pt idx="57">
                  <c:v>10.85</c:v>
                </c:pt>
                <c:pt idx="58">
                  <c:v>8.5</c:v>
                </c:pt>
                <c:pt idx="59">
                  <c:v>8.05</c:v>
                </c:pt>
                <c:pt idx="60">
                  <c:v>6.1</c:v>
                </c:pt>
                <c:pt idx="61">
                  <c:v>5.94</c:v>
                </c:pt>
                <c:pt idx="62">
                  <c:v>4.52</c:v>
                </c:pt>
                <c:pt idx="63">
                  <c:v>3.01</c:v>
                </c:pt>
                <c:pt idx="64">
                  <c:v>2.88</c:v>
                </c:pt>
                <c:pt idx="65">
                  <c:v>2.82</c:v>
                </c:pt>
                <c:pt idx="66">
                  <c:v>2.48</c:v>
                </c:pt>
                <c:pt idx="67">
                  <c:v>2.97</c:v>
                </c:pt>
                <c:pt idx="68">
                  <c:v>3.19</c:v>
                </c:pt>
                <c:pt idx="69">
                  <c:v>5.97</c:v>
                </c:pt>
                <c:pt idx="70">
                  <c:v>5.91</c:v>
                </c:pt>
                <c:pt idx="71">
                  <c:v>5.57</c:v>
                </c:pt>
                <c:pt idx="72">
                  <c:v>4.77</c:v>
                </c:pt>
                <c:pt idx="73">
                  <c:v>5.36</c:v>
                </c:pt>
                <c:pt idx="74">
                  <c:v>5.18</c:v>
                </c:pt>
                <c:pt idx="75">
                  <c:v>5.14</c:v>
                </c:pt>
                <c:pt idx="76">
                  <c:v>5.99</c:v>
                </c:pt>
                <c:pt idx="77">
                  <c:v>6.7</c:v>
                </c:pt>
                <c:pt idx="78">
                  <c:v>6.81</c:v>
                </c:pt>
                <c:pt idx="79">
                  <c:v>6.7</c:v>
                </c:pt>
                <c:pt idx="80">
                  <c:v>4.62</c:v>
                </c:pt>
                <c:pt idx="81">
                  <c:v>6.61</c:v>
                </c:pt>
                <c:pt idx="82">
                  <c:v>6.01</c:v>
                </c:pt>
                <c:pt idx="83">
                  <c:v>4.91</c:v>
                </c:pt>
                <c:pt idx="84">
                  <c:v>4.41</c:v>
                </c:pt>
                <c:pt idx="85">
                  <c:v>4.24</c:v>
                </c:pt>
                <c:pt idx="86">
                  <c:v>4.13</c:v>
                </c:pt>
                <c:pt idx="87">
                  <c:v>3.81</c:v>
                </c:pt>
                <c:pt idx="88">
                  <c:v>2.88</c:v>
                </c:pt>
                <c:pt idx="89">
                  <c:v>2.84</c:v>
                </c:pt>
                <c:pt idx="90">
                  <c:v>3.21</c:v>
                </c:pt>
                <c:pt idx="91">
                  <c:v>3.12</c:v>
                </c:pt>
                <c:pt idx="92">
                  <c:v>3.9</c:v>
                </c:pt>
                <c:pt idx="93">
                  <c:v>2.88</c:v>
                </c:pt>
                <c:pt idx="94">
                  <c:v>2.85</c:v>
                </c:pt>
                <c:pt idx="95">
                  <c:v>3.03</c:v>
                </c:pt>
                <c:pt idx="96">
                  <c:v>3.18</c:v>
                </c:pt>
                <c:pt idx="97">
                  <c:v>2.9</c:v>
                </c:pt>
                <c:pt idx="98">
                  <c:v>3.33</c:v>
                </c:pt>
                <c:pt idx="99">
                  <c:v>2.84</c:v>
                </c:pt>
                <c:pt idx="100">
                  <c:v>3.76</c:v>
                </c:pt>
                <c:pt idx="101">
                  <c:v>3.68</c:v>
                </c:pt>
                <c:pt idx="102">
                  <c:v>3.64</c:v>
                </c:pt>
                <c:pt idx="103">
                  <c:v>2.83</c:v>
                </c:pt>
                <c:pt idx="104">
                  <c:v>2.93</c:v>
                </c:pt>
                <c:pt idx="105">
                  <c:v>2.91</c:v>
                </c:pt>
                <c:pt idx="106">
                  <c:v>2.82</c:v>
                </c:pt>
                <c:pt idx="107">
                  <c:v>2.25</c:v>
                </c:pt>
                <c:pt idx="108">
                  <c:v>3.96</c:v>
                </c:pt>
                <c:pt idx="109">
                  <c:v>3.94</c:v>
                </c:pt>
                <c:pt idx="110">
                  <c:v>3.1</c:v>
                </c:pt>
                <c:pt idx="111">
                  <c:v>2.82</c:v>
                </c:pt>
                <c:pt idx="112">
                  <c:v>4.07</c:v>
                </c:pt>
                <c:pt idx="113">
                  <c:v>3.7</c:v>
                </c:pt>
                <c:pt idx="114">
                  <c:v>3.44</c:v>
                </c:pt>
                <c:pt idx="115">
                  <c:v>2.53</c:v>
                </c:pt>
                <c:pt idx="116">
                  <c:v>3.85</c:v>
                </c:pt>
                <c:pt idx="117">
                  <c:v>2.94</c:v>
                </c:pt>
                <c:pt idx="118">
                  <c:v>4.29</c:v>
                </c:pt>
                <c:pt idx="119">
                  <c:v>2.57</c:v>
                </c:pt>
                <c:pt idx="120">
                  <c:v>2.51</c:v>
                </c:pt>
                <c:pt idx="121">
                  <c:v>2.42</c:v>
                </c:pt>
                <c:pt idx="122">
                  <c:v>2.81</c:v>
                </c:pt>
                <c:pt idx="123">
                  <c:v>2.28</c:v>
                </c:pt>
                <c:pt idx="124">
                  <c:v>2.43</c:v>
                </c:pt>
                <c:pt idx="125">
                  <c:v>2.59</c:v>
                </c:pt>
                <c:pt idx="126">
                  <c:v>2.74</c:v>
                </c:pt>
                <c:pt idx="127">
                  <c:v>2.82</c:v>
                </c:pt>
                <c:pt idx="128">
                  <c:v>3.12</c:v>
                </c:pt>
                <c:pt idx="129">
                  <c:v>2.81</c:v>
                </c:pt>
                <c:pt idx="130">
                  <c:v>2.82</c:v>
                </c:pt>
                <c:pt idx="131">
                  <c:v>3.41</c:v>
                </c:pt>
                <c:pt idx="132">
                  <c:v>17.53</c:v>
                </c:pt>
                <c:pt idx="133">
                  <c:v>17.53</c:v>
                </c:pt>
                <c:pt idx="134">
                  <c:v>16.38</c:v>
                </c:pt>
                <c:pt idx="135">
                  <c:v>11.93</c:v>
                </c:pt>
                <c:pt idx="136">
                  <c:v>10.34</c:v>
                </c:pt>
                <c:pt idx="137">
                  <c:v>9.76</c:v>
                </c:pt>
                <c:pt idx="138">
                  <c:v>9.15</c:v>
                </c:pt>
                <c:pt idx="139">
                  <c:v>7.56</c:v>
                </c:pt>
                <c:pt idx="140">
                  <c:v>7.22</c:v>
                </c:pt>
                <c:pt idx="141">
                  <c:v>5.84</c:v>
                </c:pt>
                <c:pt idx="142">
                  <c:v>5.31</c:v>
                </c:pt>
                <c:pt idx="143">
                  <c:v>4.23</c:v>
                </c:pt>
                <c:pt idx="144">
                  <c:v>4.19</c:v>
                </c:pt>
                <c:pt idx="145">
                  <c:v>3.95</c:v>
                </c:pt>
                <c:pt idx="146">
                  <c:v>3.61</c:v>
                </c:pt>
                <c:pt idx="147">
                  <c:v>3.07</c:v>
                </c:pt>
              </c:numCache>
            </c:numRef>
          </c:xVal>
          <c:yVal>
            <c:numRef>
              <c:f>Sheet1!$D$2:$D$149</c:f>
              <c:numCache>
                <c:formatCode>General</c:formatCode>
                <c:ptCount val="148"/>
                <c:pt idx="0">
                  <c:v>0.45</c:v>
                </c:pt>
                <c:pt idx="1">
                  <c:v>0.31</c:v>
                </c:pt>
                <c:pt idx="2">
                  <c:v>0.34</c:v>
                </c:pt>
                <c:pt idx="3">
                  <c:v>3.99</c:v>
                </c:pt>
                <c:pt idx="4">
                  <c:v>0.48</c:v>
                </c:pt>
                <c:pt idx="5">
                  <c:v>-0.24</c:v>
                </c:pt>
                <c:pt idx="6">
                  <c:v>0.49</c:v>
                </c:pt>
                <c:pt idx="7">
                  <c:v>3.99</c:v>
                </c:pt>
                <c:pt idx="8">
                  <c:v>0.2</c:v>
                </c:pt>
                <c:pt idx="9">
                  <c:v>-0.09</c:v>
                </c:pt>
                <c:pt idx="10">
                  <c:v>0.02</c:v>
                </c:pt>
                <c:pt idx="11">
                  <c:v>0.24</c:v>
                </c:pt>
                <c:pt idx="12">
                  <c:v>0.08</c:v>
                </c:pt>
                <c:pt idx="13">
                  <c:v>0.08</c:v>
                </c:pt>
                <c:pt idx="14">
                  <c:v>-0.01</c:v>
                </c:pt>
                <c:pt idx="15">
                  <c:v>0.26</c:v>
                </c:pt>
                <c:pt idx="16">
                  <c:v>0.68</c:v>
                </c:pt>
                <c:pt idx="17">
                  <c:v>2.8</c:v>
                </c:pt>
                <c:pt idx="18">
                  <c:v>1.38</c:v>
                </c:pt>
                <c:pt idx="19">
                  <c:v>1.75</c:v>
                </c:pt>
                <c:pt idx="20">
                  <c:v>0.97</c:v>
                </c:pt>
                <c:pt idx="21">
                  <c:v>3.83</c:v>
                </c:pt>
                <c:pt idx="22">
                  <c:v>0.71</c:v>
                </c:pt>
                <c:pt idx="23">
                  <c:v>9.14</c:v>
                </c:pt>
                <c:pt idx="24">
                  <c:v>0.36</c:v>
                </c:pt>
                <c:pt idx="25">
                  <c:v>2.08</c:v>
                </c:pt>
                <c:pt idx="26">
                  <c:v>-1.84</c:v>
                </c:pt>
                <c:pt idx="27">
                  <c:v>3.14</c:v>
                </c:pt>
                <c:pt idx="28">
                  <c:v>1.19</c:v>
                </c:pt>
                <c:pt idx="29">
                  <c:v>2.03</c:v>
                </c:pt>
                <c:pt idx="30">
                  <c:v>0.71</c:v>
                </c:pt>
                <c:pt idx="31">
                  <c:v>-0.09</c:v>
                </c:pt>
                <c:pt idx="32">
                  <c:v>0.06</c:v>
                </c:pt>
                <c:pt idx="33">
                  <c:v>0.11</c:v>
                </c:pt>
                <c:pt idx="34">
                  <c:v>0.23</c:v>
                </c:pt>
                <c:pt idx="35">
                  <c:v>0.18</c:v>
                </c:pt>
                <c:pt idx="36">
                  <c:v>1.39</c:v>
                </c:pt>
                <c:pt idx="37">
                  <c:v>-0.29</c:v>
                </c:pt>
                <c:pt idx="38">
                  <c:v>0.08</c:v>
                </c:pt>
                <c:pt idx="39">
                  <c:v>-0.0</c:v>
                </c:pt>
                <c:pt idx="40">
                  <c:v>0.46</c:v>
                </c:pt>
                <c:pt idx="41">
                  <c:v>0.04</c:v>
                </c:pt>
                <c:pt idx="42">
                  <c:v>-0.05</c:v>
                </c:pt>
                <c:pt idx="43">
                  <c:v>-0.16</c:v>
                </c:pt>
                <c:pt idx="44">
                  <c:v>0.11</c:v>
                </c:pt>
                <c:pt idx="45">
                  <c:v>0.21</c:v>
                </c:pt>
                <c:pt idx="46">
                  <c:v>0.68</c:v>
                </c:pt>
                <c:pt idx="47">
                  <c:v>0.67</c:v>
                </c:pt>
                <c:pt idx="48">
                  <c:v>2.94</c:v>
                </c:pt>
                <c:pt idx="49">
                  <c:v>2.19</c:v>
                </c:pt>
                <c:pt idx="50">
                  <c:v>1.8</c:v>
                </c:pt>
                <c:pt idx="51">
                  <c:v>2.86</c:v>
                </c:pt>
                <c:pt idx="52">
                  <c:v>-0.86</c:v>
                </c:pt>
                <c:pt idx="53">
                  <c:v>-0.45</c:v>
                </c:pt>
                <c:pt idx="54">
                  <c:v>2.11</c:v>
                </c:pt>
                <c:pt idx="55">
                  <c:v>-5.74</c:v>
                </c:pt>
                <c:pt idx="56">
                  <c:v>0.22</c:v>
                </c:pt>
                <c:pt idx="57">
                  <c:v>1.26</c:v>
                </c:pt>
                <c:pt idx="58">
                  <c:v>-9.84</c:v>
                </c:pt>
                <c:pt idx="59">
                  <c:v>2.38</c:v>
                </c:pt>
                <c:pt idx="60">
                  <c:v>1.42</c:v>
                </c:pt>
                <c:pt idx="61">
                  <c:v>0.75</c:v>
                </c:pt>
                <c:pt idx="62">
                  <c:v>1.25</c:v>
                </c:pt>
                <c:pt idx="63">
                  <c:v>3.19</c:v>
                </c:pt>
                <c:pt idx="64">
                  <c:v>3.12</c:v>
                </c:pt>
                <c:pt idx="65">
                  <c:v>1.33</c:v>
                </c:pt>
                <c:pt idx="66">
                  <c:v>3.63</c:v>
                </c:pt>
                <c:pt idx="67">
                  <c:v>3.42</c:v>
                </c:pt>
                <c:pt idx="68">
                  <c:v>3.02</c:v>
                </c:pt>
                <c:pt idx="69">
                  <c:v>0.45</c:v>
                </c:pt>
                <c:pt idx="70">
                  <c:v>0.53</c:v>
                </c:pt>
                <c:pt idx="71">
                  <c:v>0.39</c:v>
                </c:pt>
                <c:pt idx="72">
                  <c:v>-0.67</c:v>
                </c:pt>
                <c:pt idx="73">
                  <c:v>0.09</c:v>
                </c:pt>
                <c:pt idx="74">
                  <c:v>0.14</c:v>
                </c:pt>
                <c:pt idx="75">
                  <c:v>0.17</c:v>
                </c:pt>
                <c:pt idx="76">
                  <c:v>0.5</c:v>
                </c:pt>
                <c:pt idx="77">
                  <c:v>0.13</c:v>
                </c:pt>
                <c:pt idx="78">
                  <c:v>-0.06</c:v>
                </c:pt>
                <c:pt idx="79">
                  <c:v>0.01</c:v>
                </c:pt>
                <c:pt idx="80">
                  <c:v>-9.84</c:v>
                </c:pt>
                <c:pt idx="81">
                  <c:v>0.39</c:v>
                </c:pt>
                <c:pt idx="82">
                  <c:v>0.37</c:v>
                </c:pt>
                <c:pt idx="83">
                  <c:v>0.59</c:v>
                </c:pt>
                <c:pt idx="84">
                  <c:v>0.94</c:v>
                </c:pt>
                <c:pt idx="85">
                  <c:v>1.21</c:v>
                </c:pt>
                <c:pt idx="86">
                  <c:v>2.71</c:v>
                </c:pt>
                <c:pt idx="87">
                  <c:v>1.7</c:v>
                </c:pt>
                <c:pt idx="88">
                  <c:v>2.22</c:v>
                </c:pt>
                <c:pt idx="89">
                  <c:v>1.86</c:v>
                </c:pt>
                <c:pt idx="90">
                  <c:v>0.17</c:v>
                </c:pt>
                <c:pt idx="91">
                  <c:v>1.51</c:v>
                </c:pt>
                <c:pt idx="92">
                  <c:v>1.46</c:v>
                </c:pt>
                <c:pt idx="93">
                  <c:v>1.5</c:v>
                </c:pt>
                <c:pt idx="94">
                  <c:v>1.31</c:v>
                </c:pt>
                <c:pt idx="95">
                  <c:v>1.0</c:v>
                </c:pt>
                <c:pt idx="96">
                  <c:v>1.38</c:v>
                </c:pt>
                <c:pt idx="97">
                  <c:v>1.54</c:v>
                </c:pt>
                <c:pt idx="98">
                  <c:v>1.24</c:v>
                </c:pt>
                <c:pt idx="99">
                  <c:v>1.29</c:v>
                </c:pt>
                <c:pt idx="100">
                  <c:v>2.26</c:v>
                </c:pt>
                <c:pt idx="101">
                  <c:v>0.7</c:v>
                </c:pt>
                <c:pt idx="102">
                  <c:v>0.44</c:v>
                </c:pt>
                <c:pt idx="103">
                  <c:v>0.69</c:v>
                </c:pt>
                <c:pt idx="104">
                  <c:v>1.03</c:v>
                </c:pt>
                <c:pt idx="105">
                  <c:v>1.35</c:v>
                </c:pt>
                <c:pt idx="106">
                  <c:v>1.12</c:v>
                </c:pt>
                <c:pt idx="107">
                  <c:v>1.75</c:v>
                </c:pt>
                <c:pt idx="108">
                  <c:v>1.8</c:v>
                </c:pt>
                <c:pt idx="109">
                  <c:v>2.19</c:v>
                </c:pt>
                <c:pt idx="110">
                  <c:v>0.16</c:v>
                </c:pt>
                <c:pt idx="111">
                  <c:v>2.34</c:v>
                </c:pt>
                <c:pt idx="112">
                  <c:v>1.79</c:v>
                </c:pt>
                <c:pt idx="113">
                  <c:v>1.7</c:v>
                </c:pt>
                <c:pt idx="114">
                  <c:v>2.4</c:v>
                </c:pt>
                <c:pt idx="115">
                  <c:v>2.0</c:v>
                </c:pt>
                <c:pt idx="116">
                  <c:v>1.16</c:v>
                </c:pt>
                <c:pt idx="117">
                  <c:v>0.83</c:v>
                </c:pt>
                <c:pt idx="118">
                  <c:v>1.1</c:v>
                </c:pt>
                <c:pt idx="119">
                  <c:v>-1.15</c:v>
                </c:pt>
                <c:pt idx="120">
                  <c:v>0.66</c:v>
                </c:pt>
                <c:pt idx="121">
                  <c:v>0.22</c:v>
                </c:pt>
                <c:pt idx="122">
                  <c:v>0.11</c:v>
                </c:pt>
                <c:pt idx="123">
                  <c:v>0.66</c:v>
                </c:pt>
                <c:pt idx="124">
                  <c:v>0.29</c:v>
                </c:pt>
                <c:pt idx="125">
                  <c:v>0.05</c:v>
                </c:pt>
                <c:pt idx="126">
                  <c:v>0.45</c:v>
                </c:pt>
                <c:pt idx="127">
                  <c:v>-0.22</c:v>
                </c:pt>
                <c:pt idx="128">
                  <c:v>0.17</c:v>
                </c:pt>
                <c:pt idx="129">
                  <c:v>0.16</c:v>
                </c:pt>
                <c:pt idx="130">
                  <c:v>0.1</c:v>
                </c:pt>
                <c:pt idx="131">
                  <c:v>0.1</c:v>
                </c:pt>
                <c:pt idx="132">
                  <c:v>0.68</c:v>
                </c:pt>
                <c:pt idx="133">
                  <c:v>2.35</c:v>
                </c:pt>
                <c:pt idx="134">
                  <c:v>1.67</c:v>
                </c:pt>
                <c:pt idx="135">
                  <c:v>-4.14</c:v>
                </c:pt>
                <c:pt idx="136">
                  <c:v>0.76</c:v>
                </c:pt>
                <c:pt idx="137">
                  <c:v>0.81</c:v>
                </c:pt>
                <c:pt idx="138">
                  <c:v>0.93</c:v>
                </c:pt>
                <c:pt idx="139">
                  <c:v>0.42</c:v>
                </c:pt>
                <c:pt idx="140">
                  <c:v>0.17</c:v>
                </c:pt>
                <c:pt idx="141">
                  <c:v>1.21</c:v>
                </c:pt>
                <c:pt idx="142">
                  <c:v>0.81</c:v>
                </c:pt>
                <c:pt idx="143">
                  <c:v>0.41</c:v>
                </c:pt>
                <c:pt idx="144">
                  <c:v>0.34</c:v>
                </c:pt>
                <c:pt idx="145">
                  <c:v>0.96</c:v>
                </c:pt>
                <c:pt idx="146">
                  <c:v>0.92</c:v>
                </c:pt>
                <c:pt idx="147">
                  <c:v>3.39</c:v>
                </c:pt>
              </c:numCache>
            </c:numRef>
          </c:yVal>
          <c:smooth val="0"/>
        </c:ser>
        <c:ser>
          <c:idx val="2"/>
          <c:order val="2"/>
          <c:tx>
            <c:strRef>
              <c:f>Sheet1!$F$1</c:f>
              <c:strCache>
                <c:ptCount val="1"/>
                <c:pt idx="0">
                  <c:v>Regressiya chizig‘i</c:v>
                </c:pt>
              </c:strCache>
            </c:strRef>
          </c:tx>
          <c:spPr>
            <a:ln w="19050">
              <a:solidFill>
                <a:srgbClr val="000000"/>
              </a:solidFill>
            </a:ln>
          </c:spPr>
          <c:marker>
            <c:symbol val="none"/>
          </c:marker>
          <c:xVal>
            <c:numRef>
              <c:f>Sheet1!$E$2:$E$3</c:f>
              <c:numCache>
                <c:formatCode>General</c:formatCode>
                <c:ptCount val="2"/>
                <c:pt idx="0">
                  <c:v>0.0</c:v>
                </c:pt>
                <c:pt idx="1">
                  <c:v>18.0</c:v>
                </c:pt>
              </c:numCache>
            </c:numRef>
          </c:xVal>
          <c:yVal>
            <c:numRef>
              <c:f>Sheet1!$F$2:$F$3</c:f>
              <c:numCache>
                <c:formatCode>General</c:formatCode>
                <c:ptCount val="2"/>
                <c:pt idx="0">
                  <c:v>4.353</c:v>
                </c:pt>
                <c:pt idx="1">
                  <c:v>-4.418</c:v>
                </c:pt>
              </c:numCache>
            </c:numRef>
          </c:yVal>
          <c:smooth val="0"/>
        </c:ser>
        <c:axId val="333"/>
        <c:axId val="444"/>
      </c:scatterChart>
      <c:valAx>
        <c:axId val="333"/>
        <c:scaling>
          <c:orientation val="minMax"/>
          <c:max val="18.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2"/>
      </c:valAx>
      <c:valAx>
        <c:axId val="444"/>
        <c:scaling>
          <c:orientation val="minMax"/>
          <c:max val="15.0"/>
          <c:min val="-1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Aktivlar rentabelligi (ROA),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5"/>
            <c:spPr>
              <a:solidFill>
                <a:srgbClr val="000000"/>
              </a:solidFill>
              <a:ln>
                <a:noFill/>
              </a:ln>
            </c:spPr>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numFmt formatCode="0.00" sourceLinked="0"/>
              <c:spPr>
                <a:noFill/>
                <a:ln>
                  <a:noFill/>
                </a:ln>
              </c:spPr>
              <c:txPr>
                <a:bodyPr/>
                <a:lstStyle/>
                <a:p>
                  <a:pPr>
                    <a:defRPr sz="1000" b="1">
                      <a:solidFill>
                        <a:srgbClr val="000000"/>
                      </a:solidFill>
                      <a:latin typeface="Times New Roman"/>
                      <a:cs typeface="Times New Roman"/>
                    </a:defRPr>
                  </a:pPr>
                  <a:endParaRPr lang="uz-Latn-UZ"/>
                </a:p>
              </c:txPr>
              <c:dLblPos val="b"/>
              <c:showLegendKey val="0"/>
              <c:showVal val="1"/>
              <c:showCatName val="0"/>
              <c:showSerName val="0"/>
              <c:showPercent val="0"/>
              <c:showBubbleSize val="0"/>
            </c:dLbl>
            <c:spPr>
              <a:noFill/>
              <a:ln>
                <a:noFill/>
              </a:ln>
            </c:spPr>
            <c:showLegendKey val="0"/>
            <c:showVal val="0"/>
            <c:showCatName val="0"/>
            <c:showSerName val="0"/>
            <c:showPercent val="0"/>
            <c:showBubbleSize val="0"/>
          </c:dLbls>
          <c:xVal>
            <c:numRef>
              <c:f>Sheet1!$A$2:$A$18</c:f>
              <c:numCache>
                <c:formatCode>General</c:formatCode>
                <c:ptCount val="17"/>
                <c:pt idx="0">
                  <c:v>2021.0</c:v>
                </c:pt>
                <c:pt idx="1">
                  <c:v>2021.25</c:v>
                </c:pt>
                <c:pt idx="2">
                  <c:v>2021.5</c:v>
                </c:pt>
                <c:pt idx="3">
                  <c:v>2021.75</c:v>
                </c:pt>
                <c:pt idx="4">
                  <c:v>2022.0</c:v>
                </c:pt>
                <c:pt idx="5">
                  <c:v>2022.25</c:v>
                </c:pt>
                <c:pt idx="6">
                  <c:v>2022.5</c:v>
                </c:pt>
                <c:pt idx="7">
                  <c:v>2022.75</c:v>
                </c:pt>
                <c:pt idx="8">
                  <c:v>2023.0</c:v>
                </c:pt>
                <c:pt idx="9">
                  <c:v>2023.25</c:v>
                </c:pt>
                <c:pt idx="10">
                  <c:v>2023.5</c:v>
                </c:pt>
                <c:pt idx="11">
                  <c:v>2023.75</c:v>
                </c:pt>
                <c:pt idx="12">
                  <c:v>2024.0</c:v>
                </c:pt>
                <c:pt idx="13">
                  <c:v>2024.25</c:v>
                </c:pt>
                <c:pt idx="14">
                  <c:v>2024.5</c:v>
                </c:pt>
                <c:pt idx="15">
                  <c:v>2024.75</c:v>
                </c:pt>
                <c:pt idx="16">
                  <c:v>2025.0</c:v>
                </c:pt>
              </c:numCache>
            </c:numRef>
          </c:xVal>
          <c:yVal>
            <c:numRef>
              <c:f>Sheet1!$B$2:$B$18</c:f>
              <c:numCache>
                <c:formatCode>General</c:formatCode>
                <c:ptCount val="17"/>
                <c:pt idx="0">
                  <c:v>3.78</c:v>
                </c:pt>
                <c:pt idx="1">
                  <c:v>3.76</c:v>
                </c:pt>
                <c:pt idx="2">
                  <c:v>3.68</c:v>
                </c:pt>
                <c:pt idx="3">
                  <c:v>3.64</c:v>
                </c:pt>
                <c:pt idx="4">
                  <c:v>2.83</c:v>
                </c:pt>
                <c:pt idx="5">
                  <c:v>2.93</c:v>
                </c:pt>
                <c:pt idx="6">
                  <c:v>2.91</c:v>
                </c:pt>
                <c:pt idx="7">
                  <c:v>2.82</c:v>
                </c:pt>
                <c:pt idx="8">
                  <c:v>2.25</c:v>
                </c:pt>
                <c:pt idx="9">
                  <c:v>3.96</c:v>
                </c:pt>
                <c:pt idx="10">
                  <c:v>3.94</c:v>
                </c:pt>
                <c:pt idx="11">
                  <c:v>3.1</c:v>
                </c:pt>
                <c:pt idx="12">
                  <c:v>2.82</c:v>
                </c:pt>
                <c:pt idx="13">
                  <c:v>4.07</c:v>
                </c:pt>
                <c:pt idx="14">
                  <c:v>3.7</c:v>
                </c:pt>
                <c:pt idx="15">
                  <c:v>3.44</c:v>
                </c:pt>
                <c:pt idx="16">
                  <c:v>2.53</c:v>
                </c:pt>
              </c:numCache>
            </c:numRef>
          </c:yVal>
          <c:smooth val="0"/>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2A78D6"/>
                      </a:solidFill>
                      <a:latin typeface="Times New Roman"/>
                      <a:cs typeface="Times New Roman"/>
                    </a:defRPr>
                  </a:pPr>
                  <a:endParaRPr lang="uz-Latn-UZ"/>
                </a:p>
              </c:txPr>
              <c:dLblPos val="r"/>
              <c:showLegendKey val="0"/>
              <c:showVal val="1"/>
              <c:showCatName val="0"/>
              <c:showSerName val="0"/>
              <c:showPercent val="0"/>
              <c:showBubbleSize val="0"/>
            </c:dLbl>
            <c:spPr>
              <a:noFill/>
              <a:ln>
                <a:noFill/>
              </a:ln>
            </c:spPr>
            <c:showLegendKey val="0"/>
            <c:showVal val="0"/>
            <c:showCatName val="0"/>
            <c:showSerName val="0"/>
            <c:showPercent val="0"/>
            <c:showBubbleSize val="0"/>
          </c:dLbls>
          <c:xVal>
            <c:numRef>
              <c:f>Sheet1!$C$2:$C$14</c:f>
              <c:numCache>
                <c:formatCode>General</c:formatCode>
                <c:ptCount val="13"/>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Sheet1!$D$2:$D$14</c:f>
              <c:numCache>
                <c:formatCode>General</c:formatCode>
                <c:ptCount val="13"/>
                <c:pt idx="0">
                  <c:v>2.53</c:v>
                </c:pt>
                <c:pt idx="1">
                  <c:v>2.65</c:v>
                </c:pt>
                <c:pt idx="2">
                  <c:v>2.65</c:v>
                </c:pt>
                <c:pt idx="3">
                  <c:v>2.61</c:v>
                </c:pt>
                <c:pt idx="4">
                  <c:v>2.56</c:v>
                </c:pt>
                <c:pt idx="5">
                  <c:v>2.65</c:v>
                </c:pt>
                <c:pt idx="6">
                  <c:v>2.69</c:v>
                </c:pt>
                <c:pt idx="7">
                  <c:v>2.71</c:v>
                </c:pt>
                <c:pt idx="8">
                  <c:v>2.72</c:v>
                </c:pt>
                <c:pt idx="9">
                  <c:v>2.72</c:v>
                </c:pt>
                <c:pt idx="10">
                  <c:v>2.73</c:v>
                </c:pt>
                <c:pt idx="11">
                  <c:v>2.73</c:v>
                </c:pt>
                <c:pt idx="12">
                  <c:v>2.73</c:v>
                </c:pt>
              </c:numCache>
            </c:numRef>
          </c:yVal>
          <c:smooth val="0"/>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spPr>
              <a:noFill/>
              <a:ln>
                <a:noFill/>
              </a:ln>
            </c:spPr>
            <c:showLegendKey val="0"/>
            <c:showVal val="0"/>
            <c:showCatName val="0"/>
            <c:showSerName val="0"/>
            <c:showPercent val="0"/>
            <c:showBubbleSize val="0"/>
          </c:dLbls>
          <c:xVal>
            <c:numRef>
              <c:f>Sheet1!$E$2:$E$14</c:f>
              <c:numCache>
                <c:formatCode>General</c:formatCode>
                <c:ptCount val="13"/>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Sheet1!$F$2:$F$14</c:f>
              <c:numCache>
                <c:formatCode>General</c:formatCode>
                <c:ptCount val="13"/>
                <c:pt idx="0">
                  <c:v>2.53</c:v>
                </c:pt>
                <c:pt idx="1">
                  <c:v>2.65</c:v>
                </c:pt>
                <c:pt idx="2">
                  <c:v>2.65</c:v>
                </c:pt>
                <c:pt idx="3">
                  <c:v>2.61</c:v>
                </c:pt>
                <c:pt idx="4">
                  <c:v>2.56</c:v>
                </c:pt>
                <c:pt idx="5">
                  <c:v>2.5</c:v>
                </c:pt>
                <c:pt idx="6">
                  <c:v>2.48</c:v>
                </c:pt>
                <c:pt idx="7">
                  <c:v>2.47</c:v>
                </c:pt>
                <c:pt idx="8">
                  <c:v>2.46</c:v>
                </c:pt>
                <c:pt idx="9">
                  <c:v>2.45</c:v>
                </c:pt>
                <c:pt idx="10">
                  <c:v>2.45</c:v>
                </c:pt>
                <c:pt idx="11">
                  <c:v>2.45</c:v>
                </c:pt>
                <c:pt idx="12">
                  <c:v>2.45</c:v>
                </c:pt>
              </c:numCache>
            </c:numRef>
          </c:yVal>
          <c:smooth val="0"/>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FFC000"/>
                      </a:solidFill>
                      <a:latin typeface="Times New Roman"/>
                      <a:cs typeface="Times New Roman"/>
                    </a:defRPr>
                  </a:pPr>
                  <a:endParaRPr lang="uz-Latn-UZ"/>
                </a:p>
              </c:txPr>
              <c:dLblPos val="r"/>
              <c:showLegendKey val="0"/>
              <c:showVal val="1"/>
              <c:showCatName val="0"/>
              <c:showSerName val="0"/>
              <c:showPercent val="0"/>
              <c:showBubbleSize val="0"/>
            </c:dLbl>
            <c:spPr>
              <a:noFill/>
              <a:ln>
                <a:noFill/>
              </a:ln>
            </c:spPr>
            <c:showLegendKey val="0"/>
            <c:showVal val="0"/>
            <c:showCatName val="0"/>
            <c:showSerName val="0"/>
            <c:showPercent val="0"/>
            <c:showBubbleSize val="0"/>
          </c:dLbls>
          <c:xVal>
            <c:numRef>
              <c:f>Sheet1!$G$2:$G$14</c:f>
              <c:numCache>
                <c:formatCode>General</c:formatCode>
                <c:ptCount val="13"/>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Sheet1!$H$2:$H$14</c:f>
              <c:numCache>
                <c:formatCode>General</c:formatCode>
                <c:ptCount val="13"/>
                <c:pt idx="0">
                  <c:v>2.53</c:v>
                </c:pt>
                <c:pt idx="1">
                  <c:v>2.65</c:v>
                </c:pt>
                <c:pt idx="2">
                  <c:v>2.65</c:v>
                </c:pt>
                <c:pt idx="3">
                  <c:v>2.61</c:v>
                </c:pt>
                <c:pt idx="4">
                  <c:v>2.56</c:v>
                </c:pt>
                <c:pt idx="5">
                  <c:v>2.95</c:v>
                </c:pt>
                <c:pt idx="6">
                  <c:v>3.15</c:v>
                </c:pt>
                <c:pt idx="7">
                  <c:v>3.25</c:v>
                </c:pt>
                <c:pt idx="8">
                  <c:v>3.29</c:v>
                </c:pt>
                <c:pt idx="9">
                  <c:v>3.19</c:v>
                </c:pt>
                <c:pt idx="10">
                  <c:v>3.14</c:v>
                </c:pt>
                <c:pt idx="11">
                  <c:v>3.11</c:v>
                </c:pt>
                <c:pt idx="12">
                  <c:v>3.1</c:v>
                </c:pt>
              </c:numCache>
            </c:numRef>
          </c:yVal>
          <c:smooth val="0"/>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C00000"/>
                      </a:solidFill>
                      <a:latin typeface="Times New Roman"/>
                      <a:cs typeface="Times New Roman"/>
                    </a:defRPr>
                  </a:pPr>
                  <a:endParaRPr lang="uz-Latn-UZ"/>
                </a:p>
              </c:txPr>
              <c:dLblPos val="t"/>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C00000"/>
                      </a:solidFill>
                      <a:latin typeface="Times New Roman"/>
                      <a:cs typeface="Times New Roman"/>
                    </a:defRPr>
                  </a:pPr>
                  <a:endParaRPr lang="uz-Latn-UZ"/>
                </a:p>
              </c:txPr>
              <c:dLblPos val="t"/>
              <c:showLegendKey val="0"/>
              <c:showVal val="1"/>
              <c:showCatName val="0"/>
              <c:showSerName val="0"/>
              <c:showPercent val="0"/>
              <c:showBubbleSize val="0"/>
            </c:dLbl>
            <c:spPr>
              <a:noFill/>
              <a:ln>
                <a:noFill/>
              </a:ln>
            </c:spPr>
            <c:showLegendKey val="0"/>
            <c:showVal val="0"/>
            <c:showCatName val="0"/>
            <c:showSerName val="0"/>
            <c:showPercent val="0"/>
            <c:showBubbleSize val="0"/>
          </c:dLbls>
          <c:xVal>
            <c:numRef>
              <c:f>Sheet1!$I$2:$I$14</c:f>
              <c:numCache>
                <c:formatCode>General</c:formatCode>
                <c:ptCount val="13"/>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Sheet1!$J$2:$J$14</c:f>
              <c:numCache>
                <c:formatCode>General</c:formatCode>
                <c:ptCount val="13"/>
                <c:pt idx="0">
                  <c:v>2.53</c:v>
                </c:pt>
                <c:pt idx="1">
                  <c:v>2.65</c:v>
                </c:pt>
                <c:pt idx="2">
                  <c:v>2.65</c:v>
                </c:pt>
                <c:pt idx="3">
                  <c:v>2.61</c:v>
                </c:pt>
                <c:pt idx="4">
                  <c:v>2.56</c:v>
                </c:pt>
                <c:pt idx="5">
                  <c:v>3.33</c:v>
                </c:pt>
                <c:pt idx="6">
                  <c:v>3.71</c:v>
                </c:pt>
                <c:pt idx="7">
                  <c:v>3.89</c:v>
                </c:pt>
                <c:pt idx="8">
                  <c:v>3.99</c:v>
                </c:pt>
                <c:pt idx="9">
                  <c:v>3.53</c:v>
                </c:pt>
                <c:pt idx="10">
                  <c:v>3.31</c:v>
                </c:pt>
                <c:pt idx="11">
                  <c:v>3.19</c:v>
                </c:pt>
                <c:pt idx="12">
                  <c:v>3.14</c:v>
                </c:pt>
              </c:numCache>
            </c:numRef>
          </c:yVal>
          <c:smooth val="0"/>
        </c:ser>
        <c:axId val="333"/>
        <c:axId val="444"/>
      </c:scatterChart>
      <c:valAx>
        <c:axId val="333"/>
        <c:scaling>
          <c:orientation val="minMax"/>
          <c:max val="2028.6"/>
          <c:min val="2021"/>
        </c:scaling>
        <c:delete val="0"/>
        <c:axPos val="b"/>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5.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Ulush,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2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5"/>
            <c:spPr>
              <a:solidFill>
                <a:srgbClr val="000000"/>
              </a:solidFill>
              <a:ln>
                <a:noFill/>
              </a:ln>
            </c:spPr>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numFmt formatCode="0.00" sourceLinked="0"/>
              <c:spPr>
                <a:noFill/>
                <a:ln>
                  <a:noFill/>
                </a:ln>
              </c:spPr>
              <c:txPr>
                <a:bodyPr/>
                <a:lstStyle/>
                <a:p>
                  <a:pPr>
                    <a:defRPr sz="1000" b="1">
                      <a:solidFill>
                        <a:srgbClr val="000000"/>
                      </a:solidFill>
                      <a:latin typeface="Times New Roman"/>
                      <a:cs typeface="Times New Roman"/>
                    </a:defRPr>
                  </a:pPr>
                  <a:endParaRPr lang="uz-Latn-UZ"/>
                </a:p>
              </c:txPr>
              <c:dLblPos val="b"/>
              <c:showLegendKey val="0"/>
              <c:showVal val="1"/>
              <c:showCatName val="0"/>
              <c:showSerName val="0"/>
              <c:showPercent val="0"/>
              <c:showBubbleSize val="0"/>
            </c:dLbl>
            <c:spPr>
              <a:noFill/>
              <a:ln>
                <a:noFill/>
              </a:ln>
            </c:spPr>
            <c:showLegendKey val="0"/>
            <c:showVal val="0"/>
            <c:showCatName val="0"/>
            <c:showSerName val="0"/>
            <c:showPercent val="0"/>
            <c:showBubbleSize val="0"/>
          </c:dLbls>
          <c:xVal>
            <c:numRef>
              <c:f>Sheet1!$A$2:$A$18</c:f>
              <c:numCache>
                <c:formatCode>General</c:formatCode>
                <c:ptCount val="17"/>
                <c:pt idx="0">
                  <c:v>2021.0</c:v>
                </c:pt>
                <c:pt idx="1">
                  <c:v>2021.25</c:v>
                </c:pt>
                <c:pt idx="2">
                  <c:v>2021.5</c:v>
                </c:pt>
                <c:pt idx="3">
                  <c:v>2021.75</c:v>
                </c:pt>
                <c:pt idx="4">
                  <c:v>2022.0</c:v>
                </c:pt>
                <c:pt idx="5">
                  <c:v>2022.25</c:v>
                </c:pt>
                <c:pt idx="6">
                  <c:v>2022.5</c:v>
                </c:pt>
                <c:pt idx="7">
                  <c:v>2022.75</c:v>
                </c:pt>
                <c:pt idx="8">
                  <c:v>2023.0</c:v>
                </c:pt>
                <c:pt idx="9">
                  <c:v>2023.25</c:v>
                </c:pt>
                <c:pt idx="10">
                  <c:v>2023.5</c:v>
                </c:pt>
                <c:pt idx="11">
                  <c:v>2023.75</c:v>
                </c:pt>
                <c:pt idx="12">
                  <c:v>2024.0</c:v>
                </c:pt>
                <c:pt idx="13">
                  <c:v>2024.25</c:v>
                </c:pt>
                <c:pt idx="14">
                  <c:v>2024.5</c:v>
                </c:pt>
                <c:pt idx="15">
                  <c:v>2024.75</c:v>
                </c:pt>
                <c:pt idx="16">
                  <c:v>2025.0</c:v>
                </c:pt>
              </c:numCache>
            </c:numRef>
          </c:xVal>
          <c:yVal>
            <c:numRef>
              <c:f>Sheet1!$B$2:$B$18</c:f>
              <c:numCache>
                <c:formatCode>General</c:formatCode>
                <c:ptCount val="17"/>
                <c:pt idx="0">
                  <c:v>5.94</c:v>
                </c:pt>
                <c:pt idx="1">
                  <c:v>5.97</c:v>
                </c:pt>
                <c:pt idx="2">
                  <c:v>5.91</c:v>
                </c:pt>
                <c:pt idx="3">
                  <c:v>5.57</c:v>
                </c:pt>
                <c:pt idx="4">
                  <c:v>4.77</c:v>
                </c:pt>
                <c:pt idx="5">
                  <c:v>5.36</c:v>
                </c:pt>
                <c:pt idx="6">
                  <c:v>5.18</c:v>
                </c:pt>
                <c:pt idx="7">
                  <c:v>5.14</c:v>
                </c:pt>
                <c:pt idx="8">
                  <c:v>5.99</c:v>
                </c:pt>
                <c:pt idx="9">
                  <c:v>6.7</c:v>
                </c:pt>
                <c:pt idx="10">
                  <c:v>6.81</c:v>
                </c:pt>
                <c:pt idx="11">
                  <c:v>6.7</c:v>
                </c:pt>
                <c:pt idx="12">
                  <c:v>4.62</c:v>
                </c:pt>
                <c:pt idx="13">
                  <c:v>6.61</c:v>
                </c:pt>
                <c:pt idx="14">
                  <c:v>6.01</c:v>
                </c:pt>
                <c:pt idx="15">
                  <c:v>4.91</c:v>
                </c:pt>
                <c:pt idx="16">
                  <c:v>4.41</c:v>
                </c:pt>
              </c:numCache>
            </c:numRef>
          </c:yVal>
          <c:smooth val="0"/>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2A78D6"/>
                      </a:solidFill>
                      <a:latin typeface="Times New Roman"/>
                      <a:cs typeface="Times New Roman"/>
                    </a:defRPr>
                  </a:pPr>
                  <a:endParaRPr lang="uz-Latn-UZ"/>
                </a:p>
              </c:txPr>
              <c:dLblPos val="r"/>
              <c:showLegendKey val="0"/>
              <c:showVal val="1"/>
              <c:showCatName val="0"/>
              <c:showSerName val="0"/>
              <c:showPercent val="0"/>
              <c:showBubbleSize val="0"/>
            </c:dLbl>
            <c:spPr>
              <a:noFill/>
              <a:ln>
                <a:noFill/>
              </a:ln>
            </c:spPr>
            <c:showLegendKey val="0"/>
            <c:showVal val="0"/>
            <c:showCatName val="0"/>
            <c:showSerName val="0"/>
            <c:showPercent val="0"/>
            <c:showBubbleSize val="0"/>
          </c:dLbls>
          <c:xVal>
            <c:numRef>
              <c:f>Sheet1!$C$2:$C$14</c:f>
              <c:numCache>
                <c:formatCode>General</c:formatCode>
                <c:ptCount val="13"/>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Sheet1!$D$2:$D$14</c:f>
              <c:numCache>
                <c:formatCode>General</c:formatCode>
                <c:ptCount val="13"/>
                <c:pt idx="0">
                  <c:v>4.41</c:v>
                </c:pt>
                <c:pt idx="1">
                  <c:v>4.62</c:v>
                </c:pt>
                <c:pt idx="2">
                  <c:v>4.62</c:v>
                </c:pt>
                <c:pt idx="3">
                  <c:v>4.54</c:v>
                </c:pt>
                <c:pt idx="4">
                  <c:v>4.47</c:v>
                </c:pt>
                <c:pt idx="5">
                  <c:v>4.62</c:v>
                </c:pt>
                <c:pt idx="6">
                  <c:v>4.69</c:v>
                </c:pt>
                <c:pt idx="7">
                  <c:v>4.72</c:v>
                </c:pt>
                <c:pt idx="8">
                  <c:v>4.75</c:v>
                </c:pt>
                <c:pt idx="9">
                  <c:v>4.75</c:v>
                </c:pt>
                <c:pt idx="10">
                  <c:v>4.76</c:v>
                </c:pt>
                <c:pt idx="11">
                  <c:v>4.76</c:v>
                </c:pt>
                <c:pt idx="12">
                  <c:v>4.76</c:v>
                </c:pt>
              </c:numCache>
            </c:numRef>
          </c:yVal>
          <c:smooth val="0"/>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spPr>
              <a:noFill/>
              <a:ln>
                <a:noFill/>
              </a:ln>
            </c:spPr>
            <c:showLegendKey val="0"/>
            <c:showVal val="0"/>
            <c:showCatName val="0"/>
            <c:showSerName val="0"/>
            <c:showPercent val="0"/>
            <c:showBubbleSize val="0"/>
          </c:dLbls>
          <c:xVal>
            <c:numRef>
              <c:f>Sheet1!$E$2:$E$14</c:f>
              <c:numCache>
                <c:formatCode>General</c:formatCode>
                <c:ptCount val="13"/>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Sheet1!$F$2:$F$14</c:f>
              <c:numCache>
                <c:formatCode>General</c:formatCode>
                <c:ptCount val="13"/>
                <c:pt idx="0">
                  <c:v>4.41</c:v>
                </c:pt>
                <c:pt idx="1">
                  <c:v>4.62</c:v>
                </c:pt>
                <c:pt idx="2">
                  <c:v>4.62</c:v>
                </c:pt>
                <c:pt idx="3">
                  <c:v>4.54</c:v>
                </c:pt>
                <c:pt idx="4">
                  <c:v>4.47</c:v>
                </c:pt>
                <c:pt idx="5">
                  <c:v>4.37</c:v>
                </c:pt>
                <c:pt idx="6">
                  <c:v>4.32</c:v>
                </c:pt>
                <c:pt idx="7">
                  <c:v>4.31</c:v>
                </c:pt>
                <c:pt idx="8">
                  <c:v>4.29</c:v>
                </c:pt>
                <c:pt idx="9">
                  <c:v>4.28</c:v>
                </c:pt>
                <c:pt idx="10">
                  <c:v>4.28</c:v>
                </c:pt>
                <c:pt idx="11">
                  <c:v>4.28</c:v>
                </c:pt>
                <c:pt idx="12">
                  <c:v>4.28</c:v>
                </c:pt>
              </c:numCache>
            </c:numRef>
          </c:yVal>
          <c:smooth val="0"/>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FFC000"/>
                      </a:solidFill>
                      <a:latin typeface="Times New Roman"/>
                      <a:cs typeface="Times New Roman"/>
                    </a:defRPr>
                  </a:pPr>
                  <a:endParaRPr lang="uz-Latn-UZ"/>
                </a:p>
              </c:txPr>
              <c:dLblPos val="r"/>
              <c:showLegendKey val="0"/>
              <c:showVal val="1"/>
              <c:showCatName val="0"/>
              <c:showSerName val="0"/>
              <c:showPercent val="0"/>
              <c:showBubbleSize val="0"/>
            </c:dLbl>
            <c:spPr>
              <a:noFill/>
              <a:ln>
                <a:noFill/>
              </a:ln>
            </c:spPr>
            <c:showLegendKey val="0"/>
            <c:showVal val="0"/>
            <c:showCatName val="0"/>
            <c:showSerName val="0"/>
            <c:showPercent val="0"/>
            <c:showBubbleSize val="0"/>
          </c:dLbls>
          <c:xVal>
            <c:numRef>
              <c:f>Sheet1!$G$2:$G$14</c:f>
              <c:numCache>
                <c:formatCode>General</c:formatCode>
                <c:ptCount val="13"/>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Sheet1!$H$2:$H$14</c:f>
              <c:numCache>
                <c:formatCode>General</c:formatCode>
                <c:ptCount val="13"/>
                <c:pt idx="0">
                  <c:v>4.41</c:v>
                </c:pt>
                <c:pt idx="1">
                  <c:v>4.62</c:v>
                </c:pt>
                <c:pt idx="2">
                  <c:v>4.62</c:v>
                </c:pt>
                <c:pt idx="3">
                  <c:v>4.54</c:v>
                </c:pt>
                <c:pt idx="4">
                  <c:v>4.47</c:v>
                </c:pt>
                <c:pt idx="5">
                  <c:v>5.15</c:v>
                </c:pt>
                <c:pt idx="6">
                  <c:v>5.49</c:v>
                </c:pt>
                <c:pt idx="7">
                  <c:v>5.66</c:v>
                </c:pt>
                <c:pt idx="8">
                  <c:v>5.74</c:v>
                </c:pt>
                <c:pt idx="9">
                  <c:v>5.56</c:v>
                </c:pt>
                <c:pt idx="10">
                  <c:v>5.47</c:v>
                </c:pt>
                <c:pt idx="11">
                  <c:v>5.43</c:v>
                </c:pt>
                <c:pt idx="12">
                  <c:v>5.4</c:v>
                </c:pt>
              </c:numCache>
            </c:numRef>
          </c:yVal>
          <c:smooth val="0"/>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C00000"/>
                      </a:solidFill>
                      <a:latin typeface="Times New Roman"/>
                      <a:cs typeface="Times New Roman"/>
                    </a:defRPr>
                  </a:pPr>
                  <a:endParaRPr lang="uz-Latn-UZ"/>
                </a:p>
              </c:txPr>
              <c:dLblPos val="t"/>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C00000"/>
                      </a:solidFill>
                      <a:latin typeface="Times New Roman"/>
                      <a:cs typeface="Times New Roman"/>
                    </a:defRPr>
                  </a:pPr>
                  <a:endParaRPr lang="uz-Latn-UZ"/>
                </a:p>
              </c:txPr>
              <c:dLblPos val="t"/>
              <c:showLegendKey val="0"/>
              <c:showVal val="1"/>
              <c:showCatName val="0"/>
              <c:showSerName val="0"/>
              <c:showPercent val="0"/>
              <c:showBubbleSize val="0"/>
            </c:dLbl>
            <c:spPr>
              <a:noFill/>
              <a:ln>
                <a:noFill/>
              </a:ln>
            </c:spPr>
            <c:showLegendKey val="0"/>
            <c:showVal val="0"/>
            <c:showCatName val="0"/>
            <c:showSerName val="0"/>
            <c:showPercent val="0"/>
            <c:showBubbleSize val="0"/>
          </c:dLbls>
          <c:xVal>
            <c:numRef>
              <c:f>Sheet1!$I$2:$I$14</c:f>
              <c:numCache>
                <c:formatCode>General</c:formatCode>
                <c:ptCount val="13"/>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Sheet1!$J$2:$J$14</c:f>
              <c:numCache>
                <c:formatCode>General</c:formatCode>
                <c:ptCount val="13"/>
                <c:pt idx="0">
                  <c:v>4.41</c:v>
                </c:pt>
                <c:pt idx="1">
                  <c:v>4.62</c:v>
                </c:pt>
                <c:pt idx="2">
                  <c:v>4.62</c:v>
                </c:pt>
                <c:pt idx="3">
                  <c:v>4.54</c:v>
                </c:pt>
                <c:pt idx="4">
                  <c:v>4.47</c:v>
                </c:pt>
                <c:pt idx="5">
                  <c:v>5.8</c:v>
                </c:pt>
                <c:pt idx="6">
                  <c:v>6.46</c:v>
                </c:pt>
                <c:pt idx="7">
                  <c:v>6.78</c:v>
                </c:pt>
                <c:pt idx="8">
                  <c:v>6.95</c:v>
                </c:pt>
                <c:pt idx="9">
                  <c:v>6.15</c:v>
                </c:pt>
                <c:pt idx="10">
                  <c:v>5.77</c:v>
                </c:pt>
                <c:pt idx="11">
                  <c:v>5.56</c:v>
                </c:pt>
                <c:pt idx="12">
                  <c:v>5.47</c:v>
                </c:pt>
              </c:numCache>
            </c:numRef>
          </c:yVal>
          <c:smooth val="0"/>
        </c:ser>
        <c:axId val="333"/>
        <c:axId val="444"/>
      </c:scatterChart>
      <c:valAx>
        <c:axId val="333"/>
        <c:scaling>
          <c:orientation val="minMax"/>
          <c:max val="2028.6"/>
          <c:min val="2021"/>
        </c:scaling>
        <c:delete val="0"/>
        <c:axPos val="b"/>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8.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Ulush,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2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5"/>
            <c:spPr>
              <a:solidFill>
                <a:srgbClr val="000000"/>
              </a:solidFill>
              <a:ln>
                <a:noFill/>
              </a:ln>
            </c:spPr>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numFmt formatCode="0.00" sourceLinked="0"/>
              <c:spPr>
                <a:noFill/>
                <a:ln>
                  <a:noFill/>
                </a:ln>
              </c:spPr>
              <c:txPr>
                <a:bodyPr/>
                <a:lstStyle/>
                <a:p>
                  <a:pPr>
                    <a:defRPr sz="1000" b="1">
                      <a:solidFill>
                        <a:srgbClr val="000000"/>
                      </a:solidFill>
                      <a:latin typeface="Times New Roman"/>
                      <a:cs typeface="Times New Roman"/>
                    </a:defRPr>
                  </a:pPr>
                  <a:endParaRPr lang="uz-Latn-UZ"/>
                </a:p>
              </c:txPr>
              <c:dLblPos val="b"/>
              <c:showLegendKey val="0"/>
              <c:showVal val="1"/>
              <c:showCatName val="0"/>
              <c:showSerName val="0"/>
              <c:showPercent val="0"/>
              <c:showBubbleSize val="0"/>
            </c:dLbl>
            <c:spPr>
              <a:noFill/>
              <a:ln>
                <a:noFill/>
              </a:ln>
            </c:spPr>
            <c:showLegendKey val="0"/>
            <c:showVal val="0"/>
            <c:showCatName val="0"/>
            <c:showSerName val="0"/>
            <c:showPercent val="0"/>
            <c:showBubbleSize val="0"/>
          </c:dLbls>
          <c:xVal>
            <c:numRef>
              <c:f>Sheet1!$A$2:$A$18</c:f>
              <c:numCache>
                <c:formatCode>General</c:formatCode>
                <c:ptCount val="17"/>
                <c:pt idx="0">
                  <c:v>2021.0</c:v>
                </c:pt>
                <c:pt idx="1">
                  <c:v>2021.25</c:v>
                </c:pt>
                <c:pt idx="2">
                  <c:v>2021.5</c:v>
                </c:pt>
                <c:pt idx="3">
                  <c:v>2021.75</c:v>
                </c:pt>
                <c:pt idx="4">
                  <c:v>2022.0</c:v>
                </c:pt>
                <c:pt idx="5">
                  <c:v>2022.25</c:v>
                </c:pt>
                <c:pt idx="6">
                  <c:v>2022.5</c:v>
                </c:pt>
                <c:pt idx="7">
                  <c:v>2022.75</c:v>
                </c:pt>
                <c:pt idx="8">
                  <c:v>2023.0</c:v>
                </c:pt>
                <c:pt idx="9">
                  <c:v>2023.25</c:v>
                </c:pt>
                <c:pt idx="10">
                  <c:v>2023.5</c:v>
                </c:pt>
                <c:pt idx="11">
                  <c:v>2023.75</c:v>
                </c:pt>
                <c:pt idx="12">
                  <c:v>2024.0</c:v>
                </c:pt>
                <c:pt idx="13">
                  <c:v>2024.25</c:v>
                </c:pt>
                <c:pt idx="14">
                  <c:v>2024.5</c:v>
                </c:pt>
                <c:pt idx="15">
                  <c:v>2024.75</c:v>
                </c:pt>
                <c:pt idx="16">
                  <c:v>2025.0</c:v>
                </c:pt>
              </c:numCache>
            </c:numRef>
          </c:xVal>
          <c:yVal>
            <c:numRef>
              <c:f>Sheet1!$B$2:$B$18</c:f>
              <c:numCache>
                <c:formatCode>General</c:formatCode>
                <c:ptCount val="17"/>
                <c:pt idx="0">
                  <c:v>4.05</c:v>
                </c:pt>
                <c:pt idx="1">
                  <c:v>3.36</c:v>
                </c:pt>
                <c:pt idx="2">
                  <c:v>3.18</c:v>
                </c:pt>
                <c:pt idx="3">
                  <c:v>3.24</c:v>
                </c:pt>
                <c:pt idx="4">
                  <c:v>2.03</c:v>
                </c:pt>
                <c:pt idx="5">
                  <c:v>1.78</c:v>
                </c:pt>
                <c:pt idx="6">
                  <c:v>1.47</c:v>
                </c:pt>
                <c:pt idx="7">
                  <c:v>2.38</c:v>
                </c:pt>
                <c:pt idx="8">
                  <c:v>1.52</c:v>
                </c:pt>
                <c:pt idx="9">
                  <c:v>3.99</c:v>
                </c:pt>
                <c:pt idx="10">
                  <c:v>4.09</c:v>
                </c:pt>
                <c:pt idx="11">
                  <c:v>2.81</c:v>
                </c:pt>
                <c:pt idx="12">
                  <c:v>1.87</c:v>
                </c:pt>
                <c:pt idx="13">
                  <c:v>2.57</c:v>
                </c:pt>
                <c:pt idx="14">
                  <c:v>2.42</c:v>
                </c:pt>
                <c:pt idx="15">
                  <c:v>2.37</c:v>
                </c:pt>
                <c:pt idx="16">
                  <c:v>2.54</c:v>
                </c:pt>
              </c:numCache>
            </c:numRef>
          </c:yVal>
          <c:smooth val="0"/>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2A78D6"/>
                      </a:solidFill>
                      <a:latin typeface="Times New Roman"/>
                      <a:cs typeface="Times New Roman"/>
                    </a:defRPr>
                  </a:pPr>
                  <a:endParaRPr lang="uz-Latn-UZ"/>
                </a:p>
              </c:txPr>
              <c:dLblPos val="r"/>
              <c:showLegendKey val="0"/>
              <c:showVal val="1"/>
              <c:showCatName val="0"/>
              <c:showSerName val="0"/>
              <c:showPercent val="0"/>
              <c:showBubbleSize val="0"/>
            </c:dLbl>
            <c:spPr>
              <a:noFill/>
              <a:ln>
                <a:noFill/>
              </a:ln>
            </c:spPr>
            <c:showLegendKey val="0"/>
            <c:showVal val="0"/>
            <c:showCatName val="0"/>
            <c:showSerName val="0"/>
            <c:showPercent val="0"/>
            <c:showBubbleSize val="0"/>
          </c:dLbls>
          <c:xVal>
            <c:numRef>
              <c:f>Sheet1!$C$2:$C$14</c:f>
              <c:numCache>
                <c:formatCode>General</c:formatCode>
                <c:ptCount val="13"/>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Sheet1!$D$2:$D$14</c:f>
              <c:numCache>
                <c:formatCode>General</c:formatCode>
                <c:ptCount val="13"/>
                <c:pt idx="0">
                  <c:v>2.54</c:v>
                </c:pt>
                <c:pt idx="1">
                  <c:v>2.66</c:v>
                </c:pt>
                <c:pt idx="2">
                  <c:v>2.66</c:v>
                </c:pt>
                <c:pt idx="3">
                  <c:v>2.61</c:v>
                </c:pt>
                <c:pt idx="4">
                  <c:v>2.57</c:v>
                </c:pt>
                <c:pt idx="5">
                  <c:v>2.66</c:v>
                </c:pt>
                <c:pt idx="6">
                  <c:v>2.7</c:v>
                </c:pt>
                <c:pt idx="7">
                  <c:v>2.72</c:v>
                </c:pt>
                <c:pt idx="8">
                  <c:v>2.73</c:v>
                </c:pt>
                <c:pt idx="9">
                  <c:v>2.73</c:v>
                </c:pt>
                <c:pt idx="10">
                  <c:v>2.74</c:v>
                </c:pt>
                <c:pt idx="11">
                  <c:v>2.74</c:v>
                </c:pt>
                <c:pt idx="12">
                  <c:v>2.74</c:v>
                </c:pt>
              </c:numCache>
            </c:numRef>
          </c:yVal>
          <c:smooth val="0"/>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spPr>
              <a:noFill/>
              <a:ln>
                <a:noFill/>
              </a:ln>
            </c:spPr>
            <c:showLegendKey val="0"/>
            <c:showVal val="0"/>
            <c:showCatName val="0"/>
            <c:showSerName val="0"/>
            <c:showPercent val="0"/>
            <c:showBubbleSize val="0"/>
          </c:dLbls>
          <c:xVal>
            <c:numRef>
              <c:f>Sheet1!$E$2:$E$14</c:f>
              <c:numCache>
                <c:formatCode>General</c:formatCode>
                <c:ptCount val="13"/>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Sheet1!$F$2:$F$14</c:f>
              <c:numCache>
                <c:formatCode>General</c:formatCode>
                <c:ptCount val="13"/>
                <c:pt idx="0">
                  <c:v>2.54</c:v>
                </c:pt>
                <c:pt idx="1">
                  <c:v>2.66</c:v>
                </c:pt>
                <c:pt idx="2">
                  <c:v>2.66</c:v>
                </c:pt>
                <c:pt idx="3">
                  <c:v>2.61</c:v>
                </c:pt>
                <c:pt idx="4">
                  <c:v>2.57</c:v>
                </c:pt>
                <c:pt idx="5">
                  <c:v>2.51</c:v>
                </c:pt>
                <c:pt idx="6">
                  <c:v>2.49</c:v>
                </c:pt>
                <c:pt idx="7">
                  <c:v>2.48</c:v>
                </c:pt>
                <c:pt idx="8">
                  <c:v>2.47</c:v>
                </c:pt>
                <c:pt idx="9">
                  <c:v>2.46</c:v>
                </c:pt>
                <c:pt idx="10">
                  <c:v>2.46</c:v>
                </c:pt>
                <c:pt idx="11">
                  <c:v>2.46</c:v>
                </c:pt>
                <c:pt idx="12">
                  <c:v>2.46</c:v>
                </c:pt>
              </c:numCache>
            </c:numRef>
          </c:yVal>
          <c:smooth val="0"/>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FFC000"/>
                      </a:solidFill>
                      <a:latin typeface="Times New Roman"/>
                      <a:cs typeface="Times New Roman"/>
                    </a:defRPr>
                  </a:pPr>
                  <a:endParaRPr lang="uz-Latn-UZ"/>
                </a:p>
              </c:txPr>
              <c:dLblPos val="r"/>
              <c:showLegendKey val="0"/>
              <c:showVal val="1"/>
              <c:showCatName val="0"/>
              <c:showSerName val="0"/>
              <c:showPercent val="0"/>
              <c:showBubbleSize val="0"/>
            </c:dLbl>
            <c:spPr>
              <a:noFill/>
              <a:ln>
                <a:noFill/>
              </a:ln>
            </c:spPr>
            <c:showLegendKey val="0"/>
            <c:showVal val="0"/>
            <c:showCatName val="0"/>
            <c:showSerName val="0"/>
            <c:showPercent val="0"/>
            <c:showBubbleSize val="0"/>
          </c:dLbls>
          <c:xVal>
            <c:numRef>
              <c:f>Sheet1!$G$2:$G$14</c:f>
              <c:numCache>
                <c:formatCode>General</c:formatCode>
                <c:ptCount val="13"/>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Sheet1!$H$2:$H$14</c:f>
              <c:numCache>
                <c:formatCode>General</c:formatCode>
                <c:ptCount val="13"/>
                <c:pt idx="0">
                  <c:v>2.54</c:v>
                </c:pt>
                <c:pt idx="1">
                  <c:v>2.66</c:v>
                </c:pt>
                <c:pt idx="2">
                  <c:v>2.66</c:v>
                </c:pt>
                <c:pt idx="3">
                  <c:v>2.61</c:v>
                </c:pt>
                <c:pt idx="4">
                  <c:v>2.57</c:v>
                </c:pt>
                <c:pt idx="5">
                  <c:v>2.96</c:v>
                </c:pt>
                <c:pt idx="6">
                  <c:v>3.16</c:v>
                </c:pt>
                <c:pt idx="7">
                  <c:v>3.26</c:v>
                </c:pt>
                <c:pt idx="8">
                  <c:v>3.3</c:v>
                </c:pt>
                <c:pt idx="9">
                  <c:v>3.2</c:v>
                </c:pt>
                <c:pt idx="10">
                  <c:v>3.15</c:v>
                </c:pt>
                <c:pt idx="11">
                  <c:v>3.12</c:v>
                </c:pt>
                <c:pt idx="12">
                  <c:v>3.11</c:v>
                </c:pt>
              </c:numCache>
            </c:numRef>
          </c:yVal>
          <c:smooth val="0"/>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C00000"/>
                      </a:solidFill>
                      <a:latin typeface="Times New Roman"/>
                      <a:cs typeface="Times New Roman"/>
                    </a:defRPr>
                  </a:pPr>
                  <a:endParaRPr lang="uz-Latn-UZ"/>
                </a:p>
              </c:txPr>
              <c:dLblPos val="t"/>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C00000"/>
                      </a:solidFill>
                      <a:latin typeface="Times New Roman"/>
                      <a:cs typeface="Times New Roman"/>
                    </a:defRPr>
                  </a:pPr>
                  <a:endParaRPr lang="uz-Latn-UZ"/>
                </a:p>
              </c:txPr>
              <c:dLblPos val="t"/>
              <c:showLegendKey val="0"/>
              <c:showVal val="1"/>
              <c:showCatName val="0"/>
              <c:showSerName val="0"/>
              <c:showPercent val="0"/>
              <c:showBubbleSize val="0"/>
            </c:dLbl>
            <c:spPr>
              <a:noFill/>
              <a:ln>
                <a:noFill/>
              </a:ln>
            </c:spPr>
            <c:showLegendKey val="0"/>
            <c:showVal val="0"/>
            <c:showCatName val="0"/>
            <c:showSerName val="0"/>
            <c:showPercent val="0"/>
            <c:showBubbleSize val="0"/>
          </c:dLbls>
          <c:xVal>
            <c:numRef>
              <c:f>Sheet1!$I$2:$I$14</c:f>
              <c:numCache>
                <c:formatCode>General</c:formatCode>
                <c:ptCount val="13"/>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Sheet1!$J$2:$J$14</c:f>
              <c:numCache>
                <c:formatCode>General</c:formatCode>
                <c:ptCount val="13"/>
                <c:pt idx="0">
                  <c:v>2.54</c:v>
                </c:pt>
                <c:pt idx="1">
                  <c:v>2.66</c:v>
                </c:pt>
                <c:pt idx="2">
                  <c:v>2.66</c:v>
                </c:pt>
                <c:pt idx="3">
                  <c:v>2.61</c:v>
                </c:pt>
                <c:pt idx="4">
                  <c:v>2.57</c:v>
                </c:pt>
                <c:pt idx="5">
                  <c:v>3.34</c:v>
                </c:pt>
                <c:pt idx="6">
                  <c:v>3.72</c:v>
                </c:pt>
                <c:pt idx="7">
                  <c:v>3.9</c:v>
                </c:pt>
                <c:pt idx="8">
                  <c:v>4.0</c:v>
                </c:pt>
                <c:pt idx="9">
                  <c:v>3.54</c:v>
                </c:pt>
                <c:pt idx="10">
                  <c:v>3.32</c:v>
                </c:pt>
                <c:pt idx="11">
                  <c:v>3.2</c:v>
                </c:pt>
                <c:pt idx="12">
                  <c:v>3.15</c:v>
                </c:pt>
              </c:numCache>
            </c:numRef>
          </c:yVal>
          <c:smooth val="0"/>
        </c:ser>
        <c:axId val="333"/>
        <c:axId val="444"/>
      </c:scatterChart>
      <c:valAx>
        <c:axId val="333"/>
        <c:scaling>
          <c:orientation val="minMax"/>
          <c:max val="2028.6"/>
          <c:min val="2021"/>
        </c:scaling>
        <c:delete val="0"/>
        <c:axPos val="b"/>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5.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Ulush,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Tijorat banklari moliyaviy barqarorligini xalqaro standartlar asosida baholash metodologiyasini takomillashtirish</dc:title>
  <dc:subject/>
  <dc:creator>Maxmudov O.T.</dc:creator>
  <cp:keywords/>
  <dc:description/>
  <cp:lastModifiedBy>Maxmudov O.T.</cp:lastModifiedBy>
  <cp:revision>3</cp:revision>
  <dcterms:created xsi:type="dcterms:W3CDTF">2026-10-12T19:11:00Z</dcterms:created>
  <dcterms:modified xsi:type="dcterms:W3CDTF">2026-10-13T09:52:00Z</dcterms:modified>
  <cp:category/>
</cp:coreProperties>
</file>