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acf6eb0da76150b1b8727c097bc04fa1f11b2d8"/>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2.1-§. Oʻzbekistonda banklar moliyaviy barqarorligini baholashning amaldagi holati va xalqaro standartlarga moslashtirish muammolari</w:t>
      </w:r>
    </w:p>
    <w:p>
      <w:pPr>
        <w:pStyle w:val="FirstParagraph"/>
        <w:spacing w:line="360" w:lineRule="auto" w:before="0" w:after="0"/>
        <w:ind w:firstLine="709"/>
        <w:jc w:val="both"/>
      </w:pPr>
      <w:r>
        <w:rPr>
          <w:rFonts w:ascii="Times New Roman" w:hAnsi="Times New Roman" w:cs="Times New Roman" w:eastAsia="Times New Roman"/>
          <w:sz w:val="28"/>
        </w:rPr>
        <w:t xml:space="preserve">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bookmarkStart w:id="23" w:name="X19913ebc704099758ceb5b2d73a60641195b139"/>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1. Baholashning me’yoriy-huquqiy va institutsional asoslari</w:t>
      </w:r>
    </w:p>
    <w:p>
      <w:pPr>
        <w:pStyle w:val="FirstParagraph"/>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520000"/>
                <wp:effectExtent l="0" t="0" r="0" b="0"/>
                <wp:docPr id="1001" name="2.1.1-rasm"/>
                <wp:cNvGraphicFramePr/>
                <a:graphic>
                  <a:graphicData uri="http://schemas.microsoft.com/office/word/2010/wordprocessingGroup">
                    <wpg:wgp>
                      <wpg:cNvGrpSpPr/>
                      <wpg:grpSpPr>
                        <a:xfrm>
                          <a:off x="0" y="0"/>
                          <a:ext cx="5904000" cy="2520000"/>
                          <a:chOff x="0" y="0"/>
                          <a:chExt cx="5904000" cy="2520000"/>
                        </a:xfrm>
                      </wpg:grpSpPr>
                      <wps:wsp>
                        <wps:cNvPr id="2"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Qonunlar</w:t>
                              </w:r>
                            </w:p>
                          </w:txbxContent>
                        </wps:txbx>
                        <wps:bodyPr rot="0" vert="horz" wrap="square" lIns="36000" tIns="18000" rIns="36000" bIns="18000" anchor="ctr" anchorCtr="0">
                          <a:noAutofit/>
                        </wps:bodyPr>
                      </wps:wsp>
                      <wps:wsp>
                        <wps:cNvPr id="3"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«O‘zbekiston Respublikasining</w:t>
                              </w:r>
                            </w:p>
                            <w:p>
                              <w:pPr>
                                <w:spacing w:before="0" w:after="0" w:line="228" w:lineRule="auto"/>
                                <w:jc w:val="center"/>
                                <w:ind w:firstLine="0"/>
                              </w:pPr>
                              <w:r>
                                <w:rPr>
                                  <w:rFonts w:ascii="Times New Roman" w:hAnsi="Times New Roman" w:cs="Times New Roman"/>
                                  <w:color w:val="000000"/>
                                  <w:sz w:val="20"/>
                                  <w:szCs w:val="20"/>
                                </w:rPr>
                                <w:t xml:space="preserve">Markaziy banki to‘g‘risida»gi Qonun</w:t>
                              </w:r>
                            </w:p>
                          </w:txbxContent>
                        </wps:txbx>
                        <wps:bodyPr rot="0" vert="horz" wrap="square" lIns="36000" tIns="18000" rIns="36000" bIns="18000" anchor="ctr" anchorCtr="0">
                          <a:noAutofit/>
                        </wps:bodyPr>
                      </wps:wsp>
                      <wps:wsp>
                        <wps:cNvPr id="4"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«Banklar va bank faoliyati</w:t>
                              </w:r>
                            </w:p>
                            <w:p>
                              <w:pPr>
                                <w:spacing w:before="0" w:after="0" w:line="228" w:lineRule="auto"/>
                                <w:jc w:val="center"/>
                                <w:ind w:firstLine="0"/>
                              </w:pPr>
                              <w:r>
                                <w:rPr>
                                  <w:rFonts w:ascii="Times New Roman" w:hAnsi="Times New Roman" w:cs="Times New Roman"/>
                                  <w:color w:val="000000"/>
                                  <w:sz w:val="20"/>
                                  <w:szCs w:val="20"/>
                                </w:rPr>
                                <w:t xml:space="preserve">to‘g‘risida»gi Qonun</w:t>
                              </w:r>
                            </w:p>
                          </w:txbxContent>
                        </wps:txbx>
                        <wps:bodyPr rot="0" vert="horz" wrap="square" lIns="36000" tIns="18000" rIns="36000" bIns="18000" anchor="ctr" anchorCtr="0">
                          <a:noAutofit/>
                        </wps:bodyPr>
                      </wps:wsp>
                      <wps:wsp>
                        <wps:cNvPr id="5" name="Connector 5"/>
                        <wps:cNvCnPr/>
                        <wps:spPr>
                          <a:xfrm>
                            <a:off x="540000" y="522000"/>
                            <a:ext cx="0" cy="162000"/>
                          </a:xfrm>
                          <a:prstGeom prst="straightConnector1">
                            <a:avLst/>
                          </a:prstGeom>
                          <a:ln w="19050">
                            <a:solidFill>
                              <a:srgbClr val="404040"/>
                            </a:solidFill>
                            <a:tailEnd type="triangle" w="med" len="med"/>
                          </a:ln>
                        </wps:spPr>
                        <wps:bodyPr/>
                      </wps:wsp>
                      <wps:wsp>
                        <wps:cNvPr id="6"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Prudensial</w:t>
                              </w:r>
                            </w:p>
                            <w:p>
                              <w:pPr>
                                <w:spacing w:before="0" w:after="0" w:line="228" w:lineRule="auto"/>
                                <w:jc w:val="center"/>
                                <w:ind w:firstLine="0"/>
                              </w:pPr>
                              <w:r>
                                <w:rPr>
                                  <w:rFonts w:ascii="Times New Roman" w:hAnsi="Times New Roman" w:cs="Times New Roman"/>
                                  <w:b/>
                                  <w:color w:val="FFFFFF"/>
                                  <w:sz w:val="22"/>
                                  <w:szCs w:val="22"/>
                                </w:rPr>
                                <w:t xml:space="preserve">talablar</w:t>
                              </w:r>
                            </w:p>
                          </w:txbxContent>
                        </wps:txbx>
                        <wps:bodyPr rot="0" vert="horz" wrap="square" lIns="36000" tIns="18000" rIns="36000" bIns="18000" anchor="ctr" anchorCtr="0">
                          <a:noAutofit/>
                        </wps:bodyPr>
                      </wps:wsp>
                      <wps:wsp>
                        <wps:cNvPr id="7"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Kapital monandligi</w:t>
                              </w:r>
                            </w:p>
                            <w:p>
                              <w:pPr>
                                <w:spacing w:before="0" w:after="0" w:line="228" w:lineRule="auto"/>
                                <w:jc w:val="center"/>
                                <w:ind w:firstLine="0"/>
                              </w:pPr>
                              <w:r>
                                <w:rPr>
                                  <w:rFonts w:ascii="Times New Roman" w:hAnsi="Times New Roman" w:cs="Times New Roman"/>
                                  <w:color w:val="000000"/>
                                  <w:sz w:val="20"/>
                                  <w:szCs w:val="20"/>
                                </w:rPr>
                                <w:t xml:space="preserve">(№ 3697, 2025)</w:t>
                              </w:r>
                            </w:p>
                          </w:txbxContent>
                        </wps:txbx>
                        <wps:bodyPr rot="0" vert="horz" wrap="square" lIns="36000" tIns="18000" rIns="36000" bIns="18000" anchor="ctr" anchorCtr="0">
                          <a:noAutofit/>
                        </wps:bodyPr>
                      </wps:wsp>
                      <wps:wsp>
                        <wps:cNvPr id="8"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Likvidlik</w:t>
                              </w:r>
                            </w:p>
                            <w:p>
                              <w:pPr>
                                <w:spacing w:before="0" w:after="0" w:line="228" w:lineRule="auto"/>
                                <w:jc w:val="center"/>
                                <w:ind w:firstLine="0"/>
                              </w:pPr>
                              <w:r>
                                <w:rPr>
                                  <w:rFonts w:ascii="Times New Roman" w:hAnsi="Times New Roman" w:cs="Times New Roman"/>
                                  <w:color w:val="000000"/>
                                  <w:sz w:val="20"/>
                                  <w:szCs w:val="20"/>
                                </w:rPr>
                                <w:t xml:space="preserve">(LCR, NSFR, milliy</w:t>
                              </w:r>
                            </w:p>
                            <w:p>
                              <w:pPr>
                                <w:spacing w:before="0" w:after="0" w:line="228" w:lineRule="auto"/>
                                <w:jc w:val="center"/>
                                <w:ind w:firstLine="0"/>
                              </w:pPr>
                              <w:r>
                                <w:rPr>
                                  <w:rFonts w:ascii="Times New Roman" w:hAnsi="Times New Roman" w:cs="Times New Roman"/>
                                  <w:color w:val="000000"/>
                                  <w:sz w:val="20"/>
                                  <w:szCs w:val="20"/>
                                </w:rPr>
                                <w:t xml:space="preserve">normativlar)</w:t>
                              </w:r>
                            </w:p>
                          </w:txbxContent>
                        </wps:txbx>
                        <wps:bodyPr rot="0" vert="horz" wrap="square" lIns="36000" tIns="18000" rIns="36000" bIns="18000" anchor="ctr" anchorCtr="0">
                          <a:noAutofit/>
                        </wps:bodyPr>
                      </wps:wsp>
                      <wps:wsp>
                        <wps:cNvPr id="9"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Aktivlarni tasniflash</w:t>
                              </w:r>
                            </w:p>
                            <w:p>
                              <w:pPr>
                                <w:spacing w:before="0" w:after="0" w:line="228" w:lineRule="auto"/>
                                <w:jc w:val="center"/>
                                <w:ind w:firstLine="0"/>
                              </w:pPr>
                              <w:r>
                                <w:rPr>
                                  <w:rFonts w:ascii="Times New Roman" w:hAnsi="Times New Roman" w:cs="Times New Roman"/>
                                  <w:color w:val="000000"/>
                                  <w:sz w:val="20"/>
                                  <w:szCs w:val="20"/>
                                </w:rPr>
                                <w:t xml:space="preserve">va zaxiralar</w:t>
                              </w:r>
                            </w:p>
                          </w:txbxContent>
                        </wps:txbx>
                        <wps:bodyPr rot="0" vert="horz" wrap="square" lIns="36000" tIns="18000" rIns="36000" bIns="18000" anchor="ctr" anchorCtr="0">
                          <a:noAutofit/>
                        </wps:bodyPr>
                      </wps:wsp>
                      <wps:wsp>
                        <wps:cNvPr id="10" name="Connector 10"/>
                        <wps:cNvCnPr/>
                        <wps:spPr>
                          <a:xfrm>
                            <a:off x="540000" y="1170000"/>
                            <a:ext cx="0" cy="162000"/>
                          </a:xfrm>
                          <a:prstGeom prst="straightConnector1">
                            <a:avLst/>
                          </a:prstGeom>
                          <a:ln w="19050">
                            <a:solidFill>
                              <a:srgbClr val="404040"/>
                            </a:solidFill>
                            <a:tailEnd type="triangle" w="med" len="med"/>
                          </a:ln>
                        </wps:spPr>
                        <wps:bodyPr/>
                      </wps:wsp>
                      <wps:wsp>
                        <wps:cNvPr id="11"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Ichki boshqaruv</w:t>
                              </w:r>
                            </w:p>
                            <w:p>
                              <w:pPr>
                                <w:spacing w:before="0" w:after="0" w:line="228" w:lineRule="auto"/>
                                <w:jc w:val="center"/>
                                <w:ind w:firstLine="0"/>
                              </w:pPr>
                              <w:r>
                                <w:rPr>
                                  <w:rFonts w:ascii="Times New Roman" w:hAnsi="Times New Roman" w:cs="Times New Roman"/>
                                  <w:b/>
                                  <w:color w:val="FFFFFF"/>
                                  <w:sz w:val="22"/>
                                  <w:szCs w:val="22"/>
                                </w:rPr>
                                <w:t xml:space="preserve">talablari</w:t>
                              </w:r>
                            </w:p>
                          </w:txbxContent>
                        </wps:txbx>
                        <wps:bodyPr rot="0" vert="horz" wrap="square" lIns="36000" tIns="18000" rIns="36000" bIns="18000" anchor="ctr" anchorCtr="0">
                          <a:noAutofit/>
                        </wps:bodyPr>
                      </wps:wsp>
                      <wps:wsp>
                        <wps:cNvPr id="12"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Korporativ boshqaruv</w:t>
                              </w:r>
                            </w:p>
                            <w:p>
                              <w:pPr>
                                <w:spacing w:before="0" w:after="0" w:line="228" w:lineRule="auto"/>
                                <w:jc w:val="center"/>
                                <w:ind w:firstLine="0"/>
                              </w:pPr>
                              <w:r>
                                <w:rPr>
                                  <w:rFonts w:ascii="Times New Roman" w:hAnsi="Times New Roman" w:cs="Times New Roman"/>
                                  <w:color w:val="000000"/>
                                  <w:sz w:val="20"/>
                                  <w:szCs w:val="20"/>
                                </w:rPr>
                                <w:t xml:space="preserve">(№ 3254, 2020)</w:t>
                              </w:r>
                            </w:p>
                          </w:txbxContent>
                        </wps:txbx>
                        <wps:bodyPr rot="0" vert="horz" wrap="square" lIns="36000" tIns="18000" rIns="36000" bIns="18000" anchor="ctr" anchorCtr="0">
                          <a:noAutofit/>
                        </wps:bodyPr>
                      </wps:wsp>
                      <wps:wsp>
                        <wps:cNvPr id="1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Risklarni boshqarish</w:t>
                              </w:r>
                            </w:p>
                            <w:p>
                              <w:pPr>
                                <w:spacing w:before="0" w:after="0" w:line="228" w:lineRule="auto"/>
                                <w:jc w:val="center"/>
                                <w:ind w:firstLine="0"/>
                              </w:pPr>
                              <w:r>
                                <w:rPr>
                                  <w:rFonts w:ascii="Times New Roman" w:hAnsi="Times New Roman" w:cs="Times New Roman"/>
                                  <w:color w:val="000000"/>
                                  <w:sz w:val="20"/>
                                  <w:szCs w:val="20"/>
                                </w:rPr>
                                <w:t xml:space="preserve">tizimi (№ 3427, 2023)</w:t>
                              </w:r>
                            </w:p>
                          </w:txbxContent>
                        </wps:txbx>
                        <wps:bodyPr rot="0" vert="horz" wrap="square" lIns="36000" tIns="18000" rIns="36000" bIns="18000" anchor="ctr" anchorCtr="0">
                          <a:noAutofit/>
                        </wps:bodyPr>
                      </wps:wsp>
                      <wps:wsp>
                        <wps:cNvPr id="14"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Ichki audit</w:t>
                              </w:r>
                            </w:p>
                            <w:p>
                              <w:pPr>
                                <w:spacing w:before="0" w:after="0" w:line="228" w:lineRule="auto"/>
                                <w:jc w:val="center"/>
                                <w:ind w:firstLine="0"/>
                              </w:pPr>
                              <w:r>
                                <w:rPr>
                                  <w:rFonts w:ascii="Times New Roman" w:hAnsi="Times New Roman" w:cs="Times New Roman"/>
                                  <w:color w:val="000000"/>
                                  <w:sz w:val="20"/>
                                  <w:szCs w:val="20"/>
                                </w:rPr>
                                <w:t xml:space="preserve">(№ 3302, 2021)</w:t>
                              </w:r>
                            </w:p>
                          </w:txbxContent>
                        </wps:txbx>
                        <wps:bodyPr rot="0" vert="horz" wrap="square" lIns="36000" tIns="18000" rIns="36000" bIns="18000" anchor="ctr" anchorCtr="0">
                          <a:noAutofit/>
                        </wps:bodyPr>
                      </wps:wsp>
                      <wps:wsp>
                        <wps:cNvPr id="15" name="Connector 15"/>
                        <wps:cNvCnPr/>
                        <wps:spPr>
                          <a:xfrm>
                            <a:off x="540000" y="1818000"/>
                            <a:ext cx="0" cy="162000"/>
                          </a:xfrm>
                          <a:prstGeom prst="straightConnector1">
                            <a:avLst/>
                          </a:prstGeom>
                          <a:ln w="19050">
                            <a:solidFill>
                              <a:srgbClr val="404040"/>
                            </a:solidFill>
                            <a:tailEnd type="triangle" w="med" len="med"/>
                          </a:ln>
                        </wps:spPr>
                        <wps:bodyPr/>
                      </wps:wsp>
                      <wps:wsp>
                        <wps:cNvPr id="16"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Nazorat</w:t>
                              </w:r>
                            </w:p>
                            <w:p>
                              <w:pPr>
                                <w:spacing w:before="0" w:after="0" w:line="228" w:lineRule="auto"/>
                                <w:jc w:val="center"/>
                                <w:ind w:firstLine="0"/>
                              </w:pPr>
                              <w:r>
                                <w:rPr>
                                  <w:rFonts w:ascii="Times New Roman" w:hAnsi="Times New Roman" w:cs="Times New Roman"/>
                                  <w:b/>
                                  <w:color w:val="FFFFFF"/>
                                  <w:sz w:val="22"/>
                                  <w:szCs w:val="22"/>
                                </w:rPr>
                                <w:t xml:space="preserve">jarayonlari</w:t>
                              </w:r>
                            </w:p>
                          </w:txbxContent>
                        </wps:txbx>
                        <wps:bodyPr rot="0" vert="horz" wrap="square" lIns="36000" tIns="18000" rIns="36000" bIns="18000" anchor="ctr" anchorCtr="0">
                          <a:noAutofit/>
                        </wps:bodyPr>
                      </wps:wsp>
                      <wps:wsp>
                        <wps:cNvPr id="17"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Risklarga asoslangan</w:t>
                              </w:r>
                            </w:p>
                            <w:p>
                              <w:pPr>
                                <w:spacing w:before="0" w:after="0" w:line="228" w:lineRule="auto"/>
                                <w:jc w:val="center"/>
                                <w:ind w:firstLine="0"/>
                              </w:pPr>
                              <w:r>
                                <w:rPr>
                                  <w:rFonts w:ascii="Times New Roman" w:hAnsi="Times New Roman" w:cs="Times New Roman"/>
                                  <w:color w:val="000000"/>
                                  <w:sz w:val="20"/>
                                  <w:szCs w:val="20"/>
                                </w:rPr>
                                <w:t xml:space="preserve">nazorat (42/29, 2023)</w:t>
                              </w:r>
                            </w:p>
                          </w:txbxContent>
                        </wps:txbx>
                        <wps:bodyPr rot="0" vert="horz" wrap="square" lIns="36000" tIns="18000" rIns="36000" bIns="18000" anchor="ctr" anchorCtr="0">
                          <a:noAutofit/>
                        </wps:bodyPr>
                      </wps:wsp>
                      <wps:wsp>
                        <wps:cNvPr id="18"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Asoslangan mulohaza</w:t>
                              </w:r>
                            </w:p>
                            <w:p>
                              <w:pPr>
                                <w:spacing w:before="0" w:after="0" w:line="228" w:lineRule="auto"/>
                                <w:jc w:val="center"/>
                                <w:ind w:firstLine="0"/>
                              </w:pPr>
                              <w:r>
                                <w:rPr>
                                  <w:rFonts w:ascii="Times New Roman" w:hAnsi="Times New Roman" w:cs="Times New Roman"/>
                                  <w:color w:val="000000"/>
                                  <w:sz w:val="20"/>
                                  <w:szCs w:val="20"/>
                                </w:rPr>
                                <w:t xml:space="preserve">(34/3, 2023)</w:t>
                              </w:r>
                            </w:p>
                          </w:txbxContent>
                        </wps:txbx>
                        <wps:bodyPr rot="0" vert="horz" wrap="square" lIns="36000" tIns="18000" rIns="36000" bIns="18000" anchor="ctr" anchorCtr="0">
                          <a:noAutofit/>
                        </wps:bodyPr>
                      </wps:wsp>
                      <wps:wsp>
                        <wps:cNvPr id="19"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Tizimli banklar</w:t>
                              </w:r>
                            </w:p>
                            <w:p>
                              <w:pPr>
                                <w:spacing w:before="0" w:after="0" w:line="228" w:lineRule="auto"/>
                                <w:jc w:val="center"/>
                                <w:ind w:firstLine="0"/>
                              </w:pPr>
                              <w:r>
                                <w:rPr>
                                  <w:rFonts w:ascii="Times New Roman" w:hAnsi="Times New Roman" w:cs="Times New Roman"/>
                                  <w:color w:val="000000"/>
                                  <w:sz w:val="20"/>
                                  <w:szCs w:val="20"/>
                                </w:rPr>
                                <w:t xml:space="preserve">(4/13, 2023)</w:t>
                              </w:r>
                            </w:p>
                          </w:txbxContent>
                        </wps:txbx>
                        <wps:bodyPr rot="0" vert="horz" wrap="square" lIns="36000" tIns="18000" rIns="36000" bIns="18000" anchor="ctr" anchorCtr="0">
                          <a:noAutofit/>
                        </wps:bodyPr>
                      </wps:wsp>
                      <wps:wsp>
                        <wps:cNvPr id="20"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Kontrsiklik</w:t>
                              </w:r>
                            </w:p>
                            <w:p>
                              <w:pPr>
                                <w:spacing w:before="0" w:after="0" w:line="228" w:lineRule="auto"/>
                                <w:jc w:val="center"/>
                                <w:ind w:firstLine="0"/>
                              </w:pPr>
                              <w:r>
                                <w:rPr>
                                  <w:rFonts w:ascii="Times New Roman" w:hAnsi="Times New Roman" w:cs="Times New Roman"/>
                                  <w:color w:val="000000"/>
                                  <w:sz w:val="20"/>
                                  <w:szCs w:val="20"/>
                                </w:rPr>
                                <w:t xml:space="preserve">bufer (2026)</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2.1.1-rasm. O‘zbekistonda banklar moliyaviy barqarorligini baholashning me’yoriy-huquqiy asoslari</w:t>
      </w:r>
      <w:r>
        <w:rPr>
          <w:rStyle w:val="FootnoteReference"/>
        </w:rPr>
        <w:footnoteReference w:id="20"/>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me’yoriy tizim to‘rt darajadan iborat. Birinchi daraja – qonunlar. Ikkinchi daraja – prudensial talablar: kapital monandligi, likvidlik, aktivlarni tasniflash va zaxiralar to‘g‘risidagi nizomlar.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FootnoteReference"/>
        </w:rPr>
        <w:footnoteReference w:id="21"/>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nizom 2026-yil 1-yanvardan o‘z kuchini yo‘qotdi</w:t>
      </w:r>
      <w:r>
        <w:rPr>
          <w:rStyle w:val="FootnoteReference"/>
        </w:rPr>
        <w:footnoteReference w:id="22"/>
      </w:r>
      <w:r>
        <w:rPr>
          <w:rFonts w:ascii="Times New Roman" w:hAnsi="Times New Roman" w:cs="Times New Roman" w:eastAsia="Times New Roman"/>
          <w:sz w:val="28"/>
        </w:rPr>
        <w:t xml:space="preserve">. Shu bilan Bazel III ning makroprudensial elementlari – kapital buferlari ham joriy etildi.</w:t>
      </w:r>
    </w:p>
    <w:bookmarkEnd w:id="23"/>
    <w:bookmarkStart w:id="33" w:name="amaldagi-baholash-tizimining-tarkibi"/>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2. Amaldagi baholash tizimining tarkibi</w:t>
      </w:r>
    </w:p>
    <w:p>
      <w:pPr>
        <w:pStyle w:val="FirstParagraph"/>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628000"/>
                <wp:effectExtent l="0" t="0" r="0" b="0"/>
                <wp:docPr id="1002" name="2.1.2-rasm"/>
                <wp:cNvGraphicFramePr/>
                <a:graphic>
                  <a:graphicData uri="http://schemas.microsoft.com/office/word/2010/wordprocessingGroup">
                    <wpg:wgp>
                      <wpg:cNvGrpSpPr/>
                      <wpg:grpSpPr>
                        <a:xfrm>
                          <a:off x="0" y="0"/>
                          <a:ext cx="5904000" cy="2628000"/>
                          <a:chOff x="0" y="0"/>
                          <a:chExt cx="5904000" cy="2628000"/>
                        </a:xfrm>
                      </wpg:grpSpPr>
                      <wps:wsp>
                        <wps:cNvPr id="21"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O‘zbekiston Respublikasi</w:t>
                              </w:r>
                            </w:p>
                            <w:p>
                              <w:pPr>
                                <w:spacing w:before="0" w:after="0" w:line="228" w:lineRule="auto"/>
                                <w:jc w:val="center"/>
                                <w:ind w:firstLine="0"/>
                              </w:pPr>
                              <w:r>
                                <w:rPr>
                                  <w:rFonts w:ascii="Times New Roman" w:hAnsi="Times New Roman" w:cs="Times New Roman"/>
                                  <w:b/>
                                  <w:color w:val="FFFFFF"/>
                                  <w:sz w:val="22"/>
                                  <w:szCs w:val="22"/>
                                </w:rPr>
                                <w:t xml:space="preserve">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Kapital monandligi;</w:t>
                              </w:r>
                            </w:p>
                            <w:p>
                              <w:pPr>
                                <w:spacing w:before="0" w:after="0" w:line="228" w:lineRule="auto"/>
                                <w:jc w:val="center"/>
                                <w:ind w:firstLine="0"/>
                              </w:pPr>
                              <w:r>
                                <w:rPr>
                                  <w:rFonts w:ascii="Times New Roman" w:hAnsi="Times New Roman" w:cs="Times New Roman"/>
                                  <w:color w:val="000000"/>
                                  <w:sz w:val="20"/>
                                  <w:szCs w:val="20"/>
                                </w:rPr>
                                <w:t xml:space="preserve">leverej;</w:t>
                              </w:r>
                            </w:p>
                            <w:p>
                              <w:pPr>
                                <w:spacing w:before="0" w:after="0" w:line="228" w:lineRule="auto"/>
                                <w:jc w:val="center"/>
                                <w:ind w:firstLine="0"/>
                              </w:pPr>
                              <w:r>
                                <w:rPr>
                                  <w:rFonts w:ascii="Times New Roman" w:hAnsi="Times New Roman" w:cs="Times New Roman"/>
                                  <w:color w:val="000000"/>
                                  <w:sz w:val="20"/>
                                  <w:szCs w:val="20"/>
                                </w:rPr>
                                <w:t xml:space="preserve">LCR, NSFR va milliy</w:t>
                              </w:r>
                            </w:p>
                            <w:p>
                              <w:pPr>
                                <w:spacing w:before="0" w:after="0" w:line="228" w:lineRule="auto"/>
                                <w:jc w:val="center"/>
                                <w:ind w:firstLine="0"/>
                              </w:pPr>
                              <w:r>
                                <w:rPr>
                                  <w:rFonts w:ascii="Times New Roman" w:hAnsi="Times New Roman" w:cs="Times New Roman"/>
                                  <w:color w:val="000000"/>
                                  <w:sz w:val="20"/>
                                  <w:szCs w:val="20"/>
                                </w:rPr>
                                <w:t xml:space="preserve">likvidlik normativlari;</w:t>
                              </w:r>
                            </w:p>
                            <w:p>
                              <w:pPr>
                                <w:spacing w:before="0" w:after="0" w:line="228" w:lineRule="auto"/>
                                <w:jc w:val="center"/>
                                <w:ind w:firstLine="0"/>
                              </w:pPr>
                              <w:r>
                                <w:rPr>
                                  <w:rFonts w:ascii="Times New Roman" w:hAnsi="Times New Roman" w:cs="Times New Roman"/>
                                  <w:color w:val="000000"/>
                                  <w:sz w:val="20"/>
                                  <w:szCs w:val="20"/>
                                </w:rPr>
                                <w:t xml:space="preserve">hisobotlar asosida</w:t>
                              </w:r>
                            </w:p>
                            <w:p>
                              <w:pPr>
                                <w:spacing w:before="0" w:after="0" w:line="228" w:lineRule="auto"/>
                                <w:jc w:val="center"/>
                                <w:ind w:firstLine="0"/>
                              </w:pPr>
                              <w:r>
                                <w:rPr>
                                  <w:rFonts w:ascii="Times New Roman" w:hAnsi="Times New Roman" w:cs="Times New Roman"/>
                                  <w:color w:val="000000"/>
                                  <w:sz w:val="20"/>
                                  <w:szCs w:val="20"/>
                                </w:rPr>
                                <w:t xml:space="preserve">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Risklarga asoslangan</w:t>
                              </w:r>
                            </w:p>
                            <w:p>
                              <w:pPr>
                                <w:spacing w:before="0" w:after="0" w:line="228" w:lineRule="auto"/>
                                <w:jc w:val="center"/>
                                <w:ind w:firstLine="0"/>
                              </w:pPr>
                              <w:r>
                                <w:rPr>
                                  <w:rFonts w:ascii="Times New Roman" w:hAnsi="Times New Roman" w:cs="Times New Roman"/>
                                  <w:b/>
                                  <w:color w:val="FFFFFF"/>
                                  <w:sz w:val="22"/>
                                  <w:szCs w:val="22"/>
                                </w:rPr>
                                <w:t xml:space="preserve">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Bank risk profili va</w:t>
                              </w:r>
                            </w:p>
                            <w:p>
                              <w:pPr>
                                <w:spacing w:before="0" w:after="0" w:line="228" w:lineRule="auto"/>
                                <w:jc w:val="center"/>
                                <w:ind w:firstLine="0"/>
                              </w:pPr>
                              <w:r>
                                <w:rPr>
                                  <w:rFonts w:ascii="Times New Roman" w:hAnsi="Times New Roman" w:cs="Times New Roman"/>
                                  <w:color w:val="000000"/>
                                  <w:sz w:val="20"/>
                                  <w:szCs w:val="20"/>
                                </w:rPr>
                                <w:t xml:space="preserve">ichki nazoratining</w:t>
                              </w:r>
                            </w:p>
                            <w:p>
                              <w:pPr>
                                <w:spacing w:before="0" w:after="0" w:line="228" w:lineRule="auto"/>
                                <w:jc w:val="center"/>
                                <w:ind w:firstLine="0"/>
                              </w:pPr>
                              <w:r>
                                <w:rPr>
                                  <w:rFonts w:ascii="Times New Roman" w:hAnsi="Times New Roman" w:cs="Times New Roman"/>
                                  <w:color w:val="000000"/>
                                  <w:sz w:val="20"/>
                                  <w:szCs w:val="20"/>
                                </w:rPr>
                                <w:t xml:space="preserve">avtomatik reytingi;</w:t>
                              </w:r>
                            </w:p>
                            <w:p>
                              <w:pPr>
                                <w:spacing w:before="0" w:after="0" w:line="228" w:lineRule="auto"/>
                                <w:jc w:val="center"/>
                                <w:ind w:firstLine="0"/>
                              </w:pPr>
                              <w:r>
                                <w:rPr>
                                  <w:rFonts w:ascii="Times New Roman" w:hAnsi="Times New Roman" w:cs="Times New Roman"/>
                                  <w:color w:val="000000"/>
                                  <w:sz w:val="20"/>
                                  <w:szCs w:val="20"/>
                                </w:rPr>
                                <w:t xml:space="preserve">kuratorlar tuzatishi;</w:t>
                              </w:r>
                            </w:p>
                            <w:p>
                              <w:pPr>
                                <w:spacing w:before="0" w:after="0" w:line="228" w:lineRule="auto"/>
                                <w:jc w:val="center"/>
                                <w:ind w:firstLine="0"/>
                              </w:pPr>
                              <w:r>
                                <w:rPr>
                                  <w:rFonts w:ascii="Times New Roman" w:hAnsi="Times New Roman" w:cs="Times New Roman"/>
                                  <w:color w:val="000000"/>
                                  <w:sz w:val="20"/>
                                  <w:szCs w:val="20"/>
                                </w:rPr>
                                <w:t xml:space="preserve">asoslangan mulohaza;</w:t>
                              </w:r>
                            </w:p>
                            <w:p>
                              <w:pPr>
                                <w:spacing w:before="0" w:after="0" w:line="228" w:lineRule="auto"/>
                                <w:jc w:val="center"/>
                                <w:ind w:firstLine="0"/>
                              </w:pPr>
                              <w:r>
                                <w:rPr>
                                  <w:rFonts w:ascii="Times New Roman" w:hAnsi="Times New Roman" w:cs="Times New Roman"/>
                                  <w:color w:val="000000"/>
                                  <w:sz w:val="20"/>
                                  <w:szCs w:val="20"/>
                                </w:rPr>
                                <w:t xml:space="preserve">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Makroprudensial</w:t>
                              </w:r>
                            </w:p>
                            <w:p>
                              <w:pPr>
                                <w:spacing w:before="0" w:after="0" w:line="228" w:lineRule="auto"/>
                                <w:jc w:val="center"/>
                                <w:ind w:firstLine="0"/>
                              </w:pPr>
                              <w:r>
                                <w:rPr>
                                  <w:rFonts w:ascii="Times New Roman" w:hAnsi="Times New Roman" w:cs="Times New Roman"/>
                                  <w:b/>
                                  <w:color w:val="FFFFFF"/>
                                  <w:sz w:val="22"/>
                                  <w:szCs w:val="22"/>
                                </w:rPr>
                                <w:t xml:space="preserve">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Moliyaviy barqarorlik</w:t>
                              </w:r>
                            </w:p>
                            <w:p>
                              <w:pPr>
                                <w:spacing w:before="0" w:after="0" w:line="228" w:lineRule="auto"/>
                                <w:jc w:val="center"/>
                                <w:ind w:firstLine="0"/>
                              </w:pPr>
                              <w:r>
                                <w:rPr>
                                  <w:rFonts w:ascii="Times New Roman" w:hAnsi="Times New Roman" w:cs="Times New Roman"/>
                                  <w:color w:val="000000"/>
                                  <w:sz w:val="20"/>
                                  <w:szCs w:val="20"/>
                                </w:rPr>
                                <w:t xml:space="preserve">sharhi (yiliga 2 marta);</w:t>
                              </w:r>
                            </w:p>
                            <w:p>
                              <w:pPr>
                                <w:spacing w:before="0" w:after="0" w:line="228" w:lineRule="auto"/>
                                <w:jc w:val="center"/>
                                <w:ind w:firstLine="0"/>
                              </w:pPr>
                              <w:r>
                                <w:rPr>
                                  <w:rFonts w:ascii="Times New Roman" w:hAnsi="Times New Roman" w:cs="Times New Roman"/>
                                  <w:color w:val="000000"/>
                                  <w:sz w:val="20"/>
                                  <w:szCs w:val="20"/>
                                </w:rPr>
                                <w:t xml:space="preserve">to‘lov qobiliyati va</w:t>
                              </w:r>
                            </w:p>
                            <w:p>
                              <w:pPr>
                                <w:spacing w:before="0" w:after="0" w:line="228" w:lineRule="auto"/>
                                <w:jc w:val="center"/>
                                <w:ind w:firstLine="0"/>
                              </w:pPr>
                              <w:r>
                                <w:rPr>
                                  <w:rFonts w:ascii="Times New Roman" w:hAnsi="Times New Roman" w:cs="Times New Roman"/>
                                  <w:color w:val="000000"/>
                                  <w:sz w:val="20"/>
                                  <w:szCs w:val="20"/>
                                </w:rPr>
                                <w:t xml:space="preserve">likvidlik stress-testlari;</w:t>
                              </w:r>
                            </w:p>
                            <w:p>
                              <w:pPr>
                                <w:spacing w:before="0" w:after="0" w:line="228" w:lineRule="auto"/>
                                <w:jc w:val="center"/>
                                <w:ind w:firstLine="0"/>
                              </w:pPr>
                              <w:r>
                                <w:rPr>
                                  <w:rFonts w:ascii="Times New Roman" w:hAnsi="Times New Roman" w:cs="Times New Roman"/>
                                  <w:color w:val="000000"/>
                                  <w:sz w:val="20"/>
                                  <w:szCs w:val="20"/>
                                </w:rPr>
                                <w:t xml:space="preserve">kontrsiklik bufer;</w:t>
                              </w:r>
                            </w:p>
                            <w:p>
                              <w:pPr>
                                <w:spacing w:before="0" w:after="0" w:line="228" w:lineRule="auto"/>
                                <w:jc w:val="center"/>
                                <w:ind w:firstLine="0"/>
                              </w:pPr>
                              <w:r>
                                <w:rPr>
                                  <w:rFonts w:ascii="Times New Roman" w:hAnsi="Times New Roman" w:cs="Times New Roman"/>
                                  <w:color w:val="000000"/>
                                  <w:sz w:val="20"/>
                                  <w:szCs w:val="20"/>
                                </w:rPr>
                                <w:t xml:space="preserve">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Makro daraja – bank tizimi</w:t>
                              </w:r>
                            </w:p>
                          </w:txbxContent>
                        </wps:txbx>
                        <wps:bodyPr rot="0" vert="horz" wrap="square" lIns="36000" tIns="18000" rIns="36000" bIns="18000" anchor="ctr" anchorCtr="0">
                          <a:noAutofit/>
                        </wps:bodyPr>
                      </wps:wsp>
                      <wps:wsp>
                        <wps:cNvPr id="33" name="Shape 33"/>
                        <wps:cNvSpPr/>
                        <wps:spPr>
                          <a:xfrm>
                            <a:off x="36000" y="2304000"/>
                            <a:ext cx="5796000" cy="27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2.1.2-rasm. O‘zbekistonda banklar moliyaviy barqarorligini baholashning amaldagi tizimi</w:t>
      </w:r>
      <w:r>
        <w:rPr>
          <w:rStyle w:val="FootnoteReference"/>
        </w:rPr>
        <w:footnoteReference w:id="24"/>
      </w:r>
    </w:p>
    <w:p>
      <w:pPr>
        <w:pStyle w:val="BodyText"/>
        <w:spacing w:line="360" w:lineRule="auto" w:before="0" w:after="0"/>
        <w:ind w:firstLine="709"/>
        <w:jc w:val="both"/>
      </w:pPr>
      <w:r>
        <w:rPr>
          <w:bCs/>
          <w:rFonts w:ascii="Times New Roman" w:hAnsi="Times New Roman" w:cs="Times New Roman" w:eastAsia="Times New Roman"/>
          <w:b/>
          <w:sz w:val="28"/>
        </w:rPr>
        <w:t xml:space="preserve">Prudensial normativlar.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birinchi va eng rasmiylashgan darajasi – banklarning majburiy prudensial normativlarga rioya etishini nazorat qilish. Amaldagi asosiy talablar 2.1.1-jadvalda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2.1.1-jadval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O‘zbekistonda tijorat banklariga qo‘yiladigan asosiy prudensial talablar</w:t>
      </w:r>
      <w:r>
        <w:rPr>
          <w:rStyle w:val="FootnoteReference"/>
        </w:rPr>
        <w:footnoteReference w:id="25"/>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Talab</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Bazel III minimumi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Izoh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p>
            <w:pPr>
              <w:pStyle w:val="Compact"/>
              <w:spacing w:line="240" w:lineRule="auto"/>
              <w:ind w:firstLine="0"/>
              <w:jc w:val="left"/>
            </w:pPr>
            <w:r>
              <w:rPr>
                <w:rFonts w:ascii="Times New Roman" w:hAnsi="Times New Roman" w:cs="Times New Roman" w:eastAsia="Times New Roman"/>
                <w:sz w:val="22"/>
              </w:rPr>
              <w:t xml:space="preserve">≥ 8%</w:t>
            </w:r>
          </w:p>
        </w:tc>
        <w:tc>
          <w:tcPr/>
          <w:p>
            <w:pPr>
              <w:pStyle w:val="Compact"/>
              <w:spacing w:line="240" w:lineRule="auto"/>
              <w:ind w:firstLine="0"/>
              <w:jc w:val="left"/>
            </w:pPr>
            <w:r>
              <w:rPr>
                <w:rFonts w:ascii="Times New Roman" w:hAnsi="Times New Roman" w:cs="Times New Roman" w:eastAsia="Times New Roman"/>
                <w:sz w:val="22"/>
              </w:rPr>
              <w:t xml:space="preserve">≥ 4,5%</w:t>
            </w:r>
          </w:p>
        </w:tc>
        <w:tc>
          <w:tcPr/>
          <w:p>
            <w:pPr>
              <w:pStyle w:val="Compact"/>
              <w:spacing w:line="240" w:lineRule="auto"/>
              <w:ind w:firstLine="0"/>
              <w:jc w:val="left"/>
            </w:pPr>
            <w:r>
              <w:rPr>
                <w:rFonts w:ascii="Times New Roman" w:hAnsi="Times New Roman" w:cs="Times New Roman" w:eastAsia="Times New Roman"/>
                <w:sz w:val="22"/>
              </w:rPr>
              <w:t xml:space="preserve">2026-yildan yangi nizom bo‘yicha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p>
            <w:pPr>
              <w:pStyle w:val="Compact"/>
              <w:spacing w:line="240" w:lineRule="auto"/>
              <w:ind w:firstLine="0"/>
              <w:jc w:val="left"/>
            </w:pPr>
            <w:r>
              <w:rPr>
                <w:rFonts w:ascii="Times New Roman" w:hAnsi="Times New Roman" w:cs="Times New Roman" w:eastAsia="Times New Roman"/>
                <w:sz w:val="22"/>
              </w:rPr>
              <w:t xml:space="preserve">≥ 13% (2020–2025-yillar)</w:t>
            </w:r>
          </w:p>
        </w:tc>
        <w:tc>
          <w:tcPr/>
          <w:p>
            <w:pPr>
              <w:pStyle w:val="Compact"/>
              <w:spacing w:line="240" w:lineRule="auto"/>
              <w:ind w:firstLine="0"/>
              <w:jc w:val="left"/>
            </w:pPr>
            <w:r>
              <w:rPr>
                <w:rFonts w:ascii="Times New Roman" w:hAnsi="Times New Roman" w:cs="Times New Roman" w:eastAsia="Times New Roman"/>
                <w:sz w:val="22"/>
              </w:rPr>
              <w:t xml:space="preserve">≥ 8%</w:t>
            </w:r>
          </w:p>
        </w:tc>
        <w:tc>
          <w:tcPr/>
          <w:p>
            <w:pPr>
              <w:pStyle w:val="Compact"/>
              <w:spacing w:line="240" w:lineRule="auto"/>
              <w:ind w:firstLine="0"/>
              <w:jc w:val="left"/>
            </w:pPr>
            <w:r>
              <w:rPr>
                <w:rFonts w:ascii="Times New Roman" w:hAnsi="Times New Roman" w:cs="Times New Roman" w:eastAsia="Times New Roman"/>
                <w:sz w:val="22"/>
              </w:rPr>
              <w:t xml:space="preserve">3% lik saqlash buferini o‘z ichiga olgan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Leverej koeffitsiyenti</w:t>
            </w:r>
          </w:p>
        </w:tc>
        <w:tc>
          <w:tcPr/>
          <w:p>
            <w:pPr>
              <w:pStyle w:val="Compact"/>
              <w:spacing w:line="240" w:lineRule="auto"/>
              <w:ind w:firstLine="0"/>
              <w:jc w:val="left"/>
            </w:pPr>
            <w:r>
              <w:rPr>
                <w:rFonts w:ascii="Times New Roman" w:hAnsi="Times New Roman" w:cs="Times New Roman" w:eastAsia="Times New Roman"/>
                <w:sz w:val="22"/>
              </w:rPr>
              <w:t xml:space="preserve">≥ 6%</w:t>
            </w:r>
          </w:p>
        </w:tc>
        <w:tc>
          <w:tcPr/>
          <w:p>
            <w:pPr>
              <w:pStyle w:val="Compact"/>
              <w:spacing w:line="240" w:lineRule="auto"/>
              <w:ind w:firstLine="0"/>
              <w:jc w:val="left"/>
            </w:pPr>
            <w:r>
              <w:rPr>
                <w:rFonts w:ascii="Times New Roman" w:hAnsi="Times New Roman" w:cs="Times New Roman" w:eastAsia="Times New Roman"/>
                <w:sz w:val="22"/>
              </w:rPr>
              <w:t xml:space="preserve">≥ 3%</w:t>
            </w:r>
          </w:p>
        </w:tc>
        <w:tc>
          <w:tcPr/>
          <w:p>
            <w:pPr>
              <w:pStyle w:val="Compact"/>
              <w:spacing w:line="240" w:lineRule="auto"/>
              <w:ind w:firstLine="0"/>
              <w:jc w:val="left"/>
            </w:pPr>
            <w:r>
              <w:rPr>
                <w:rFonts w:ascii="Times New Roman" w:hAnsi="Times New Roman" w:cs="Times New Roman" w:eastAsia="Times New Roman"/>
                <w:sz w:val="22"/>
              </w:rPr>
              <w:t xml:space="preserve">Bazel minimumidan ikki baravar yuqori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Kapitalni saqlash buferi</w:t>
            </w:r>
          </w:p>
        </w:tc>
        <w:tc>
          <w:tcPr/>
          <w:p>
            <w:pPr>
              <w:pStyle w:val="Compact"/>
              <w:spacing w:line="240" w:lineRule="auto"/>
              <w:ind w:firstLine="0"/>
              <w:jc w:val="left"/>
            </w:pPr>
            <w:r>
              <w:rPr>
                <w:rFonts w:ascii="Times New Roman" w:hAnsi="Times New Roman" w:cs="Times New Roman" w:eastAsia="Times New Roman"/>
                <w:sz w:val="22"/>
              </w:rPr>
              <w:t xml:space="preserve">2,5%</w:t>
            </w:r>
          </w:p>
        </w:tc>
        <w:tc>
          <w:tcPr/>
          <w:p>
            <w:pPr>
              <w:pStyle w:val="Compact"/>
              <w:spacing w:line="240" w:lineRule="auto"/>
              <w:ind w:firstLine="0"/>
              <w:jc w:val="left"/>
            </w:pPr>
            <w:r>
              <w:rPr>
                <w:rFonts w:ascii="Times New Roman" w:hAnsi="Times New Roman" w:cs="Times New Roman" w:eastAsia="Times New Roman"/>
                <w:sz w:val="22"/>
              </w:rPr>
              <w:t xml:space="preserve">2,5%</w:t>
            </w:r>
          </w:p>
        </w:tc>
        <w:tc>
          <w:tcPr/>
          <w:p>
            <w:pPr>
              <w:pStyle w:val="Compact"/>
              <w:spacing w:line="240" w:lineRule="auto"/>
              <w:ind w:firstLine="0"/>
              <w:jc w:val="left"/>
            </w:pPr>
            <w:r>
              <w:rPr>
                <w:rFonts w:ascii="Times New Roman" w:hAnsi="Times New Roman" w:cs="Times New Roman" w:eastAsia="Times New Roman"/>
                <w:sz w:val="22"/>
              </w:rPr>
              <w:t xml:space="preserve">2025-yildan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Kontrsiklik bufer</w:t>
            </w:r>
          </w:p>
        </w:tc>
        <w:tc>
          <w:tcPr/>
          <w:p>
            <w:pPr>
              <w:pStyle w:val="Compact"/>
              <w:spacing w:line="240" w:lineRule="auto"/>
              <w:ind w:firstLine="0"/>
              <w:jc w:val="left"/>
            </w:pPr>
            <w:r>
              <w:rPr>
                <w:rFonts w:ascii="Times New Roman" w:hAnsi="Times New Roman" w:cs="Times New Roman" w:eastAsia="Times New Roman"/>
                <w:sz w:val="22"/>
              </w:rPr>
              <w:t xml:space="preserve">1,5%</w:t>
            </w:r>
          </w:p>
        </w:tc>
        <w:tc>
          <w:tcPr/>
          <w:p>
            <w:pPr>
              <w:pStyle w:val="Compact"/>
              <w:spacing w:line="240" w:lineRule="auto"/>
              <w:ind w:firstLine="0"/>
              <w:jc w:val="left"/>
            </w:pPr>
            <w:r>
              <w:rPr>
                <w:rFonts w:ascii="Times New Roman" w:hAnsi="Times New Roman" w:cs="Times New Roman" w:eastAsia="Times New Roman"/>
                <w:sz w:val="22"/>
              </w:rPr>
              <w:t xml:space="preserve">0–2,5%</w:t>
            </w:r>
          </w:p>
        </w:tc>
        <w:tc>
          <w:tcPr/>
          <w:p>
            <w:pPr>
              <w:pStyle w:val="Compact"/>
              <w:spacing w:line="240" w:lineRule="auto"/>
              <w:ind w:firstLine="0"/>
              <w:jc w:val="left"/>
            </w:pPr>
            <w:r>
              <w:rPr>
                <w:rFonts w:ascii="Times New Roman" w:hAnsi="Times New Roman" w:cs="Times New Roman" w:eastAsia="Times New Roman"/>
                <w:sz w:val="22"/>
              </w:rPr>
              <w:t xml:space="preserve">2026-yil 1-yanvardan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Tizimli ahamiyatli banklar buferi</w:t>
            </w:r>
          </w:p>
        </w:tc>
        <w:tc>
          <w:tcPr/>
          <w:p>
            <w:pPr>
              <w:pStyle w:val="Compact"/>
              <w:spacing w:line="240" w:lineRule="auto"/>
              <w:ind w:firstLine="0"/>
              <w:jc w:val="left"/>
            </w:pPr>
            <w:r>
              <w:rPr>
                <w:rFonts w:ascii="Times New Roman" w:hAnsi="Times New Roman" w:cs="Times New Roman" w:eastAsia="Times New Roman"/>
                <w:sz w:val="22"/>
              </w:rPr>
              <w:t xml:space="preserve">1%</w:t>
            </w:r>
          </w:p>
        </w:tc>
        <w:tc>
          <w:tcPr/>
          <w:p>
            <w:pPr>
              <w:pStyle w:val="Compact"/>
              <w:spacing w:line="240" w:lineRule="auto"/>
              <w:ind w:firstLine="0"/>
              <w:jc w:val="left"/>
            </w:pPr>
            <w:r>
              <w:rPr>
                <w:rFonts w:ascii="Times New Roman" w:hAnsi="Times New Roman" w:cs="Times New Roman" w:eastAsia="Times New Roman"/>
                <w:sz w:val="22"/>
              </w:rPr>
              <w:t xml:space="preserve">1–3,5% (G-SIB)</w:t>
            </w:r>
          </w:p>
        </w:tc>
        <w:tc>
          <w:tcPr/>
          <w:p>
            <w:pPr>
              <w:pStyle w:val="Compact"/>
              <w:spacing w:line="240" w:lineRule="auto"/>
              <w:ind w:firstLine="0"/>
              <w:jc w:val="left"/>
            </w:pPr>
            <w:r>
              <w:rPr>
                <w:rFonts w:ascii="Times New Roman" w:hAnsi="Times New Roman" w:cs="Times New Roman" w:eastAsia="Times New Roman"/>
                <w:sz w:val="22"/>
              </w:rPr>
              <w:t xml:space="preserve">7 ta bank uchun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LCR</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2018-yildan to‘liq</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NSFR</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2018-yildan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Joriy likvidlik</w:t>
            </w:r>
          </w:p>
        </w:tc>
        <w:tc>
          <w:tcPr/>
          <w:p>
            <w:pPr>
              <w:pStyle w:val="Compact"/>
              <w:spacing w:line="240" w:lineRule="auto"/>
              <w:ind w:firstLine="0"/>
              <w:jc w:val="left"/>
            </w:pPr>
            <w:r>
              <w:rPr>
                <w:rFonts w:ascii="Times New Roman" w:hAnsi="Times New Roman" w:cs="Times New Roman" w:eastAsia="Times New Roman"/>
                <w:sz w:val="22"/>
              </w:rPr>
              <w:t xml:space="preserve">≥ 30%</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Milliy normativ</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Lahzali likvidlik</w:t>
            </w:r>
          </w:p>
        </w:tc>
        <w:tc>
          <w:tcPr/>
          <w:p>
            <w:pPr>
              <w:pStyle w:val="Compact"/>
              <w:spacing w:line="240" w:lineRule="auto"/>
              <w:ind w:firstLine="0"/>
              <w:jc w:val="left"/>
            </w:pPr>
            <w:r>
              <w:rPr>
                <w:rFonts w:ascii="Times New Roman" w:hAnsi="Times New Roman" w:cs="Times New Roman" w:eastAsia="Times New Roman"/>
                <w:sz w:val="22"/>
              </w:rPr>
              <w:t xml:space="preserve">≥ 10%</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Milliy normativ</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ko‘rinadiki, O‘zbekistonda miqdoriy kapital talablari Bazel III minimumlaridan yuqori belgilangan, likvidlik bo‘yicha esa xalqaro koeffitsiyentlar bilan bir qatorda milliy normativlar ham saqlanib qolgan. B.T. Berdiyarov aynan shu milliy likvidlik normativlarini XVJ ning moliyaviy barqarorlik ko‘rsatkichlari bilan birgalikda baholash tizimiga kiritishni taklif etgan edi</w:t>
      </w:r>
      <w:r>
        <w:rPr>
          <w:rStyle w:val="FootnoteReference"/>
        </w:rPr>
        <w:footnoteReference w:id="26"/>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Risklarga asoslangan nazorat.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ikkinchi darajasi – alohida banklar risk profilini baholash. O‘zbekistonda CAMEL reyting tizimi 1997–1998-yillarda joriy etilgan bo‘lib</w:t>
      </w:r>
      <w:r>
        <w:rPr>
          <w:rStyle w:val="FootnoteReference"/>
        </w:rPr>
        <w:footnoteReference w:id="27"/>
      </w:r>
      <w:r>
        <w:rPr>
          <w:rFonts w:ascii="Times New Roman" w:hAnsi="Times New Roman" w:cs="Times New Roman" w:eastAsia="Times New Roman"/>
          <w:sz w:val="28"/>
        </w:rPr>
        <w:t xml:space="preserve">,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FootnoteReference"/>
        </w:rPr>
        <w:footnoteReference w:id="28"/>
      </w:r>
      <w:r>
        <w:rPr>
          <w:rFonts w:ascii="Times New Roman" w:hAnsi="Times New Roman" w:cs="Times New Roman" w:eastAsia="Times New Roman"/>
          <w:sz w:val="28"/>
        </w:rPr>
        <w:t xml:space="preserve">. Markaziy bankning asoslangan mulohazasi ham shu darajada qo‘llanadi.</w:t>
      </w:r>
    </w:p>
    <w:p>
      <w:pPr>
        <w:pStyle w:val="BodyText"/>
        <w:spacing w:line="360" w:lineRule="auto" w:before="0" w:after="0"/>
        <w:ind w:firstLine="709"/>
        <w:jc w:val="both"/>
      </w:pPr>
      <w:r>
        <w:rPr>
          <w:rFonts w:ascii="Times New Roman" w:hAnsi="Times New Roman" w:cs="Times New Roman" w:eastAsia="Times New Roman"/>
          <w:sz w:val="28"/>
        </w:rPr>
        <w:t xml:space="preserve">Biroq bu baholashning natijalari oshkor qilinmaydi va ochiq ma’lumotlar asosida takrorlab bo‘lmaydi. T.M. Karaliyev va I.F. Sayfiddinov milliy CAMEL tizimida omillar uchun solishtirma vazn va qiyosiy baholash yo‘qligini qayd etgan edi</w:t>
      </w:r>
      <w:r>
        <w:rPr>
          <w:rStyle w:val="FootnoteReference"/>
        </w:rPr>
        <w:footnoteReference w:id="29"/>
      </w:r>
      <w:r>
        <w:rPr>
          <w:rFonts w:ascii="Times New Roman" w:hAnsi="Times New Roman" w:cs="Times New Roman" w:eastAsia="Times New Roman"/>
          <w:sz w:val="28"/>
        </w:rPr>
        <w:t xml:space="preserve">. Yo‘l xaritasida ham avtomatik reyting tuzatishlarini muntazam tekshirish va ularning asoslanganligini ta’minlash uchun alohida «sifat nazorati» bo‘linmasini tashkil etish ko‘zda tutilgani bu muammo hali dolzarbligini ko‘rsatadi</w:t>
      </w:r>
      <w:r>
        <w:rPr>
          <w:rStyle w:val="FootnoteReference"/>
        </w:rPr>
        <w:footnoteReference w:id="30"/>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Makroprudensial monitoring.</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FootnoteReference"/>
        </w:rPr>
        <w:footnoteReference w:id="31"/>
      </w:r>
      <w:r>
        <w:rPr>
          <w:rFonts w:ascii="Times New Roman" w:hAnsi="Times New Roman" w:cs="Times New Roman" w:eastAsia="Times New Roman"/>
          <w:sz w:val="28"/>
        </w:rPr>
        <w:t xml:space="preserve">. 2023-yildan boshlab tizimli ahamiyatga molik banklar har yili aniqlanadi; 2026-yil uchun ro‘yxatga yetti bank – O‘zmilliybank, Agrobank, O‘zsanoatqurilishbank, Xalq banki, Ipoteka-bank, Kapitalbank va Asakabank kiritilgan</w:t>
      </w:r>
      <w:r>
        <w:rPr>
          <w:rStyle w:val="FootnoteReference"/>
        </w:rPr>
        <w:footnoteReference w:id="32"/>
      </w:r>
      <w:r>
        <w:rPr>
          <w:rFonts w:ascii="Times New Roman" w:hAnsi="Times New Roman" w:cs="Times New Roman" w:eastAsia="Times New Roman"/>
          <w:sz w:val="28"/>
        </w:rPr>
        <w:t xml:space="preserve">.</w:t>
      </w:r>
    </w:p>
    <w:bookmarkEnd w:id="33"/>
    <w:bookmarkStart w:id="41" w:name="Xd6eefd4cc7ba4b935b761c202625a21524724c6"/>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3. Bank tizimi moliyaviy barqarorligining asosiy ko‘rsatkichlari</w:t>
      </w:r>
    </w:p>
    <w:p>
      <w:pPr>
        <w:pStyle w:val="FirstParagraph"/>
        <w:spacing w:line="360" w:lineRule="auto" w:before="0" w:after="0"/>
        <w:ind w:firstLine="709"/>
        <w:jc w:val="both"/>
      </w:pPr>
      <w:r>
        <w:rPr>
          <w:rFonts w:ascii="Times New Roman" w:hAnsi="Times New Roman" w:cs="Times New Roman" w:eastAsia="Times New Roman"/>
          <w:sz w:val="28"/>
        </w:rPr>
        <w:t xml:space="preserve">Amaldagi baholash tizimi natijalariga ko‘ra, O‘zbekiston bank tizimi kapital yetarliligi bo‘yicha barqaror holatda. Kapital monandligi 2023-yil oxirida 17,5 foizni</w:t>
      </w:r>
      <w:r>
        <w:rPr>
          <w:rStyle w:val="FootnoteReference"/>
        </w:rPr>
        <w:footnoteReference w:id="34"/>
      </w:r>
      <w:r>
        <w:rPr>
          <w:rFonts w:ascii="Times New Roman" w:hAnsi="Times New Roman" w:cs="Times New Roman" w:eastAsia="Times New Roman"/>
          <w:sz w:val="28"/>
        </w:rPr>
        <w:t xml:space="preserve">, 2024-yil oxirida 17 foizni, 2025-yil oxirida 18,3 foizni tashkil etgan; asosiy kapital (CET1) monandligi 2025-yil oxirida 14,7 foizga teng bo‘lgan</w:t>
      </w:r>
      <w:r>
        <w:rPr>
          <w:rStyle w:val="FootnoteReference"/>
        </w:rPr>
        <w:footnoteReference w:id="35"/>
      </w:r>
      <w:r>
        <w:rPr>
          <w:rFonts w:ascii="Times New Roman" w:hAnsi="Times New Roman" w:cs="Times New Roman" w:eastAsia="Times New Roman"/>
          <w:sz w:val="28"/>
        </w:rPr>
        <w:t xml:space="preserve">. 2026-yil 1-iyul holatiga kapital monandligi 18,5 foizni, CET1 15 foizni, muammoli kreditlar ulushi 3,6 foizni tashkil etgan</w:t>
      </w:r>
      <w:r>
        <w:rPr>
          <w:rStyle w:val="FootnoteReference"/>
        </w:rPr>
        <w:footnoteReference w:id="3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(2.1.3-rasm).</w:t>
      </w:r>
    </w:p>
    <w:p>
      <w:pPr>
        <w:pStyle w:val="BodyText"/>
        <w:keepNext/>
        <w:spacing w:line="240" w:lineRule="auto" w:before="0" w:after="0"/>
        <w:ind w:firstLine="0"/>
        <w:jc w:val="center"/>
      </w:pPr>
      <w:r xmlns:c="http://schemas.openxmlformats.org/drawingml/2006/chart">
        <w:rPr>
          <w:noProof/>
        </w:rPr>
        <w:drawing>
          <wp:inline distT="0" distB="0" distL="0" distR="0">
            <wp:extent cx="5580000" cy="2880000"/>
            <wp:effectExtent l="0" t="0" r="0" b="0"/>
            <wp:docPr id="1003" name="2.1.3-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2.1.3-rasm. O‘zbekiston bank tizimida kapital monandligi ko‘rsatkichlari dinamikasi, %</w:t>
      </w:r>
      <w:r>
        <w:rPr>
          <w:rStyle w:val="FootnoteReference"/>
        </w:rPr>
        <w:footnoteReference w:id="37"/>
      </w:r>
    </w:p>
    <w:p>
      <w:pPr>
        <w:pStyle w:val="BodyText"/>
        <w:spacing w:line="360" w:lineRule="auto" w:before="0" w:after="0"/>
        <w:ind w:firstLine="709"/>
        <w:jc w:val="both"/>
      </w:pPr>
      <w:r>
        <w:rPr>
          <w:rFonts w:ascii="Times New Roman" w:hAnsi="Times New Roman" w:cs="Times New Roman" w:eastAsia="Times New Roman"/>
          <w:sz w:val="28"/>
        </w:rPr>
        <w:t xml:space="preserve">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FootnoteReference"/>
        </w:rPr>
        <w:footnoteReference w:id="38"/>
      </w:r>
      <w:r>
        <w:rPr>
          <w:rFonts w:ascii="Times New Roman" w:hAnsi="Times New Roman" w:cs="Times New Roman" w:eastAsia="Times New Roman"/>
          <w:sz w:val="28"/>
        </w:rPr>
        <w:t xml:space="preserve">. 2025-yil birinchi yarmi bo‘yicha sharhda bu ko‘rsatkichlar mos ravishda 6,1 va 8,4 foiz, leverej koeffitsiyenti esa 5,3 foiz deb baholangan edi</w:t>
      </w:r>
      <w:r>
        <w:rPr>
          <w:rStyle w:val="FootnoteReference"/>
        </w:rPr>
        <w:footnoteReference w:id="39"/>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(2.1.4-rasm).</w:t>
      </w:r>
    </w:p>
    <w:p>
      <w:pPr>
        <w:pStyle w:val="BodyText"/>
        <w:keepNext/>
        <w:spacing w:line="240" w:lineRule="auto" w:before="0" w:after="0"/>
        <w:ind w:firstLine="0"/>
        <w:jc w:val="center"/>
      </w:pPr>
      <w:r xmlns:c="http://schemas.openxmlformats.org/drawingml/2006/chart">
        <w:rPr>
          <w:noProof/>
        </w:rPr>
        <w:drawing>
          <wp:inline distT="0" distB="0" distL="0" distR="0">
            <wp:extent cx="5580000" cy="3060000"/>
            <wp:effectExtent l="0" t="0" r="0" b="0"/>
            <wp:docPr id="1004" name="2.1.4-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2.1.4-rasm. Salbiy stress-ssenariyda bank tizimi kapital ko‘rsatkichlarining o‘zgarishi, %</w:t>
      </w:r>
      <w:r>
        <w:rPr>
          <w:rStyle w:val="FootnoteReference"/>
        </w:rPr>
        <w:footnoteReference w:id="40"/>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salbiy ssenariyda kapital ko‘rsatkichlari amaldagi regulyativ minimumlardan (CET1 bo‘yicha 8 foiz, jami kapital bo‘yicha 13 foiz)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bookmarkEnd w:id="41"/>
    <w:bookmarkStart w:id="55" w:name="X1eb9f5556cdb29c45b5626a98aaf278fffe0b89"/>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4. Xalqaro standartlarga moslashtirish muammolari</w:t>
      </w:r>
    </w:p>
    <w:p>
      <w:pPr>
        <w:pStyle w:val="FirstParagraph"/>
        <w:spacing w:line="360" w:lineRule="auto" w:before="0" w:after="0"/>
        <w:ind w:firstLine="709"/>
        <w:jc w:val="both"/>
      </w:pPr>
      <w:r>
        <w:rPr>
          <w:rFonts w:ascii="Times New Roman" w:hAnsi="Times New Roman" w:cs="Times New Roman" w:eastAsia="Times New Roman"/>
          <w:sz w:val="28"/>
        </w:rPr>
        <w:t xml:space="preserve">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FootnoteReference"/>
        </w:rPr>
        <w:footnoteReference w:id="42"/>
      </w:r>
      <w:r>
        <w:rPr>
          <w:rFonts w:ascii="Times New Roman" w:hAnsi="Times New Roman" w:cs="Times New Roman" w:eastAsia="Times New Roman"/>
          <w:sz w:val="28"/>
        </w:rPr>
        <w:t xml:space="preserve">. FSAP topilmalari va ularga javoban yo‘l xaritasida belgilangan choralar 2.1.2-jadvalda tizimlashtirilgan.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2.1.2-jadval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O‘zbekistonda banklar moliyaviy barqarorligini baholashning xalqaro standartlarga muvofiqligi: tafovutlar va choralar</w:t>
      </w:r>
      <w:r>
        <w:rPr>
          <w:rStyle w:val="FootnoteReference"/>
        </w:rPr>
        <w:footnoteReference w:id="43"/>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1584"/>
        <w:gridCol w:w="1584"/>
        <w:gridCol w:w="1584"/>
        <w:gridCol w:w="1584"/>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Soha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talab</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O‘zbekistondagi holat (FSAP)</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Yo‘l xaritasidagi chora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Muddat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ta’rifi</w:t>
            </w:r>
          </w:p>
        </w:tc>
        <w:tc>
          <w:tcPr/>
          <w:p>
            <w:pPr>
              <w:pStyle w:val="Compact"/>
              <w:spacing w:line="240" w:lineRule="auto"/>
              <w:ind w:firstLine="0"/>
              <w:jc w:val="left"/>
            </w:pPr>
            <w:r>
              <w:rPr>
                <w:rFonts w:ascii="Times New Roman" w:hAnsi="Times New Roman" w:cs="Times New Roman" w:eastAsia="Times New Roman"/>
                <w:sz w:val="22"/>
              </w:rPr>
              <w:t xml:space="preserve">Kapital instrumentlari yo‘qotishni qoplash qobiliyatiga ega bo‘lishi kerak</w:t>
            </w:r>
          </w:p>
        </w:tc>
        <w:tc>
          <w:tcPr/>
          <w:p>
            <w:pPr>
              <w:pStyle w:val="Compact"/>
              <w:spacing w:line="240" w:lineRule="auto"/>
              <w:ind w:firstLine="0"/>
              <w:jc w:val="left"/>
            </w:pPr>
            <w:r>
              <w:rPr>
                <w:rFonts w:ascii="Times New Roman" w:hAnsi="Times New Roman" w:cs="Times New Roman" w:eastAsia="Times New Roman"/>
                <w:sz w:val="22"/>
              </w:rPr>
              <w:t xml:space="preserve">II darajali kapitalning ~1/3 qismini tashkil etuvchi subordinar qarzlar hisobdan chiqarish yoki konvertatsiya xususiyatiga ega emas</w:t>
            </w:r>
          </w:p>
        </w:tc>
        <w:tc>
          <w:tcPr/>
          <w:p>
            <w:pPr>
              <w:pStyle w:val="Compact"/>
              <w:spacing w:line="240" w:lineRule="auto"/>
              <w:ind w:firstLine="0"/>
              <w:jc w:val="left"/>
            </w:pPr>
            <w:r>
              <w:rPr>
                <w:rFonts w:ascii="Times New Roman" w:hAnsi="Times New Roman" w:cs="Times New Roman" w:eastAsia="Times New Roman"/>
                <w:sz w:val="22"/>
              </w:rPr>
              <w:t xml:space="preserve">I va II darajali kapital tarkibi va mezonlarini takomillashtirish</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Risk bo‘yicha tortilgan aktivlar</w:t>
            </w:r>
          </w:p>
        </w:tc>
        <w:tc>
          <w:tcPr/>
          <w:p>
            <w:pPr>
              <w:pStyle w:val="Compact"/>
              <w:spacing w:line="240" w:lineRule="auto"/>
              <w:ind w:firstLine="0"/>
              <w:jc w:val="left"/>
            </w:pPr>
            <w:r>
              <w:rPr>
                <w:rFonts w:ascii="Times New Roman" w:hAnsi="Times New Roman" w:cs="Times New Roman" w:eastAsia="Times New Roman"/>
                <w:sz w:val="22"/>
              </w:rPr>
              <w:t xml:space="preserve">Bazel metodikasi bo‘yicha kredit, operatsion va bozor risklarini hisoblash</w:t>
            </w:r>
          </w:p>
        </w:tc>
        <w:tc>
          <w:tcPr/>
          <w:p>
            <w:pPr>
              <w:pStyle w:val="Compact"/>
              <w:spacing w:line="240" w:lineRule="auto"/>
              <w:ind w:firstLine="0"/>
              <w:jc w:val="left"/>
            </w:pPr>
            <w:r>
              <w:rPr>
                <w:rFonts w:ascii="Times New Roman" w:hAnsi="Times New Roman" w:cs="Times New Roman" w:eastAsia="Times New Roman"/>
                <w:sz w:val="22"/>
              </w:rPr>
              <w:t xml:space="preserve">Ayrim jihatlarda Bazel metodikasidan chetlanish</w:t>
            </w:r>
          </w:p>
        </w:tc>
        <w:tc>
          <w:tcPr/>
          <w:p>
            <w:pPr>
              <w:pStyle w:val="Compact"/>
              <w:spacing w:line="240" w:lineRule="auto"/>
              <w:ind w:firstLine="0"/>
              <w:jc w:val="left"/>
            </w:pPr>
            <w:r>
              <w:rPr>
                <w:rFonts w:ascii="Times New Roman" w:hAnsi="Times New Roman" w:cs="Times New Roman" w:eastAsia="Times New Roman"/>
                <w:sz w:val="22"/>
              </w:rPr>
              <w:t xml:space="preserve">Ayrim kredit, operatsion va bozor risklarini hisoblash tartibini takomillashtirish</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buferlari</w:t>
            </w:r>
          </w:p>
        </w:tc>
        <w:tc>
          <w:tcPr/>
          <w:p>
            <w:pPr>
              <w:pStyle w:val="Compact"/>
              <w:spacing w:line="240" w:lineRule="auto"/>
              <w:ind w:firstLine="0"/>
              <w:jc w:val="left"/>
            </w:pPr>
            <w:r>
              <w:rPr>
                <w:rFonts w:ascii="Times New Roman" w:hAnsi="Times New Roman" w:cs="Times New Roman" w:eastAsia="Times New Roman"/>
                <w:sz w:val="22"/>
              </w:rPr>
              <w:t xml:space="preserve">Saqlash, kontrsiklik va tizimli banklar buferlari</w:t>
            </w:r>
          </w:p>
        </w:tc>
        <w:tc>
          <w:tcPr/>
          <w:p>
            <w:pPr>
              <w:pStyle w:val="Compact"/>
              <w:spacing w:line="240" w:lineRule="auto"/>
              <w:ind w:firstLine="0"/>
              <w:jc w:val="left"/>
            </w:pPr>
            <w:r>
              <w:rPr>
                <w:rFonts w:ascii="Times New Roman" w:hAnsi="Times New Roman" w:cs="Times New Roman" w:eastAsia="Times New Roman"/>
                <w:sz w:val="22"/>
              </w:rPr>
              <w:t xml:space="preserve">Tizimli banklar aniqlangan, ammo ularga bufer qo‘llanmagan</w:t>
            </w:r>
          </w:p>
        </w:tc>
        <w:tc>
          <w:tcPr/>
          <w:p>
            <w:pPr>
              <w:pStyle w:val="Compact"/>
              <w:spacing w:line="240" w:lineRule="auto"/>
              <w:ind w:firstLine="0"/>
              <w:jc w:val="left"/>
            </w:pPr>
            <w:r>
              <w:rPr>
                <w:rFonts w:ascii="Times New Roman" w:hAnsi="Times New Roman" w:cs="Times New Roman" w:eastAsia="Times New Roman"/>
                <w:sz w:val="22"/>
              </w:rPr>
              <w:t xml:space="preserve">Uchala bufer joriy etildi (2025–2026)</w:t>
            </w:r>
          </w:p>
        </w:tc>
        <w:tc>
          <w:tcPr/>
          <w:p>
            <w:pPr>
              <w:pStyle w:val="Compact"/>
              <w:spacing w:line="240" w:lineRule="auto"/>
              <w:ind w:firstLine="0"/>
              <w:jc w:val="left"/>
            </w:pPr>
            <w:r>
              <w:rPr>
                <w:rFonts w:ascii="Times New Roman" w:hAnsi="Times New Roman" w:cs="Times New Roman" w:eastAsia="Times New Roman"/>
                <w:sz w:val="22"/>
              </w:rPr>
              <w:t xml:space="preserve">2025–2026-y.</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2-ustun (ICAAP, SREP)</w:t>
            </w:r>
          </w:p>
        </w:tc>
        <w:tc>
          <w:tcPr/>
          <w:p>
            <w:pPr>
              <w:pStyle w:val="Compact"/>
              <w:spacing w:line="240" w:lineRule="auto"/>
              <w:ind w:firstLine="0"/>
              <w:jc w:val="left"/>
            </w:pPr>
            <w:r>
              <w:rPr>
                <w:rFonts w:ascii="Times New Roman" w:hAnsi="Times New Roman" w:cs="Times New Roman" w:eastAsia="Times New Roman"/>
                <w:sz w:val="22"/>
              </w:rPr>
              <w:t xml:space="preserve">Kapital talabi bank risk profiliga moslashtiriladi</w:t>
            </w:r>
          </w:p>
        </w:tc>
        <w:tc>
          <w:tcPr/>
          <w:p>
            <w:pPr>
              <w:pStyle w:val="Compact"/>
              <w:spacing w:line="240" w:lineRule="auto"/>
              <w:ind w:firstLine="0"/>
              <w:jc w:val="left"/>
            </w:pPr>
            <w:r>
              <w:rPr>
                <w:rFonts w:ascii="Times New Roman" w:hAnsi="Times New Roman" w:cs="Times New Roman" w:eastAsia="Times New Roman"/>
                <w:sz w:val="22"/>
              </w:rPr>
              <w:t xml:space="preserve">2-ustun metodikasi yo‘q</w:t>
            </w:r>
          </w:p>
        </w:tc>
        <w:tc>
          <w:tcPr/>
          <w:p>
            <w:pPr>
              <w:pStyle w:val="Compact"/>
              <w:spacing w:line="240" w:lineRule="auto"/>
              <w:ind w:firstLine="0"/>
              <w:jc w:val="left"/>
            </w:pPr>
            <w:r>
              <w:rPr>
                <w:rFonts w:ascii="Times New Roman" w:hAnsi="Times New Roman" w:cs="Times New Roman" w:eastAsia="Times New Roman"/>
                <w:sz w:val="22"/>
              </w:rPr>
              <w:t xml:space="preserve">Tizimli banklarda ICAAP ni majburiy joriy etish; foiz riski asosida 2-ustunni joriy etish</w:t>
            </w:r>
          </w:p>
        </w:tc>
        <w:tc>
          <w:tcPr/>
          <w:p>
            <w:pPr>
              <w:pStyle w:val="Compact"/>
              <w:spacing w:line="240" w:lineRule="auto"/>
              <w:ind w:firstLine="0"/>
              <w:jc w:val="left"/>
            </w:pPr>
            <w:r>
              <w:rPr>
                <w:rFonts w:ascii="Times New Roman" w:hAnsi="Times New Roman" w:cs="Times New Roman" w:eastAsia="Times New Roman"/>
                <w:sz w:val="22"/>
              </w:rPr>
              <w:t xml:space="preserve">2026–2028-y.; ICAAP – 2027-y. III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p>
            <w:pPr>
              <w:pStyle w:val="Compact"/>
              <w:spacing w:line="240" w:lineRule="auto"/>
              <w:ind w:firstLine="0"/>
              <w:jc w:val="left"/>
            </w:pPr>
            <w:r>
              <w:rPr>
                <w:rFonts w:ascii="Times New Roman" w:hAnsi="Times New Roman" w:cs="Times New Roman" w:eastAsia="Times New Roman"/>
                <w:sz w:val="22"/>
              </w:rPr>
              <w:t xml:space="preserve">Muammoli kreditlar va restrukturizatsiya qilingan aktivlarning Bazel ta’riflari; MHXS 9</w:t>
            </w:r>
          </w:p>
        </w:tc>
        <w:tc>
          <w:tcPr/>
          <w:p>
            <w:pPr>
              <w:pStyle w:val="Compact"/>
              <w:spacing w:line="240" w:lineRule="auto"/>
              <w:ind w:firstLine="0"/>
              <w:jc w:val="left"/>
            </w:pPr>
            <w:r>
              <w:rPr>
                <w:rFonts w:ascii="Times New Roman" w:hAnsi="Times New Roman" w:cs="Times New Roman" w:eastAsia="Times New Roman"/>
                <w:sz w:val="22"/>
              </w:rPr>
              <w:t xml:space="preserve">Aktivlar sifati to‘g‘risida hisobotlarda kamsitib ko‘rsatish holatlari, ayniqsa imtiyozli va yo‘naltirilgan kreditlarda</w:t>
            </w:r>
          </w:p>
        </w:tc>
        <w:tc>
          <w:tcPr/>
          <w:p>
            <w:pPr>
              <w:pStyle w:val="Compact"/>
              <w:spacing w:line="240" w:lineRule="auto"/>
              <w:ind w:firstLine="0"/>
              <w:jc w:val="left"/>
            </w:pPr>
            <w:r>
              <w:rPr>
                <w:rFonts w:ascii="Times New Roman" w:hAnsi="Times New Roman" w:cs="Times New Roman" w:eastAsia="Times New Roman"/>
                <w:sz w:val="22"/>
              </w:rPr>
              <w:t xml:space="preserve">Muammoli kredit ta’rifini kengaytirish, MHXS 9 ning 3-bosqichini to‘liq qamrash, «forborne exposures» ta’rifini joriy etish</w:t>
            </w:r>
          </w:p>
        </w:tc>
        <w:tc>
          <w:tcPr/>
          <w:p>
            <w:pPr>
              <w:pStyle w:val="Compact"/>
              <w:spacing w:line="240" w:lineRule="auto"/>
              <w:ind w:firstLine="0"/>
              <w:jc w:val="left"/>
            </w:pPr>
            <w:r>
              <w:rPr>
                <w:rFonts w:ascii="Times New Roman" w:hAnsi="Times New Roman" w:cs="Times New Roman" w:eastAsia="Times New Roman"/>
                <w:sz w:val="22"/>
              </w:rPr>
              <w:t xml:space="preserve">2026-y. 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w:t>
            </w:r>
          </w:p>
        </w:tc>
        <w:tc>
          <w:tcPr/>
          <w:p>
            <w:pPr>
              <w:pStyle w:val="Compact"/>
              <w:spacing w:line="240" w:lineRule="auto"/>
              <w:ind w:firstLine="0"/>
              <w:jc w:val="left"/>
            </w:pPr>
            <w:r>
              <w:rPr>
                <w:rFonts w:ascii="Times New Roman" w:hAnsi="Times New Roman" w:cs="Times New Roman" w:eastAsia="Times New Roman"/>
                <w:sz w:val="22"/>
              </w:rPr>
              <w:t xml:space="preserve">LCR va NSFR elementlari Bazel III ga to‘liq mos</w:t>
            </w:r>
          </w:p>
        </w:tc>
        <w:tc>
          <w:tcPr/>
          <w:p>
            <w:pPr>
              <w:pStyle w:val="Compact"/>
              <w:spacing w:line="240" w:lineRule="auto"/>
              <w:ind w:firstLine="0"/>
              <w:jc w:val="left"/>
            </w:pPr>
            <w:r>
              <w:rPr>
                <w:rFonts w:ascii="Times New Roman" w:hAnsi="Times New Roman" w:cs="Times New Roman" w:eastAsia="Times New Roman"/>
                <w:sz w:val="22"/>
              </w:rPr>
              <w:t xml:space="preserve">Ayrim elementlar va koeffitsiyentlar Bazel III dan farq qiladi</w:t>
            </w:r>
          </w:p>
        </w:tc>
        <w:tc>
          <w:tcPr/>
          <w:p>
            <w:pPr>
              <w:pStyle w:val="Compact"/>
              <w:spacing w:line="240" w:lineRule="auto"/>
              <w:ind w:firstLine="0"/>
              <w:jc w:val="left"/>
            </w:pPr>
            <w:r>
              <w:rPr>
                <w:rFonts w:ascii="Times New Roman" w:hAnsi="Times New Roman" w:cs="Times New Roman" w:eastAsia="Times New Roman"/>
                <w:sz w:val="22"/>
              </w:rPr>
              <w:t xml:space="preserve">LCR va NSFR elementlarini to‘liq moslashtirish, 2026-yil 1-yanvardan monitoring</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3-ustun (oshkoralik)</w:t>
            </w:r>
          </w:p>
        </w:tc>
        <w:tc>
          <w:tcPr/>
          <w:p>
            <w:pPr>
              <w:pStyle w:val="Compact"/>
              <w:spacing w:line="240" w:lineRule="auto"/>
              <w:ind w:firstLine="0"/>
              <w:jc w:val="left"/>
            </w:pPr>
            <w:r>
              <w:rPr>
                <w:rFonts w:ascii="Times New Roman" w:hAnsi="Times New Roman" w:cs="Times New Roman" w:eastAsia="Times New Roman"/>
                <w:sz w:val="22"/>
              </w:rPr>
              <w:t xml:space="preserve">Moliyaviy va nazorat hisobotlarini oshkor qilish bo‘yicha minimal talablar</w:t>
            </w:r>
          </w:p>
        </w:tc>
        <w:tc>
          <w:tcPr/>
          <w:p>
            <w:pPr>
              <w:pStyle w:val="Compact"/>
              <w:spacing w:line="240" w:lineRule="auto"/>
              <w:ind w:firstLine="0"/>
              <w:jc w:val="left"/>
            </w:pPr>
            <w:r>
              <w:rPr>
                <w:rFonts w:ascii="Times New Roman" w:hAnsi="Times New Roman" w:cs="Times New Roman" w:eastAsia="Times New Roman"/>
                <w:sz w:val="22"/>
              </w:rPr>
              <w:t xml:space="preserve">Minimal talablar belgilanmagan</w:t>
            </w:r>
          </w:p>
        </w:tc>
        <w:tc>
          <w:tcPr/>
          <w:p>
            <w:pPr>
              <w:pStyle w:val="Compact"/>
              <w:spacing w:line="240" w:lineRule="auto"/>
              <w:ind w:firstLine="0"/>
              <w:jc w:val="left"/>
            </w:pPr>
            <w:r>
              <w:rPr>
                <w:rFonts w:ascii="Times New Roman" w:hAnsi="Times New Roman" w:cs="Times New Roman" w:eastAsia="Times New Roman"/>
                <w:sz w:val="22"/>
              </w:rPr>
              <w:t xml:space="preserve">Oshkoralik bo‘yicha minimal talablar nizomini ishlab chiqish</w:t>
            </w:r>
          </w:p>
        </w:tc>
        <w:tc>
          <w:tcPr/>
          <w:p>
            <w:pPr>
              <w:pStyle w:val="Compact"/>
              <w:spacing w:line="240" w:lineRule="auto"/>
              <w:ind w:firstLine="0"/>
              <w:jc w:val="left"/>
            </w:pPr>
            <w:r>
              <w:rPr>
                <w:rFonts w:ascii="Times New Roman" w:hAnsi="Times New Roman" w:cs="Times New Roman" w:eastAsia="Times New Roman"/>
                <w:sz w:val="22"/>
              </w:rPr>
              <w:t xml:space="preserve">2027-y.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Konsolidatsiyalangan nazorat</w:t>
            </w:r>
          </w:p>
        </w:tc>
        <w:tc>
          <w:tcPr/>
          <w:p>
            <w:pPr>
              <w:pStyle w:val="Compact"/>
              <w:spacing w:line="240" w:lineRule="auto"/>
              <w:ind w:firstLine="0"/>
              <w:jc w:val="left"/>
            </w:pPr>
            <w:r>
              <w:rPr>
                <w:rFonts w:ascii="Times New Roman" w:hAnsi="Times New Roman" w:cs="Times New Roman" w:eastAsia="Times New Roman"/>
                <w:sz w:val="22"/>
              </w:rPr>
              <w:t xml:space="preserve">Bank guruhlari, shu jumladan nobank ona kompaniyalar ustidan nazorat</w:t>
            </w:r>
          </w:p>
        </w:tc>
        <w:tc>
          <w:tcPr/>
          <w:p>
            <w:pPr>
              <w:pStyle w:val="Compact"/>
              <w:spacing w:line="240" w:lineRule="auto"/>
              <w:ind w:firstLine="0"/>
              <w:jc w:val="left"/>
            </w:pPr>
            <w:r>
              <w:rPr>
                <w:rFonts w:ascii="Times New Roman" w:hAnsi="Times New Roman" w:cs="Times New Roman" w:eastAsia="Times New Roman"/>
                <w:sz w:val="22"/>
              </w:rPr>
              <w:t xml:space="preserve">Huquqiy asos to‘liq emas</w:t>
            </w:r>
          </w:p>
        </w:tc>
        <w:tc>
          <w:tcPr/>
          <w:p>
            <w:pPr>
              <w:pStyle w:val="Compact"/>
              <w:spacing w:line="240" w:lineRule="auto"/>
              <w:ind w:firstLine="0"/>
              <w:jc w:val="left"/>
            </w:pPr>
            <w:r>
              <w:rPr>
                <w:rFonts w:ascii="Times New Roman" w:hAnsi="Times New Roman" w:cs="Times New Roman" w:eastAsia="Times New Roman"/>
                <w:sz w:val="22"/>
              </w:rPr>
              <w:t xml:space="preserve">Qonunga o‘zgartirish; konsolidatsiyalangan nazorat nizomi</w:t>
            </w:r>
          </w:p>
        </w:tc>
        <w:tc>
          <w:tcPr/>
          <w:p>
            <w:pPr>
              <w:pStyle w:val="Compact"/>
              <w:spacing w:line="240" w:lineRule="auto"/>
              <w:ind w:firstLine="0"/>
              <w:jc w:val="left"/>
            </w:pPr>
            <w:r>
              <w:rPr>
                <w:rFonts w:ascii="Times New Roman" w:hAnsi="Times New Roman" w:cs="Times New Roman" w:eastAsia="Times New Roman"/>
                <w:sz w:val="22"/>
              </w:rPr>
              <w:t xml:space="preserve">2027-y. 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Erta aralashuv</w:t>
            </w:r>
          </w:p>
        </w:tc>
        <w:tc>
          <w:tcPr/>
          <w:p>
            <w:pPr>
              <w:pStyle w:val="Compact"/>
              <w:spacing w:line="240" w:lineRule="auto"/>
              <w:ind w:firstLine="0"/>
              <w:jc w:val="left"/>
            </w:pPr>
            <w:r>
              <w:rPr>
                <w:rFonts w:ascii="Times New Roman" w:hAnsi="Times New Roman" w:cs="Times New Roman" w:eastAsia="Times New Roman"/>
                <w:sz w:val="22"/>
              </w:rPr>
              <w:t xml:space="preserve">Erta ogohlantirish tizimi va tezkor tuzatuvchi choralar</w:t>
            </w:r>
          </w:p>
        </w:tc>
        <w:tc>
          <w:tcPr/>
          <w:p>
            <w:pPr>
              <w:pStyle w:val="Compact"/>
              <w:spacing w:line="240" w:lineRule="auto"/>
              <w:ind w:firstLine="0"/>
              <w:jc w:val="left"/>
            </w:pPr>
            <w:r>
              <w:rPr>
                <w:rFonts w:ascii="Times New Roman" w:hAnsi="Times New Roman" w:cs="Times New Roman" w:eastAsia="Times New Roman"/>
                <w:sz w:val="22"/>
              </w:rPr>
              <w:t xml:space="preserve">Mavjud emas</w:t>
            </w:r>
          </w:p>
        </w:tc>
        <w:tc>
          <w:tcPr/>
          <w:p>
            <w:pPr>
              <w:pStyle w:val="Compact"/>
              <w:spacing w:line="240" w:lineRule="auto"/>
              <w:ind w:firstLine="0"/>
              <w:jc w:val="left"/>
            </w:pPr>
            <w:r>
              <w:rPr>
                <w:rFonts w:ascii="Times New Roman" w:hAnsi="Times New Roman" w:cs="Times New Roman" w:eastAsia="Times New Roman"/>
                <w:sz w:val="22"/>
              </w:rPr>
              <w:t xml:space="preserve">Erta ogohlantirish tizimi (EWS) va tezkor tuzatuvchi choralar (PCA) tizimini joriy etish</w:t>
            </w:r>
          </w:p>
        </w:tc>
        <w:tc>
          <w:tcPr/>
          <w:p>
            <w:pPr>
              <w:pStyle w:val="Compact"/>
              <w:spacing w:line="240" w:lineRule="auto"/>
              <w:ind w:firstLine="0"/>
              <w:jc w:val="left"/>
            </w:pPr>
            <w:r>
              <w:rPr>
                <w:rFonts w:ascii="Times New Roman" w:hAnsi="Times New Roman" w:cs="Times New Roman" w:eastAsia="Times New Roman"/>
                <w:sz w:val="22"/>
              </w:rPr>
              <w:t xml:space="preserve">2026-y. I chorak – 2027-y.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Banklarni sanatsiya qilish</w:t>
            </w:r>
          </w:p>
        </w:tc>
        <w:tc>
          <w:tcPr/>
          <w:p>
            <w:pPr>
              <w:pStyle w:val="Compact"/>
              <w:spacing w:line="240" w:lineRule="auto"/>
              <w:ind w:firstLine="0"/>
              <w:jc w:val="left"/>
            </w:pPr>
            <w:r>
              <w:rPr>
                <w:rFonts w:ascii="Times New Roman" w:hAnsi="Times New Roman" w:cs="Times New Roman" w:eastAsia="Times New Roman"/>
                <w:sz w:val="22"/>
              </w:rPr>
              <w:t xml:space="preserve">Sanatsiya rejimi, sanatsiya rejalari va jamg‘armasi</w:t>
            </w:r>
          </w:p>
        </w:tc>
        <w:tc>
          <w:tcPr/>
          <w:p>
            <w:pPr>
              <w:pStyle w:val="Compact"/>
              <w:spacing w:line="240" w:lineRule="auto"/>
              <w:ind w:firstLine="0"/>
              <w:jc w:val="left"/>
            </w:pPr>
            <w:r>
              <w:rPr>
                <w:rFonts w:ascii="Times New Roman" w:hAnsi="Times New Roman" w:cs="Times New Roman" w:eastAsia="Times New Roman"/>
                <w:sz w:val="22"/>
              </w:rPr>
              <w:t xml:space="preserve">Shakllanish bosqichida</w:t>
            </w:r>
          </w:p>
        </w:tc>
        <w:tc>
          <w:tcPr/>
          <w:p>
            <w:pPr>
              <w:pStyle w:val="Compact"/>
              <w:spacing w:line="240" w:lineRule="auto"/>
              <w:ind w:firstLine="0"/>
              <w:jc w:val="left"/>
            </w:pPr>
            <w:r>
              <w:rPr>
                <w:rFonts w:ascii="Times New Roman" w:hAnsi="Times New Roman" w:cs="Times New Roman" w:eastAsia="Times New Roman"/>
                <w:sz w:val="22"/>
              </w:rPr>
              <w:t xml:space="preserve">Sanatsiya tizimini yaratish; tizimli banklar uchun birinchi sanatsiya rejalari</w:t>
            </w:r>
          </w:p>
        </w:tc>
        <w:tc>
          <w:tcPr/>
          <w:p>
            <w:pPr>
              <w:pStyle w:val="Compact"/>
              <w:spacing w:line="240" w:lineRule="auto"/>
              <w:ind w:firstLine="0"/>
              <w:jc w:val="left"/>
            </w:pPr>
            <w:r>
              <w:rPr>
                <w:rFonts w:ascii="Times New Roman" w:hAnsi="Times New Roman" w:cs="Times New Roman" w:eastAsia="Times New Roman"/>
                <w:sz w:val="22"/>
              </w:rPr>
              <w:t xml:space="preserve">2026–2028-y.</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tafovutlarni tahlil qilish ularni besh guruhga ajratish imkonini beradi (2.1.5-rasm).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484000"/>
                <wp:effectExtent l="0" t="0" r="0" b="0"/>
                <wp:docPr id="1005" name="2.1.5-rasm"/>
                <wp:cNvGraphicFramePr/>
                <a:graphic>
                  <a:graphicData uri="http://schemas.microsoft.com/office/word/2010/wordprocessingGroup">
                    <wpg:wgp>
                      <wpg:cNvGrpSpPr/>
                      <wpg:grpSpPr>
                        <a:xfrm>
                          <a:off x="0" y="0"/>
                          <a:ext cx="5904000" cy="2484000"/>
                          <a:chOff x="0" y="0"/>
                          <a:chExt cx="5904000" cy="2484000"/>
                        </a:xfrm>
                      </wpg:grpSpPr>
                      <wps:wsp>
                        <wps:cNvPr id="34"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Xalqaro standartlarga moslashtirish muammolari</w:t>
                              </w:r>
                            </w:p>
                          </w:txbxContent>
                        </wps:txbx>
                        <wps:bodyPr rot="0" vert="horz" wrap="square" lIns="36000" tIns="18000" rIns="36000" bIns="18000" anchor="ctr" anchorCtr="0">
                          <a:noAutofit/>
                        </wps:bodyPr>
                      </wps:wsp>
                      <wps:wsp>
                        <wps:cNvPr id="35"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36"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Kapitalni o‘lchash</w:t>
                              </w:r>
                            </w:p>
                          </w:txbxContent>
                        </wps:txbx>
                        <wps:bodyPr rot="0" vert="horz" wrap="square" lIns="36000" tIns="18000" rIns="36000" bIns="18000" anchor="ctr" anchorCtr="0">
                          <a:noAutofit/>
                        </wps:bodyPr>
                      </wps:wsp>
                      <wps:wsp>
                        <wps:cNvPr id="37"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subordinar qarzlar Bazel</w:t>
                              </w:r>
                            </w:p>
                            <w:p>
                              <w:pPr>
                                <w:spacing w:before="0" w:after="0" w:line="228" w:lineRule="auto"/>
                                <w:jc w:val="center"/>
                                <w:ind w:firstLine="0"/>
                              </w:pPr>
                              <w:r>
                                <w:rPr>
                                  <w:rFonts w:ascii="Times New Roman" w:hAnsi="Times New Roman" w:cs="Times New Roman"/>
                                  <w:color w:val="000000"/>
                                  <w:sz w:val="18"/>
                                  <w:szCs w:val="18"/>
                                </w:rPr>
                                <w:t xml:space="preserve">mezonlariga mos emas;</w:t>
                              </w:r>
                            </w:p>
                            <w:p>
                              <w:pPr>
                                <w:spacing w:before="0" w:after="0" w:line="228" w:lineRule="auto"/>
                                <w:jc w:val="center"/>
                                <w:ind w:firstLine="0"/>
                              </w:pPr>
                              <w:r>
                                <w:rPr>
                                  <w:rFonts w:ascii="Times New Roman" w:hAnsi="Times New Roman" w:cs="Times New Roman"/>
                                  <w:color w:val="000000"/>
                                  <w:sz w:val="18"/>
                                  <w:szCs w:val="18"/>
                                </w:rPr>
                                <w:t xml:space="preserve">RWA metodikasida</w:t>
                              </w:r>
                            </w:p>
                            <w:p>
                              <w:pPr>
                                <w:spacing w:before="0" w:after="0" w:line="228" w:lineRule="auto"/>
                                <w:jc w:val="center"/>
                                <w:ind w:firstLine="0"/>
                              </w:pPr>
                              <w:r>
                                <w:rPr>
                                  <w:rFonts w:ascii="Times New Roman" w:hAnsi="Times New Roman" w:cs="Times New Roman"/>
                                  <w:color w:val="000000"/>
                                  <w:sz w:val="18"/>
                                  <w:szCs w:val="18"/>
                                </w:rPr>
                                <w:t xml:space="preserve">chetlanishlar</w:t>
                              </w:r>
                            </w:p>
                          </w:txbxContent>
                        </wps:txbx>
                        <wps:bodyPr rot="0" vert="horz" wrap="square" lIns="36000" tIns="18000" rIns="36000" bIns="18000" anchor="ctr" anchorCtr="0">
                          <a:noAutofit/>
                        </wps:bodyPr>
                      </wps:wsp>
                      <wps:wsp>
                        <wps:cNvPr id="38" name="Connector 38"/>
                        <wps:cNvCnPr/>
                        <wps:spPr>
                          <a:xfrm>
                            <a:off x="585000" y="1854000"/>
                            <a:ext cx="2367000" cy="216000"/>
                          </a:xfrm>
                          <a:prstGeom prst="straightConnector1">
                            <a:avLst/>
                          </a:prstGeom>
                          <a:ln w="12700">
                            <a:solidFill>
                              <a:srgbClr val="7F7F7F"/>
                            </a:solidFill>
                            <a:tailEnd type="triangle" w="med" len="med"/>
                          </a:ln>
                        </wps:spPr>
                        <wps:bodyPr/>
                      </wps:wsp>
                      <wps:wsp>
                        <wps:cNvPr id="39"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40"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Aktivlar sifati</w:t>
                              </w:r>
                            </w:p>
                          </w:txbxContent>
                        </wps:txbx>
                        <wps:bodyPr rot="0" vert="horz" wrap="square" lIns="36000" tIns="18000" rIns="36000" bIns="18000" anchor="ctr" anchorCtr="0">
                          <a:noAutofit/>
                        </wps:bodyPr>
                      </wps:wsp>
                      <wps:wsp>
                        <wps:cNvPr id="41"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NPL va restrukturizatsiya</w:t>
                              </w:r>
                            </w:p>
                            <w:p>
                              <w:pPr>
                                <w:spacing w:before="0" w:after="0" w:line="228" w:lineRule="auto"/>
                                <w:jc w:val="center"/>
                                <w:ind w:firstLine="0"/>
                              </w:pPr>
                              <w:r>
                                <w:rPr>
                                  <w:rFonts w:ascii="Times New Roman" w:hAnsi="Times New Roman" w:cs="Times New Roman"/>
                                  <w:color w:val="000000"/>
                                  <w:sz w:val="18"/>
                                  <w:szCs w:val="18"/>
                                </w:rPr>
                                <w:t xml:space="preserve">ta’riflari tor;</w:t>
                              </w:r>
                            </w:p>
                            <w:p>
                              <w:pPr>
                                <w:spacing w:before="0" w:after="0" w:line="228" w:lineRule="auto"/>
                                <w:jc w:val="center"/>
                                <w:ind w:firstLine="0"/>
                              </w:pPr>
                              <w:r>
                                <w:rPr>
                                  <w:rFonts w:ascii="Times New Roman" w:hAnsi="Times New Roman" w:cs="Times New Roman"/>
                                  <w:color w:val="000000"/>
                                  <w:sz w:val="18"/>
                                  <w:szCs w:val="18"/>
                                </w:rPr>
                                <w:t xml:space="preserve">kamsitib ko‘rsatish;</w:t>
                              </w:r>
                            </w:p>
                            <w:p>
                              <w:pPr>
                                <w:spacing w:before="0" w:after="0" w:line="228" w:lineRule="auto"/>
                                <w:jc w:val="center"/>
                                <w:ind w:firstLine="0"/>
                              </w:pPr>
                              <w:r>
                                <w:rPr>
                                  <w:rFonts w:ascii="Times New Roman" w:hAnsi="Times New Roman" w:cs="Times New Roman"/>
                                  <w:color w:val="000000"/>
                                  <w:sz w:val="18"/>
                                  <w:szCs w:val="18"/>
                                </w:rPr>
                                <w:t xml:space="preserve">MHXS 9 to‘liq emas</w:t>
                              </w:r>
                            </w:p>
                          </w:txbxContent>
                        </wps:txbx>
                        <wps:bodyPr rot="0" vert="horz" wrap="square" lIns="36000" tIns="18000" rIns="36000" bIns="18000" anchor="ctr" anchorCtr="0">
                          <a:noAutofit/>
                        </wps:bodyPr>
                      </wps:wsp>
                      <wps:wsp>
                        <wps:cNvPr id="42" name="Connector 42"/>
                        <wps:cNvCnPr/>
                        <wps:spPr>
                          <a:xfrm>
                            <a:off x="1762200" y="1854000"/>
                            <a:ext cx="1189800" cy="216000"/>
                          </a:xfrm>
                          <a:prstGeom prst="straightConnector1">
                            <a:avLst/>
                          </a:prstGeom>
                          <a:ln w="12700">
                            <a:solidFill>
                              <a:srgbClr val="7F7F7F"/>
                            </a:solidFill>
                            <a:tailEnd type="triangle" w="med" len="med"/>
                          </a:ln>
                        </wps:spPr>
                        <wps:bodyPr/>
                      </wps:wsp>
                      <wps:wsp>
                        <wps:cNvPr id="43"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44"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Axborot va</w:t>
                              </w:r>
                            </w:p>
                            <w:p>
                              <w:pPr>
                                <w:spacing w:before="0" w:after="0" w:line="228" w:lineRule="auto"/>
                                <w:jc w:val="center"/>
                                <w:ind w:firstLine="0"/>
                              </w:pPr>
                              <w:r>
                                <w:rPr>
                                  <w:rFonts w:ascii="Times New Roman" w:hAnsi="Times New Roman" w:cs="Times New Roman"/>
                                  <w:b/>
                                  <w:color w:val="FFFFFF"/>
                                  <w:sz w:val="20"/>
                                  <w:szCs w:val="20"/>
                                </w:rPr>
                                <w:t xml:space="preserve">shaffoflik</w:t>
                              </w:r>
                            </w:p>
                          </w:txbxContent>
                        </wps:txbx>
                        <wps:bodyPr rot="0" vert="horz" wrap="square" lIns="36000" tIns="18000" rIns="36000" bIns="18000" anchor="ctr" anchorCtr="0">
                          <a:noAutofit/>
                        </wps:bodyPr>
                      </wps:wsp>
                      <wps:wsp>
                        <wps:cNvPr id="45"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oshkoralik bo‘yicha</w:t>
                              </w:r>
                            </w:p>
                            <w:p>
                              <w:pPr>
                                <w:spacing w:before="0" w:after="0" w:line="228" w:lineRule="auto"/>
                                <w:jc w:val="center"/>
                                <w:ind w:firstLine="0"/>
                              </w:pPr>
                              <w:r>
                                <w:rPr>
                                  <w:rFonts w:ascii="Times New Roman" w:hAnsi="Times New Roman" w:cs="Times New Roman"/>
                                  <w:color w:val="000000"/>
                                  <w:sz w:val="18"/>
                                  <w:szCs w:val="18"/>
                                </w:rPr>
                                <w:t xml:space="preserve">minimal talablar yo‘q;</w:t>
                              </w:r>
                            </w:p>
                            <w:p>
                              <w:pPr>
                                <w:spacing w:before="0" w:after="0" w:line="228" w:lineRule="auto"/>
                                <w:jc w:val="center"/>
                                <w:ind w:firstLine="0"/>
                              </w:pPr>
                              <w:r>
                                <w:rPr>
                                  <w:rFonts w:ascii="Times New Roman" w:hAnsi="Times New Roman" w:cs="Times New Roman"/>
                                  <w:color w:val="000000"/>
                                  <w:sz w:val="18"/>
                                  <w:szCs w:val="18"/>
                                </w:rPr>
                                <w:t xml:space="preserve">milliy hisobot va MHXS</w:t>
                              </w:r>
                            </w:p>
                            <w:p>
                              <w:pPr>
                                <w:spacing w:before="0" w:after="0" w:line="228" w:lineRule="auto"/>
                                <w:jc w:val="center"/>
                                <w:ind w:firstLine="0"/>
                              </w:pPr>
                              <w:r>
                                <w:rPr>
                                  <w:rFonts w:ascii="Times New Roman" w:hAnsi="Times New Roman" w:cs="Times New Roman"/>
                                  <w:color w:val="000000"/>
                                  <w:sz w:val="18"/>
                                  <w:szCs w:val="18"/>
                                </w:rPr>
                                <w:t xml:space="preserve">farqi</w:t>
                              </w:r>
                            </w:p>
                          </w:txbxContent>
                        </wps:txbx>
                        <wps:bodyPr rot="0" vert="horz" wrap="square" lIns="36000" tIns="18000" rIns="36000" bIns="18000" anchor="ctr" anchorCtr="0">
                          <a:noAutofit/>
                        </wps:bodyPr>
                      </wps:wsp>
                      <wps:wsp>
                        <wps:cNvPr id="46" name="Connector 46"/>
                        <wps:cNvCnPr/>
                        <wps:spPr>
                          <a:xfrm>
                            <a:off x="2939400" y="1854000"/>
                            <a:ext cx="12600" cy="216000"/>
                          </a:xfrm>
                          <a:prstGeom prst="straightConnector1">
                            <a:avLst/>
                          </a:prstGeom>
                          <a:ln w="12700">
                            <a:solidFill>
                              <a:srgbClr val="7F7F7F"/>
                            </a:solidFill>
                            <a:tailEnd type="triangle" w="med" len="med"/>
                          </a:ln>
                        </wps:spPr>
                        <wps:bodyPr/>
                      </wps:wsp>
                      <wps:wsp>
                        <wps:cNvPr id="47" name="Connector 47"/>
                        <wps:cNvCnPr/>
                        <wps:spPr>
                          <a:xfrm>
                            <a:off x="2952000" y="396000"/>
                            <a:ext cx="1164600" cy="216000"/>
                          </a:xfrm>
                          <a:prstGeom prst="straightConnector1">
                            <a:avLst/>
                          </a:prstGeom>
                          <a:ln w="15875">
                            <a:solidFill>
                              <a:srgbClr val="404040"/>
                            </a:solidFill>
                            <a:tailEnd type="triangle" w="med" len="med"/>
                          </a:ln>
                        </wps:spPr>
                        <wps:bodyPr/>
                      </wps:wsp>
                      <wps:wsp>
                        <wps:cNvPr id="48"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Institutsional</w:t>
                              </w:r>
                            </w:p>
                          </w:txbxContent>
                        </wps:txbx>
                        <wps:bodyPr rot="0" vert="horz" wrap="square" lIns="36000" tIns="18000" rIns="36000" bIns="18000" anchor="ctr" anchorCtr="0">
                          <a:noAutofit/>
                        </wps:bodyPr>
                      </wps:wsp>
                      <wps:wsp>
                        <wps:cNvPr id="49"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davlat ulushi yuqori;</w:t>
                              </w:r>
                            </w:p>
                            <w:p>
                              <w:pPr>
                                <w:spacing w:before="0" w:after="0" w:line="228" w:lineRule="auto"/>
                                <w:jc w:val="center"/>
                                <w:ind w:firstLine="0"/>
                              </w:pPr>
                              <w:r>
                                <w:rPr>
                                  <w:rFonts w:ascii="Times New Roman" w:hAnsi="Times New Roman" w:cs="Times New Roman"/>
                                  <w:color w:val="000000"/>
                                  <w:sz w:val="18"/>
                                  <w:szCs w:val="18"/>
                                </w:rPr>
                                <w:t xml:space="preserve">konsolidatsiyalangan</w:t>
                              </w:r>
                            </w:p>
                            <w:p>
                              <w:pPr>
                                <w:spacing w:before="0" w:after="0" w:line="228" w:lineRule="auto"/>
                                <w:jc w:val="center"/>
                                <w:ind w:firstLine="0"/>
                              </w:pPr>
                              <w:r>
                                <w:rPr>
                                  <w:rFonts w:ascii="Times New Roman" w:hAnsi="Times New Roman" w:cs="Times New Roman"/>
                                  <w:color w:val="000000"/>
                                  <w:sz w:val="18"/>
                                  <w:szCs w:val="18"/>
                                </w:rPr>
                                <w:t xml:space="preserve">nazorat va sanatsiya</w:t>
                              </w:r>
                            </w:p>
                            <w:p>
                              <w:pPr>
                                <w:spacing w:before="0" w:after="0" w:line="228" w:lineRule="auto"/>
                                <w:jc w:val="center"/>
                                <w:ind w:firstLine="0"/>
                              </w:pPr>
                              <w:r>
                                <w:rPr>
                                  <w:rFonts w:ascii="Times New Roman" w:hAnsi="Times New Roman" w:cs="Times New Roman"/>
                                  <w:color w:val="000000"/>
                                  <w:sz w:val="18"/>
                                  <w:szCs w:val="18"/>
                                </w:rPr>
                                <w:t xml:space="preserve">rejimi shakllanmoqda</w:t>
                              </w:r>
                            </w:p>
                          </w:txbxContent>
                        </wps:txbx>
                        <wps:bodyPr rot="0" vert="horz" wrap="square" lIns="36000" tIns="18000" rIns="36000" bIns="18000" anchor="ctr" anchorCtr="0">
                          <a:noAutofit/>
                        </wps:bodyPr>
                      </wps:wsp>
                      <wps:wsp>
                        <wps:cNvPr id="5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51" name="Connector 51"/>
                        <wps:cNvCnPr/>
                        <wps:spPr>
                          <a:xfrm>
                            <a:off x="2952000" y="396000"/>
                            <a:ext cx="2341800" cy="216000"/>
                          </a:xfrm>
                          <a:prstGeom prst="straightConnector1">
                            <a:avLst/>
                          </a:prstGeom>
                          <a:ln w="15875">
                            <a:solidFill>
                              <a:srgbClr val="404040"/>
                            </a:solidFill>
                            <a:tailEnd type="triangle" w="med" len="med"/>
                          </a:ln>
                        </wps:spPr>
                        <wps:bodyPr/>
                      </wps:wsp>
                      <wps:wsp>
                        <wps:cNvPr id="52"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Baholash vositalari</w:t>
                              </w:r>
                            </w:p>
                          </w:txbxContent>
                        </wps:txbx>
                        <wps:bodyPr rot="0" vert="horz" wrap="square" lIns="36000" tIns="18000" rIns="36000" bIns="18000" anchor="ctr" anchorCtr="0">
                          <a:noAutofit/>
                        </wps:bodyPr>
                      </wps:wsp>
                      <wps:wsp>
                        <wps:cNvPr id="53"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erta ogohlantirish va</w:t>
                              </w:r>
                            </w:p>
                            <w:p>
                              <w:pPr>
                                <w:spacing w:before="0" w:after="0" w:line="228" w:lineRule="auto"/>
                                <w:jc w:val="center"/>
                                <w:ind w:firstLine="0"/>
                              </w:pPr>
                              <w:r>
                                <w:rPr>
                                  <w:rFonts w:ascii="Times New Roman" w:hAnsi="Times New Roman" w:cs="Times New Roman"/>
                                  <w:color w:val="000000"/>
                                  <w:sz w:val="18"/>
                                  <w:szCs w:val="18"/>
                                </w:rPr>
                                <w:t xml:space="preserve">PCA yo‘q; 2-ustun yo‘q;</w:t>
                              </w:r>
                            </w:p>
                            <w:p>
                              <w:pPr>
                                <w:spacing w:before="0" w:after="0" w:line="228" w:lineRule="auto"/>
                                <w:jc w:val="center"/>
                                <w:ind w:firstLine="0"/>
                              </w:pPr>
                              <w:r>
                                <w:rPr>
                                  <w:rFonts w:ascii="Times New Roman" w:hAnsi="Times New Roman" w:cs="Times New Roman"/>
                                  <w:color w:val="000000"/>
                                  <w:sz w:val="18"/>
                                  <w:szCs w:val="18"/>
                                </w:rPr>
                                <w:t xml:space="preserve">reytinglar yopiq; integral</w:t>
                              </w:r>
                            </w:p>
                            <w:p>
                              <w:pPr>
                                <w:spacing w:before="0" w:after="0" w:line="228" w:lineRule="auto"/>
                                <w:jc w:val="center"/>
                                <w:ind w:firstLine="0"/>
                              </w:pPr>
                              <w:r>
                                <w:rPr>
                                  <w:rFonts w:ascii="Times New Roman" w:hAnsi="Times New Roman" w:cs="Times New Roman"/>
                                  <w:color w:val="000000"/>
                                  <w:sz w:val="18"/>
                                  <w:szCs w:val="18"/>
                                </w:rPr>
                                <w:t xml:space="preserve">ko‘rsatkich yo‘q</w:t>
                              </w:r>
                            </w:p>
                          </w:txbxContent>
                        </wps:txbx>
                        <wps:bodyPr rot="0" vert="horz" wrap="square" lIns="36000" tIns="18000" rIns="36000" bIns="18000" anchor="ctr" anchorCtr="0">
                          <a:noAutofit/>
                        </wps:bodyPr>
                      </wps:wsp>
                      <wps:wsp>
                        <wps:cNvPr id="54"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55"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2.1.5-rasm. Banklar moliyaviy barqarorligini baholashni xalqaro standartlarga moslashtirish muammolari</w:t>
      </w:r>
      <w:r>
        <w:rPr>
          <w:rStyle w:val="FootnoteReference"/>
        </w:rPr>
        <w:footnoteReference w:id="44"/>
      </w:r>
    </w:p>
    <w:p>
      <w:pPr>
        <w:pStyle w:val="BodyText"/>
        <w:spacing w:line="360" w:lineRule="auto" w:before="0" w:after="0"/>
        <w:ind w:firstLine="709"/>
        <w:jc w:val="both"/>
      </w:pPr>
      <w:r>
        <w:rPr>
          <w:bCs/>
          <w:rFonts w:ascii="Times New Roman" w:hAnsi="Times New Roman" w:cs="Times New Roman" w:eastAsia="Times New Roman"/>
          <w:b/>
          <w:sz w:val="28"/>
        </w:rPr>
        <w:t xml:space="preserve">Birinchi guruh – kapitalni o‘lchash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O‘zbekistonda miqdoriy kapital talablari xalqaro minimumlardan yuqori, ammo kapitalning</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sifati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ularga to‘liq mos emas. Subordinar qarzlarning sezilarli qismi Bazel talab qiladigan yo‘qotishni qoplash xususiyatiga ega emas, risk bo‘yicha tortilgan aktivlarni hisoblashda ham Bazel metodikasidan chetlanishlar bor</w:t>
      </w:r>
      <w:r>
        <w:rPr>
          <w:rStyle w:val="FootnoteReference"/>
        </w:rPr>
        <w:footnoteReference w:id="45"/>
      </w:r>
      <w:r>
        <w:rPr>
          <w:rFonts w:ascii="Times New Roman" w:hAnsi="Times New Roman" w:cs="Times New Roman" w:eastAsia="Times New Roman"/>
          <w:sz w:val="28"/>
        </w:rPr>
        <w:t xml:space="preserve">. Natijada e’lon qilinadigan yuqori kapital monandligi ko‘rsatkichi bankning yo‘qotishlarni qoplash qobiliyatini qisman oshirib ko‘rsatishi mumkin. Bu holat moliyaviy barqarorlikni baholashda kapital ko‘rsatkichini yagona yoki asosiy mezon sifatida qo‘llash xavfli ekanini ko‘rsatadi.</w:t>
      </w:r>
    </w:p>
    <w:p>
      <w:pPr>
        <w:pStyle w:val="BodyText"/>
        <w:spacing w:line="360" w:lineRule="auto" w:before="0" w:after="0"/>
        <w:ind w:firstLine="709"/>
        <w:jc w:val="both"/>
      </w:pPr>
      <w:r>
        <w:rPr>
          <w:bCs/>
          <w:rFonts w:ascii="Times New Roman" w:hAnsi="Times New Roman" w:cs="Times New Roman" w:eastAsia="Times New Roman"/>
          <w:b/>
          <w:sz w:val="28"/>
        </w:rPr>
        <w:t xml:space="preserve">Ikkinchi guruh – aktivlar sifatini baholash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FootnoteReference"/>
        </w:rPr>
        <w:footnoteReference w:id="46"/>
      </w:r>
      <w:r>
        <w:rPr>
          <w:rFonts w:ascii="Times New Roman" w:hAnsi="Times New Roman" w:cs="Times New Roman" w:eastAsia="Times New Roman"/>
          <w:sz w:val="28"/>
        </w:rPr>
        <w:t xml:space="preserve">.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FootnoteReference"/>
        </w:rPr>
        <w:footnoteReference w:id="47"/>
      </w:r>
      <w:r>
        <w:rPr>
          <w:rFonts w:ascii="Times New Roman" w:hAnsi="Times New Roman" w:cs="Times New Roman" w:eastAsia="Times New Roman"/>
          <w:sz w:val="28"/>
        </w:rPr>
        <w:t xml:space="preserve">. Bu kamchiliklar e’lon qilinadigan muammoli kreditlar ulushining haqiqiy riskni to‘liq aks ettirmasligiga olib kelishi mumkin.</w:t>
      </w:r>
    </w:p>
    <w:p>
      <w:pPr>
        <w:pStyle w:val="BodyText"/>
        <w:spacing w:line="360" w:lineRule="auto" w:before="0" w:after="0"/>
        <w:ind w:firstLine="709"/>
        <w:jc w:val="both"/>
      </w:pPr>
      <w:r>
        <w:rPr>
          <w:bCs/>
          <w:rFonts w:ascii="Times New Roman" w:hAnsi="Times New Roman" w:cs="Times New Roman" w:eastAsia="Times New Roman"/>
          <w:b/>
          <w:sz w:val="28"/>
        </w:rPr>
        <w:t xml:space="preserve">Uchinchi guruh – axborot va shaffoflik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FootnoteReference"/>
        </w:rPr>
        <w:footnoteReference w:id="48"/>
      </w:r>
      <w:r>
        <w:rPr>
          <w:rFonts w:ascii="Times New Roman" w:hAnsi="Times New Roman" w:cs="Times New Roman" w:eastAsia="Times New Roman"/>
          <w:sz w:val="28"/>
        </w:rPr>
        <w:t xml:space="preserve">. Hukumat va Markaziy bank barcha tijorat banklarini MHXS ga to‘liq o‘tkazishni maqsad qilib qo‘ygan</w:t>
      </w:r>
      <w:r>
        <w:rPr>
          <w:rStyle w:val="FootnoteReference"/>
        </w:rPr>
        <w:footnoteReference w:id="49"/>
      </w:r>
      <w:r>
        <w:rPr>
          <w:rFonts w:ascii="Times New Roman" w:hAnsi="Times New Roman" w:cs="Times New Roman" w:eastAsia="Times New Roman"/>
          <w:sz w:val="28"/>
        </w:rPr>
        <w:t xml:space="preserve">. Bu jarayon yakunlanmaguncha milliy hisobot va MHXS bo‘yicha ko‘rsatkichlar farq qilishi davom etadi, bu esa baholash natijalarining taqqoslanuvchanligini pasaytiradi.</w:t>
      </w:r>
    </w:p>
    <w:p>
      <w:pPr>
        <w:pStyle w:val="BodyText"/>
        <w:spacing w:line="360" w:lineRule="auto" w:before="0" w:after="0"/>
        <w:ind w:firstLine="709"/>
        <w:jc w:val="both"/>
      </w:pPr>
      <w:r>
        <w:rPr>
          <w:bCs/>
          <w:rFonts w:ascii="Times New Roman" w:hAnsi="Times New Roman" w:cs="Times New Roman" w:eastAsia="Times New Roman"/>
          <w:b/>
          <w:sz w:val="28"/>
        </w:rPr>
        <w:t xml:space="preserve">To‘rtinchi guruh – institutsional muammolar.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O‘zbekiston bank tizimida davlat ulushi yuqori, bu esa xalqaro standartlarni qo‘llashda o‘ziga xos muammolarni keltirib chiqaradi. Yo‘l xaritasida banklar tomonidan davlat 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FootnoteReference"/>
        </w:rPr>
        <w:footnoteReference w:id="50"/>
      </w:r>
      <w:r>
        <w:rPr>
          <w:rFonts w:ascii="Times New Roman" w:hAnsi="Times New Roman" w:cs="Times New Roman" w:eastAsia="Times New Roman"/>
          <w:sz w:val="28"/>
        </w:rPr>
        <w:t xml:space="preserve">.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FootnoteReference"/>
        </w:rPr>
        <w:footnoteReference w:id="51"/>
      </w:r>
      <w:r>
        <w:rPr>
          <w:rFonts w:ascii="Times New Roman" w:hAnsi="Times New Roman" w:cs="Times New Roman" w:eastAsia="Times New Roman"/>
          <w:sz w:val="28"/>
        </w:rPr>
        <w:t xml:space="preserve">. Bundan tashqari, konsolidatsiyalangan nazorat, banklarni sanatsiya qilish rejimi va Moliyaviy barqarorlik kengashi hali shakllanish bosqichida.</w:t>
      </w:r>
    </w:p>
    <w:p>
      <w:pPr>
        <w:pStyle w:val="BodyText"/>
        <w:spacing w:line="360" w:lineRule="auto" w:before="0" w:after="0"/>
        <w:ind w:firstLine="709"/>
        <w:jc w:val="both"/>
      </w:pPr>
      <w:r>
        <w:rPr>
          <w:bCs/>
          <w:rFonts w:ascii="Times New Roman" w:hAnsi="Times New Roman" w:cs="Times New Roman" w:eastAsia="Times New Roman"/>
          <w:b/>
          <w:sz w:val="28"/>
        </w:rPr>
        <w:t xml:space="preserve">Beshinchi guruh – baholash vositalari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FootnoteReference"/>
        </w:rPr>
        <w:footnoteReference w:id="52"/>
      </w:r>
      <w:r>
        <w:rPr>
          <w:rFonts w:ascii="Times New Roman" w:hAnsi="Times New Roman" w:cs="Times New Roman" w:eastAsia="Times New Roman"/>
          <w:sz w:val="28"/>
        </w:rPr>
        <w:t xml:space="preserve">. To‘lov qobiliyati bo‘yicha makro stress-test MHXS 9 asosidagi muammoli kreditlar ma’lumotlari to‘liq shakllangandan keyingina shu ma’lumotlarga tayanadigan bo‘ladi</w:t>
      </w:r>
      <w:r>
        <w:rPr>
          <w:rStyle w:val="FootnoteReference"/>
        </w:rPr>
        <w:footnoteReference w:id="53"/>
      </w:r>
      <w:r>
        <w:rPr>
          <w:rFonts w:ascii="Times New Roman" w:hAnsi="Times New Roman" w:cs="Times New Roman" w:eastAsia="Times New Roman"/>
          <w:sz w:val="28"/>
        </w:rPr>
        <w:t xml:space="preserve">. Risklarga asoslangan nazorat doirasidagi reyting baholari esa yopiq. Natijada bank barqarorligini ochiq ma’lumotlar asosida, yagona integral ko‘rsatkich bilan va bashorat elementi bilan baholaydigan vosita mavjud emas.</w:t>
      </w:r>
    </w:p>
    <w:p>
      <w:pPr>
        <w:pStyle w:val="BodyText"/>
        <w:spacing w:line="360" w:lineRule="auto" w:before="0" w:after="0"/>
        <w:ind w:firstLine="709"/>
        <w:jc w:val="both"/>
      </w:pPr>
      <w:r>
        <w:rPr>
          <w:rFonts w:ascii="Times New Roman" w:hAnsi="Times New Roman" w:cs="Times New Roman" w:eastAsia="Times New Roman"/>
          <w:sz w:val="28"/>
        </w:rP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choragida yakunlanishi rejalashtirilgan</w:t>
      </w:r>
      <w:r>
        <w:rPr>
          <w:rStyle w:val="FootnoteReference"/>
        </w:rPr>
        <w:footnoteReference w:id="54"/>
      </w:r>
      <w:r>
        <w:rPr>
          <w:rFonts w:ascii="Times New Roman" w:hAnsi="Times New Roman" w:cs="Times New Roman" w:eastAsia="Times New Roman"/>
          <w:sz w:val="28"/>
        </w:rPr>
        <w:t xml:space="preserve">. Demak, baholash tizimining mazmuniy elementlarini xalqaro standartlarga moslashtirish o‘tish davri kamida 2027–2028-yillargacha davom etadi.</w:t>
      </w:r>
    </w:p>
    <w:bookmarkEnd w:id="55"/>
    <w:bookmarkStart w:id="56" w:name="paragraf-boyicha-xulosa"/>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Paragraf bo‘yicha xulosa</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uch darajada – prudensial normativlar, risklarga asoslangan nazorat va makroprudensial monitoring orqali amalga oshiriladi. 2025-yilda yangi kapital nizomi va Bazel III kapital buferlarining joriy etilishi bilan me’yoriy baza sezilarli darajada yangilandi.</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Bank tizimining kapital ko‘rsatkichlari regulyativ minimumlardan ancha yuqori, ammo salbiy stress-ssenariy kapitalning katta qismi jiddiy shok sharoitida yo‘qolishi mumkinligini ko‘rsatadi. Demak, bir sanadagi kapital ko‘rsatkichiga tayanuvchi baholash yetarli emas.</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bookmarkEnd w:id="56"/>
    <w:bookmarkEnd w:id="57"/>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Muallif tomonidan O‘zbekiston Respublikasi Markaziy bankining me’yoriy hujjatlari va quyidagi manba asosida tuzilgan: The Central Bank of the Republic of Uzbekistan. «Roadmap» aimed at further improving the bank regulation and supervision system in 2025–2028. – Tashkent, 17.11.2025.</w:t>
      </w:r>
    </w:p>
  </w:footnote>
  <w:footnote w:id="21">
    <w:p>
      <w:pPr>
        <w:pStyle w:val="FootnoteText"/>
      </w:pPr>
      <w:r>
        <w:rPr>
          <w:rStyle w:val="FootnoteReference"/>
        </w:rPr>
        <w:footnoteRef/>
      </w:r>
      <w:r>
        <w:t xml:space="preserve"> </w:t>
      </w:r>
      <w:r>
        <w:t xml:space="preserve">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2">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24">
    <w:p>
      <w:pPr>
        <w:pStyle w:val="FootnoteText"/>
      </w:pPr>
      <w:r>
        <w:rPr>
          <w:rStyle w:val="FootnoteReference"/>
        </w:rPr>
        <w:footnoteRef/>
      </w:r>
      <w:r>
        <w:t xml:space="preserve"> </w:t>
      </w:r>
      <w:r>
        <w:t xml:space="preserve">Muallif ishlanmasi.</w:t>
      </w:r>
    </w:p>
  </w:footnote>
  <w:footnote w:id="25">
    <w:p>
      <w:pPr>
        <w:pStyle w:val="FootnoteText"/>
      </w:pPr>
      <w:r>
        <w:rPr>
          <w:rStyle w:val="FootnoteReference"/>
        </w:rPr>
        <w:footnoteRef/>
      </w:r>
      <w:r>
        <w:t xml:space="preserve"> </w:t>
      </w:r>
      <w:r>
        <w:t xml:space="preserve">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6">
    <w:p>
      <w:pPr>
        <w:pStyle w:val="FootnoteText"/>
      </w:pPr>
      <w:r>
        <w:rPr>
          <w:rStyle w:val="FootnoteReference"/>
        </w:rPr>
        <w:footnoteRef/>
      </w:r>
      <w:r>
        <w:t xml:space="preserve"> </w:t>
      </w:r>
      <w:r>
        <w:t xml:space="preserve">Бердияров Б.Т. Ko‘rsatilgan asar. – Б. 27.</w:t>
      </w:r>
    </w:p>
  </w:footnote>
  <w:footnote w:id="27">
    <w:p>
      <w:pPr>
        <w:pStyle w:val="FootnoteText"/>
      </w:pPr>
      <w:r>
        <w:rPr>
          <w:rStyle w:val="FootnoteReference"/>
        </w:rPr>
        <w:footnoteRef/>
      </w:r>
      <w:r>
        <w:t xml:space="preserve"> </w:t>
      </w:r>
      <w:r>
        <w:t xml:space="preserve">Karaliyev T.M., Sayfiddinov I.F. Ko‘rsatilgan asar. – B. 208.</w:t>
      </w:r>
    </w:p>
  </w:footnote>
  <w:footnote w:id="28">
    <w:p>
      <w:pPr>
        <w:pStyle w:val="FootnoteText"/>
      </w:pPr>
      <w:r>
        <w:rPr>
          <w:rStyle w:val="FootnoteReference"/>
        </w:rPr>
        <w:footnoteRef/>
      </w:r>
      <w:r>
        <w:t xml:space="preserve"> </w:t>
      </w:r>
      <w:r>
        <w:t xml:space="preserve">The Central Bank of the Republic of Uzbekistan. «Roadmap»… – Item 13.</w:t>
      </w:r>
    </w:p>
  </w:footnote>
  <w:footnote w:id="29">
    <w:p>
      <w:pPr>
        <w:pStyle w:val="FootnoteText"/>
      </w:pPr>
      <w:r>
        <w:rPr>
          <w:rStyle w:val="FootnoteReference"/>
        </w:rPr>
        <w:footnoteRef/>
      </w:r>
      <w:r>
        <w:t xml:space="preserve"> </w:t>
      </w:r>
      <w:r>
        <w:t xml:space="preserve">Karaliyev T.M., Sayfiddinov I.F. Ko‘rsatilgan asar. – B. 213.</w:t>
      </w:r>
    </w:p>
  </w:footnote>
  <w:footnote w:id="30">
    <w:p>
      <w:pPr>
        <w:pStyle w:val="FootnoteText"/>
      </w:pPr>
      <w:r>
        <w:rPr>
          <w:rStyle w:val="FootnoteReference"/>
        </w:rPr>
        <w:footnoteRef/>
      </w:r>
      <w:r>
        <w:t xml:space="preserve"> </w:t>
      </w:r>
      <w:r>
        <w:t xml:space="preserve">The Central Bank of the Republic of Uzbekistan. «Roadmap»… – Item 13.</w:t>
      </w:r>
    </w:p>
  </w:footnote>
  <w:footnote w:id="31">
    <w:p>
      <w:pPr>
        <w:pStyle w:val="FootnoteText"/>
      </w:pPr>
      <w:r>
        <w:rPr>
          <w:rStyle w:val="FootnoteReference"/>
        </w:rPr>
        <w:footnoteRef/>
      </w:r>
      <w:r>
        <w:t xml:space="preserve"> </w:t>
      </w:r>
      <w:r>
        <w:t xml:space="preserve">Countercyclical capital buffer // The Central Bank of the Republic of Uzbekistan. – https://cbu.uz/en/financial-stability/macroprudential-policy-tools/countercyclical-capital-buffer/</w:t>
      </w:r>
    </w:p>
  </w:footnote>
  <w:footnote w:id="32">
    <w:p>
      <w:pPr>
        <w:pStyle w:val="FootnoteText"/>
      </w:pPr>
      <w:r>
        <w:rPr>
          <w:rStyle w:val="FootnoteReference"/>
        </w:rPr>
        <w:footnoteRef/>
      </w:r>
      <w:r>
        <w:t xml:space="preserve"> </w:t>
      </w:r>
      <w:r>
        <w:t xml:space="preserve">2026-yil uchun mahalliy tizimli ahamiyatga molik banklar belgilandi // O‘zbekiston Respublikasi Markaziy banki.</w:t>
      </w:r>
    </w:p>
  </w:footnote>
  <w:footnote w:id="34">
    <w:p>
      <w:pPr>
        <w:pStyle w:val="FootnoteText"/>
      </w:pPr>
      <w:r>
        <w:rPr>
          <w:rStyle w:val="FootnoteReference"/>
        </w:rPr>
        <w:footnoteRef/>
      </w:r>
      <w:r>
        <w:t xml:space="preserve"> </w:t>
      </w:r>
      <w:r>
        <w:t xml:space="preserve">IMF Country Report No. 25/227, 2025.</w:t>
      </w:r>
    </w:p>
  </w:footnote>
  <w:footnote w:id="35">
    <w:p>
      <w:pPr>
        <w:pStyle w:val="FootnoteText"/>
      </w:pPr>
      <w:r>
        <w:rPr>
          <w:rStyle w:val="FootnoteReference"/>
        </w:rPr>
        <w:footnoteRef/>
      </w:r>
      <w:r>
        <w:t xml:space="preserve"> </w:t>
      </w:r>
      <w:r>
        <w:t xml:space="preserve">The Financial Stability Report for 2024 has been published // The Central Bank of the Republic of Uzbekistan. – https://cbu.uz/en/press_center/releases/2489245/; The Central Bank of Uzbekistan. Financial Stability Report for 2025.</w:t>
      </w:r>
    </w:p>
  </w:footnote>
  <w:footnote w:id="36">
    <w:p>
      <w:pPr>
        <w:pStyle w:val="FootnoteText"/>
      </w:pPr>
      <w:r>
        <w:rPr>
          <w:rStyle w:val="FootnoteReference"/>
        </w:rPr>
        <w:footnoteRef/>
      </w:r>
      <w:r>
        <w:t xml:space="preserve"> </w:t>
      </w:r>
      <w:r>
        <w:t xml:space="preserve">Countercyclical capital buffer // The Central Bank of the Republic of Uzbekistan.</w:t>
      </w:r>
    </w:p>
  </w:footnote>
  <w:footnote w:id="37">
    <w:p>
      <w:pPr>
        <w:pStyle w:val="FootnoteText"/>
      </w:pPr>
      <w:r>
        <w:rPr>
          <w:rStyle w:val="FootnoteReference"/>
        </w:rPr>
        <w:footnoteRef/>
      </w:r>
      <w:r>
        <w:t xml:space="preserve"> </w:t>
      </w:r>
      <w:r>
        <w:t xml:space="preserve">Muallif tomonidan quyidagi manbalar asosida tuzilgan: IMF Country Report No. 25/227, 2025; The Central Bank of Uzbekistan. Financial Stability Report for 2024; Financial Stability Report for H1 2025; Financial Stability Report for 2025; Countercyclical capital buffer // cbu.uz.</w:t>
      </w:r>
    </w:p>
  </w:footnote>
  <w:footnote w:id="38">
    <w:p>
      <w:pPr>
        <w:pStyle w:val="FootnoteText"/>
      </w:pPr>
      <w:r>
        <w:rPr>
          <w:rStyle w:val="FootnoteReference"/>
        </w:rPr>
        <w:footnoteRef/>
      </w:r>
      <w:r>
        <w:t xml:space="preserve"> </w:t>
      </w:r>
      <w:r>
        <w:t xml:space="preserve">The Central Bank of Uzbekistan. Financial Stability Report for 2025.</w:t>
      </w:r>
    </w:p>
  </w:footnote>
  <w:footnote w:id="39">
    <w:p>
      <w:pPr>
        <w:pStyle w:val="FootnoteText"/>
      </w:pPr>
      <w:r>
        <w:rPr>
          <w:rStyle w:val="FootnoteReference"/>
        </w:rPr>
        <w:footnoteRef/>
      </w:r>
      <w:r>
        <w:t xml:space="preserve"> </w:t>
      </w:r>
      <w:r>
        <w:t xml:space="preserve">The Central Bank of Uzbekistan. Financial Stability Report for H1 2025. – Tashkent, 2025. – https://cbu.uz/upload/medialibrary/fea/zc1m2epsxmcmn8u19j8q8n4so1d7eqsz/Financial-Stability-Report-for-H1-2025.pdf</w:t>
      </w:r>
    </w:p>
  </w:footnote>
  <w:footnote w:id="40">
    <w:p>
      <w:pPr>
        <w:pStyle w:val="FootnoteText"/>
      </w:pPr>
      <w:r>
        <w:rPr>
          <w:rStyle w:val="FootnoteReference"/>
        </w:rPr>
        <w:footnoteRef/>
      </w:r>
      <w:r>
        <w:t xml:space="preserve"> </w:t>
      </w:r>
      <w:r>
        <w:t xml:space="preserve">Muallif tomonidan quyidagi manbalar asosida tuzilgan: The Central Bank of Uzbekistan. Financial Stability Report for H1 2025; Financial Stability Report for 2025.</w:t>
      </w:r>
    </w:p>
  </w:footnote>
  <w:footnote w:id="42">
    <w:p>
      <w:pPr>
        <w:pStyle w:val="FootnoteText"/>
      </w:pPr>
      <w:r>
        <w:rPr>
          <w:rStyle w:val="FootnoteReference"/>
        </w:rPr>
        <w:footnoteRef/>
      </w:r>
      <w:r>
        <w:t xml:space="preserve"> </w:t>
      </w:r>
      <w:r>
        <w:t xml:space="preserve">IMF Country Report No. 25/227, 2025.</w:t>
      </w:r>
    </w:p>
  </w:footnote>
  <w:footnote w:id="43">
    <w:p>
      <w:pPr>
        <w:pStyle w:val="FootnoteText"/>
      </w:pPr>
      <w:r>
        <w:rPr>
          <w:rStyle w:val="FootnoteReference"/>
        </w:rPr>
        <w:footnoteRef/>
      </w:r>
      <w:r>
        <w:t xml:space="preserve"> </w:t>
      </w:r>
      <w:r>
        <w:t xml:space="preserve">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44">
    <w:p>
      <w:pPr>
        <w:pStyle w:val="FootnoteText"/>
      </w:pPr>
      <w:r>
        <w:rPr>
          <w:rStyle w:val="FootnoteReference"/>
        </w:rPr>
        <w:footnoteRef/>
      </w:r>
      <w:r>
        <w:t xml:space="preserve"> </w:t>
      </w:r>
      <w:r>
        <w:t xml:space="preserve">Muallif ishlanmasi.</w:t>
      </w:r>
    </w:p>
  </w:footnote>
  <w:footnote w:id="45">
    <w:p>
      <w:pPr>
        <w:pStyle w:val="FootnoteText"/>
      </w:pPr>
      <w:r>
        <w:rPr>
          <w:rStyle w:val="FootnoteReference"/>
        </w:rPr>
        <w:footnoteRef/>
      </w:r>
      <w:r>
        <w:t xml:space="preserve"> </w:t>
      </w:r>
      <w:r>
        <w:t xml:space="preserve">IMF Country Report No. 25/227, 2025.</w:t>
      </w:r>
    </w:p>
  </w:footnote>
  <w:footnote w:id="46">
    <w:p>
      <w:pPr>
        <w:pStyle w:val="FootnoteText"/>
      </w:pPr>
      <w:r>
        <w:rPr>
          <w:rStyle w:val="FootnoteReference"/>
        </w:rPr>
        <w:footnoteRef/>
      </w:r>
      <w:r>
        <w:t xml:space="preserve"> </w:t>
      </w:r>
      <w:r>
        <w:t xml:space="preserve">IMF Country Report No. 25/145, 2025.</w:t>
      </w:r>
    </w:p>
  </w:footnote>
  <w:footnote w:id="47">
    <w:p>
      <w:pPr>
        <w:pStyle w:val="FootnoteText"/>
      </w:pPr>
      <w:r>
        <w:rPr>
          <w:rStyle w:val="FootnoteReference"/>
        </w:rPr>
        <w:footnoteRef/>
      </w:r>
      <w:r>
        <w:t xml:space="preserve"> </w:t>
      </w:r>
      <w:r>
        <w:t xml:space="preserve">The Central Bank of the Republic of Uzbekistan. «Roadmap»… – Item 3.</w:t>
      </w:r>
    </w:p>
  </w:footnote>
  <w:footnote w:id="48">
    <w:p>
      <w:pPr>
        <w:pStyle w:val="FootnoteText"/>
      </w:pPr>
      <w:r>
        <w:rPr>
          <w:rStyle w:val="FootnoteReference"/>
        </w:rPr>
        <w:footnoteRef/>
      </w:r>
      <w:r>
        <w:t xml:space="preserve"> </w:t>
      </w:r>
      <w:r>
        <w:t xml:space="preserve">O‘sha joyda. – Items 5, 19.</w:t>
      </w:r>
    </w:p>
  </w:footnote>
  <w:footnote w:id="49">
    <w:p>
      <w:pPr>
        <w:pStyle w:val="FootnoteText"/>
      </w:pPr>
      <w:r>
        <w:rPr>
          <w:rStyle w:val="FootnoteReference"/>
        </w:rPr>
        <w:footnoteRef/>
      </w:r>
      <w:r>
        <w:t xml:space="preserve"> </w:t>
      </w:r>
      <w:r>
        <w:t xml:space="preserve">IMF Country Report No. 25/145, 2025.</w:t>
      </w:r>
    </w:p>
  </w:footnote>
  <w:footnote w:id="50">
    <w:p>
      <w:pPr>
        <w:pStyle w:val="FootnoteText"/>
      </w:pPr>
      <w:r>
        <w:rPr>
          <w:rStyle w:val="FootnoteReference"/>
        </w:rPr>
        <w:footnoteRef/>
      </w:r>
      <w:r>
        <w:t xml:space="preserve"> </w:t>
      </w:r>
      <w:r>
        <w:t xml:space="preserve">The Central Bank of the Republic of Uzbekistan. «Roadmap»… – Items 7, 16.</w:t>
      </w:r>
    </w:p>
  </w:footnote>
  <w:footnote w:id="51">
    <w:p>
      <w:pPr>
        <w:pStyle w:val="FootnoteText"/>
      </w:pPr>
      <w:r>
        <w:rPr>
          <w:rStyle w:val="FootnoteReference"/>
        </w:rPr>
        <w:footnoteRef/>
      </w:r>
      <w:r>
        <w:t xml:space="preserve"> </w:t>
      </w:r>
      <w:r>
        <w:t xml:space="preserve">IMF. Uzbekistan: Staff Concluding Statement of the 2026 Article IV Mission. – 13.04.2026. – https://www.imf.org/en/news/articles/2026/04/13/mcs041326-uzbekistan</w:t>
      </w:r>
    </w:p>
  </w:footnote>
  <w:footnote w:id="52">
    <w:p>
      <w:pPr>
        <w:pStyle w:val="FootnoteText"/>
      </w:pPr>
      <w:r>
        <w:rPr>
          <w:rStyle w:val="FootnoteReference"/>
        </w:rPr>
        <w:footnoteRef/>
      </w:r>
      <w:r>
        <w:t xml:space="preserve"> </w:t>
      </w:r>
      <w:r>
        <w:t xml:space="preserve">The Central Bank of the Republic of Uzbekistan. «Roadmap»… – Item 9.</w:t>
      </w:r>
    </w:p>
  </w:footnote>
  <w:footnote w:id="53">
    <w:p>
      <w:pPr>
        <w:pStyle w:val="FootnoteText"/>
      </w:pPr>
      <w:r>
        <w:rPr>
          <w:rStyle w:val="FootnoteReference"/>
        </w:rPr>
        <w:footnoteRef/>
      </w:r>
      <w:r>
        <w:t xml:space="preserve"> </w:t>
      </w:r>
      <w:r>
        <w:t xml:space="preserve">O‘sha joyda. – Item 31.</w:t>
      </w:r>
    </w:p>
  </w:footnote>
  <w:footnote w:id="54">
    <w:p>
      <w:pPr>
        <w:pStyle w:val="FootnoteText"/>
      </w:pPr>
      <w:r>
        <w:rPr>
          <w:rStyle w:val="FootnoteReference"/>
        </w:rPr>
        <w:footnoteRef/>
      </w:r>
      <w:r>
        <w:t xml:space="preserve"> </w:t>
      </w:r>
      <w:r>
        <w:t xml:space="preserve">The Central Bank of the Republic of Uzbekistan. «Roadmap»… – Items 2–4, 7, 9.</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2023-y. oxiri</c:v>
                </c:pt>
                <c:pt idx="1">
                  <c:v>2024-y. oxiri</c:v>
                </c:pt>
                <c:pt idx="2">
                  <c:v>2025-y. I yarim</c:v>
                </c:pt>
                <c:pt idx="3">
                  <c:v>2025-y. oxiri</c:v>
                </c:pt>
                <c:pt idx="4">
                  <c:v>2026-y. 1-iyul</c:v>
                </c:pt>
              </c:strCache>
            </c:strRef>
          </c:cat>
          <c:val>
            <c:numRef>
              <c:f>Sheet1!$B$2:$B$6</c:f>
              <c:numCache>
                <c:formatCode>General</c:formatCode>
                <c:ptCount val="5"/>
                <c:pt idx="0">
                  <c:v>17.5</c:v>
                </c:pt>
                <c:pt idx="1">
                  <c:v>17.0</c:v>
                </c:pt>
                <c:pt idx="2">
                  <c:v>17.4</c:v>
                </c:pt>
                <c:pt idx="3">
                  <c:v>18.3</c:v>
                </c:pt>
                <c:pt idx="4">
                  <c:v>18.5</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2023-y. oxiri</c:v>
                </c:pt>
                <c:pt idx="1">
                  <c:v>2024-y. oxiri</c:v>
                </c:pt>
                <c:pt idx="2">
                  <c:v>2025-y. I yarim</c:v>
                </c:pt>
                <c:pt idx="3">
                  <c:v>2025-y. oxiri</c:v>
                </c:pt>
                <c:pt idx="4">
                  <c:v>2026-y. 1-iyul</c:v>
                </c:pt>
              </c:strCache>
            </c:strRef>
          </c:cat>
          <c:val>
            <c:numRef>
              <c:f>Sheet1!$C$2:$C$6</c:f>
              <c:numCache>
                <c:formatCode>General</c:formatCode>
                <c:ptCount val="5"/>
                <c:pt idx="2">
                  <c:v>14.6</c:v>
                </c:pt>
                <c:pt idx="3">
                  <c:v>14.7</c:v>
                </c:pt>
                <c:pt idx="4">
                  <c:v>15.0</c:v>
                </c:pt>
              </c:numCache>
            </c:numRef>
          </c:val>
        </c:ser>
        <c:gapWidth val="80"/>
        <c:axId val="111"/>
        <c:axId val="222"/>
      </c:barChart>
      <c:catAx>
        <c:axId val="111"/>
        <c:scaling>
          <c:orientation val="minMax"/>
        </c:scaling>
        <c:delete val="0"/>
        <c:axPos val="b"/>
        <c:numFmt formatCode="General" sourceLinked="0"/>
        <c:majorTickMark val="none"/>
        <c:minorTickMark val="none"/>
        <c:tickLblPos val="nextTo"/>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ser>
        <c:ser>
          <c:idx val="3"/>
          <c:order val="3"/>
          <c:tx>
            <c:strRef>
              <c:f>Sheet1!$E$1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Sheet1!$E$2:$E$3</c:f>
              <c:numCache>
                <c:formatCode>General</c:formatCode>
                <c:ptCount val="2"/>
                <c:pt idx="0">
                  <c:v>8.0</c:v>
                </c:pt>
                <c:pt idx="1">
                  <c:v>13.0</c:v>
                </c:pt>
              </c:numCache>
            </c:numRef>
          </c:val>
        </c:ser>
        <c:gapWidth val="60"/>
        <c:axId val="111"/>
        <c:axId val="222"/>
      </c:barChart>
      <c:catAx>
        <c:axId val="111"/>
        <c:scaling>
          <c:orientation val="minMax"/>
        </c:scaling>
        <c:delete val="0"/>
        <c:axPos val="b"/>
        <c:numFmt formatCode="General" sourceLinked="0"/>
        <c:majorTickMark val="none"/>
        <c:minorTickMark val="none"/>
        <c:tickLblPos val="nextTo"/>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2026-10-09T19:46:19Z</dcterms:created>
  <dcterms:modified xsi:type="dcterms:W3CDTF">2026-10-09T19:46:19Z</dcterms:modified>
</cp:coreProperties>
</file>

<file path=docProps/custom.xml><?xml version="1.0" encoding="utf-8"?>
<Properties xmlns="http://schemas.openxmlformats.org/officeDocument/2006/custom-properties" xmlns:vt="http://schemas.openxmlformats.org/officeDocument/2006/docPropsVTypes"/>
</file>