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133</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136</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136</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152</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165</w:t>
      </w:r>
    </w:p>
    <w:p w14:paraId="51FF288A" w14:textId="77777777" w:rsidR="005603EC" w:rsidRDefault="00000000">
      <w:pPr>
        <w:tabs>
          <w:tab w:val="right" w:leader="dot" w:pos="9354"/>
        </w:tabs>
        <w:spacing w:after="80" w:line="240" w:lineRule="auto"/>
        <w:ind w:left="454"/>
      </w:pPr>
      <w:r>
        <w:rPr>
          <w:sz w:val="26"/>
        </w:rPr>
        <w:t>III bob bo‘yicha xulosalar</w:t>
        <w:tab/>
        <w:t>183</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186</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186</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202</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214</w:t>
      </w:r>
    </w:p>
    <w:p w14:paraId="571DEAAE" w14:textId="77777777" w:rsidR="005603EC" w:rsidRDefault="00000000">
      <w:pPr>
        <w:tabs>
          <w:tab w:val="right" w:leader="dot" w:pos="9354"/>
        </w:tabs>
        <w:spacing w:after="80" w:line="240" w:lineRule="auto"/>
        <w:ind w:left="454"/>
      </w:pPr>
      <w:r>
        <w:rPr>
          <w:sz w:val="26"/>
        </w:rPr>
        <w:t>IV bob bo‘yicha xulosalar</w:t>
        <w:tab/>
        <w:t>227</w:t>
      </w:r>
    </w:p>
    <w:p w14:paraId="31C10275" w14:textId="77777777" w:rsidR="005603EC" w:rsidRDefault="00000000">
      <w:pPr>
        <w:tabs>
          <w:tab w:val="right" w:leader="dot" w:pos="9354"/>
        </w:tabs>
        <w:spacing w:after="80" w:line="240" w:lineRule="auto"/>
      </w:pPr>
      <w:r>
        <w:rPr>
          <w:b/>
          <w:sz w:val="26"/>
        </w:rPr>
        <w:t>XULOSA</w:t>
        <w:tab/>
        <w:t>230</w:t>
      </w:r>
    </w:p>
    <w:p w14:paraId="548815E6" w14:textId="77777777" w:rsidR="005603EC" w:rsidRDefault="00000000">
      <w:pPr>
        <w:tabs>
          <w:tab w:val="right" w:leader="dot" w:pos="9354"/>
        </w:tabs>
        <w:spacing w:after="80" w:line="240" w:lineRule="auto"/>
      </w:pPr>
      <w:r>
        <w:rPr>
          <w:b/>
          <w:sz w:val="26"/>
        </w:rPr>
        <w:t>FOYDALANILGAN ADABIYOTLAR RO‘YXATI</w:t>
        <w:tab/>
        <w:t>235</w:t>
      </w:r>
    </w:p>
    <w:p w14:paraId="03BCF8C4" w14:textId="77777777" w:rsidR="005603EC" w:rsidRDefault="00000000">
      <w:pPr>
        <w:tabs>
          <w:tab w:val="right" w:leader="dot" w:pos="9354"/>
        </w:tabs>
        <w:spacing w:after="80" w:line="240" w:lineRule="auto"/>
      </w:pPr>
      <w:r>
        <w:rPr>
          <w:b/>
          <w:sz w:val="26"/>
        </w:rPr>
        <w:t>ILOVALAR</w:t>
        <w:tab/>
        <w:t>254</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lastRenderedPageBreak/>
        <w:t>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«O‘zsanoatqurilishbank» ATB va «Mikrokreditbank» ATB misolida MHXS 9 bo‘yicha qadrsizlangan kreditlar ulushi 2021–2025-yillarda rasmiy muammoli kreditlar ulushidan mos ravishda 1,6–3,0 va 2,8–3,3 barobar yuqori bo‘lgani aniqlangan;</w:t>
      </w:r>
    </w:p>
    <w:p w14:paraId="7B0767B8" w14:textId="77777777" w:rsidR="005603EC" w:rsidRDefault="00000000">
      <w:pPr>
        <w:pStyle w:val="af"/>
        <w:spacing w:after="0" w:line="360" w:lineRule="auto"/>
        <w:ind w:firstLine="709"/>
        <w:jc w:val="both"/>
      </w:pPr>
      <w:r>
        <w:rPr>
          <w:rFonts w:cs="Times New Roman"/>
        </w:rPr>
        <w:t xml:space="preserve">Markaziy bankning 2709-son nizomi bo‘yicha sof barqaror moliyalashtirish me’yori hisob-kitobida barqaror moliyalashtirish manbai sifatida regulyativ kapital o‘rniga xususiy kapital olinishi me’yorni taxminan </w:t>
      </w:r>
      <w:r>
        <w:rPr>
          <w:rFonts w:cs="Times New Roman"/>
          <w:highlight w:val="green"/>
        </w:rPr>
        <w:t>7,1 foiz punktga pasaytirishi (122,2 foiz; regulyativ kapital olinganda – 129,4 foiz)</w:t>
      </w:r>
      <w:r>
        <w:rPr>
          <w:rFonts w:cs="Times New Roman"/>
        </w:rPr>
        <w:t xml:space="preserve"> aniqlanib, hisoblash tartibini aniqlashtirish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ro‘yxati 183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14:paraId="2F4B018B" w14:textId="77777777" w:rsidR="005603EC" w:rsidRDefault="00000000">
      <w:pPr>
        <w:pStyle w:val="af"/>
        <w:keepNext/>
        <w:spacing w:after="0" w:line="240" w:lineRule="auto"/>
        <w:jc w:val="center"/>
      </w:pPr>
      <w:r>
        <w:rPr>
          <w:noProof/>
        </w:rPr>
        <w:lastRenderedPageBreak/>
        <w:drawing>
          <wp:inline distT="0" distB="0" distL="0" distR="0" wp14:anchorId="27116307" wp14:editId="6110CE19">
            <wp:extent cx="5760000" cy="2880000"/>
            <wp:effectExtent l="0" t="0" r="0" b="0"/>
            <wp:docPr id="32379577"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86F00F" w14:textId="77777777" w:rsidR="005603EC" w:rsidRDefault="00000000">
      <w:pPr>
        <w:pStyle w:val="af"/>
        <w:spacing w:before="120" w:after="240" w:line="240" w:lineRule="auto"/>
        <w:jc w:val="center"/>
      </w:pPr>
      <w:r>
        <w:rPr>
          <w:rFonts w:cs="Times New Roman"/>
          <w:b/>
        </w:rPr>
        <w:t>2.2.7-rasm. «O‘zsanoatqurilishbank» ATB va «Mikrokreditbank» ATB da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lastRenderedPageBreak/>
        <w:t>bo‘lgan</w:t>
      </w:r>
      <w:r>
        <w:rPr>
          <w:rStyle w:val="aff8"/>
        </w:rPr>
        <w:footnoteReference w:id="309"/>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Taqqoslash uchun, 2020-yil oxirida bu bankda 3-bosqich kreditlari ulushi atigi 2,4 foizni, 2-bosqich kreditlari ulushi esa 5,1 foizni tashkil etgan, «O‘zsanoatqurilishbank» ATB da esa mos ravishda 6,6 va 29,3 foiz bo‘lgan</w:t>
      </w:r>
      <w:r>
        <w:rPr>
          <w:rStyle w:val="aff8"/>
        </w:rPr>
        <w:footnoteReference w:id="313"/>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4"/>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6"/>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8"/>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19"/>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0"/>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1"/>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2"/>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3"/>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4"/>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5"/>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7"/>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8"/>
      </w:r>
      <w:r>
        <w:rPr>
          <w:rFonts w:cs="Times New Roman"/>
        </w:rPr>
        <w:t>. MHXS 9 da esa zaxira har bir kredit yoki kreditlar guruhi bo‘yicha defolt ehtimoli, garov qiymati va kutilayotgan undirish summasini hisobga olgan holda aniqlanadi</w:t>
      </w:r>
      <w:r>
        <w:rPr>
          <w:rStyle w:val="aff8"/>
        </w:rPr>
        <w:footnoteReference w:id="329"/>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0"/>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1"/>
      </w:r>
      <w:r>
        <w:rPr>
          <w:rStyle w:val="aff8"/>
        </w:rPr>
        <w:footnoteReference w:id="332"/>
      </w:r>
      <w:r>
        <w:rPr>
          <w:rFonts w:cs="Times New Roman"/>
        </w:rPr>
        <w:t xml:space="preserve"> xalqaro auditorlik tashkilotlari tomonidan tasdiqlangan MHXS bo‘yicha moliyaviy hisobotlari bilan solishtirildi.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4"/>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5"/>
        <w:footnoteReference w:id="336"/>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7"/>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8"/>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39"/>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0"/>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1"/>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2.3.5-rasm. «O‘zsanoatqurilishbank» ATB va «Mikrokreditbank» ATB da yashirin kredit riski koeffitsiyenti</w:t>
      </w:r>
      <w:r>
        <w:rPr>
          <w:rStyle w:val="aff8"/>
        </w:rPr>
        <w:footnoteReference w:id="342"/>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lastRenderedPageBreak/>
        <w:t>«Mikrokreditbank» ATB da koeffitsiyent butun davr mobaynida 2,77–3,30 oralig‘ida yuqori darajada saqlangan, uning eng yuqori qiymati esa 2024-yilga to‘g‘ri kelgan</w:t>
      </w:r>
      <w:r>
        <w:rPr>
          <w:rStyle w:val="aff8"/>
        </w:rPr>
        <w:footnoteReference w:id="343"/>
      </w:r>
      <w:r>
        <w:rPr>
          <w:rFonts w:cs="Times New Roman"/>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5"/>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6"/>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7"/>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8"/>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49"/>
      </w:r>
      <w:r>
        <w:rPr>
          <w:rStyle w:val="aff8"/>
        </w:rPr>
        <w:footnoteReference w:id="350"/>
      </w:r>
      <w:r>
        <w:rPr>
          <w:rFonts w:cs="Times New Roman"/>
        </w:rPr>
        <w:t xml:space="preserve">.</w:t>
      </w:r>
      <w:r>
        <w:rPr>
          <w:rFonts w:cs="Times New Roman"/>
          <w:color w:val="FF0000"/>
        </w:rPr>
        <w:t xml:space="preserve"> Hisob-kitob jarayonida nizom matni va bankning hisobot shakli o‘rtasida farq aniqlandi: nizomda mavjud barqaror moliyalashtirish tarkibiga bankning regulyativ kapitali kiritilishi belgilangan, bankning prudensial hisobot shaklida esa xususiy kapital ko‘rsatilgan</w:t>
      </w:r>
      <w:r>
        <w:rPr>
          <w:rStyle w:val="aff8"/>
          <w:color w:val="FF0000"/>
        </w:rPr>
        <w:footnoteReference w:id="351"/>
      </w:r>
      <w:r>
        <w:rPr>
          <w:rFonts w:cs="Times New Roman"/>
          <w:color w:val="FF0000"/>
        </w:rPr>
        <w:t xml:space="preserve">. «O‘zsanoatqurilishbank» ATB da regulyativ kapital (16 199,1 mlrd so‘m) xususiy kapitaldan (11 875,2 mlrd so‘m) 4 323,9 mlrd so‘mga ko‘p bo‘lgani uchun nizom matni bo‘yicha hisoblanganda me’yor 122,2 foiz emas, 129,4 foizni tashkil etadi, ya’ni amaldagi hisobot shakli me’yorni 7,1 foiz punktga past, ehtiyotkorroq ko‘rsatadi. Bu farq barqaror moliyalashtirish manbai sifatida qaysi kapital ko‘rsatkichi olinishini nizomda aniq belgilash zarurligini ko‘rsatadi.</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2"/>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4"/>
      </w:r>
      <w:r>
        <w:rPr>
          <w:rFonts w:cs="Times New Roman"/>
          <w:color w:val="FF0000"/>
        </w:rPr>
        <w:t xml:space="preserve">. Bazel III garovga qo‘yilgan aktivlarni ham yuqori likvid aktivlar tarkibiga kiritmasligini hisobga olsak (598,3 mlrd so‘m), koeffitsiyent 146,5 foizgacha pasayadi.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5"/>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56"/>
      </w:r>
      <w:r>
        <w:rPr>
          <w:rFonts w:cs="Times New Roman"/>
        </w:rPr>
        <w:t>, Markaziy bank tomonidan qabul qilingan «yo‘l xaritasi»da esa aktivlar tasnifi va zaxiralarni MHXS 9 ga moslashtirish ishlari belgilangan</w:t>
      </w:r>
      <w:r>
        <w:rPr>
          <w:rStyle w:val="aff8"/>
        </w:rPr>
        <w:footnoteReference w:id="357"/>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lastRenderedPageBreak/>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14:paraId="0857111F" w14:textId="77777777" w:rsidR="005603EC" w:rsidRDefault="00000000">
      <w:pPr>
        <w:numPr>
          <w:ilvl w:val="0"/>
          <w:numId w:val="11"/>
        </w:numPr>
        <w:spacing w:after="0" w:line="360" w:lineRule="auto"/>
        <w:ind w:firstLine="709"/>
        <w:jc w:val="both"/>
      </w:pPr>
      <w:r>
        <w:rPr>
          <w:rFonts w:cs="Times New Roman"/>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58"/>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59"/>
        <w:footnoteReference w:id="360"/>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1"/>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3"/>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4"/>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65"/>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67"/>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68"/>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69"/>
        <w:footnoteReference w:id="370"/>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1"/>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2"/>
      </w:r>
      <w:r>
        <w:rPr>
          <w:rFonts w:cs="Times New Roman"/>
        </w:rPr>
        <w:t>, 10 foiz esa O.I. Lavrushin tahriri ostidagi monografiyada salbiy vaziyat darakchisi sifatida ko‘rsatilgan qiymatga mos keladi</w:t>
      </w:r>
      <w:r>
        <w:rPr>
          <w:rStyle w:val="aff8"/>
        </w:rPr>
        <w:footnoteReference w:id="373"/>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4"/>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75"/>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76"/>
      </w:r>
      <w:r>
        <w:rPr>
          <w:rStyle w:val="aff8"/>
        </w:rPr>
        <w:footnoteReference w:id="377"/>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78"/>
      </w:r>
      <w:r>
        <w:rPr>
          <w:rStyle w:val="aff8"/>
        </w:rPr>
        <w:footnoteReference w:id="379"/>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0"/>
      </w:r>
      <w:r>
        <w:rPr>
          <w:rFonts w:cs="Times New Roman"/>
        </w:rPr>
        <w:t xml:space="preserve"> va xalqaro amaliyotdagi kritik daraja – 100 foiz</w:t>
      </w:r>
      <w:r>
        <w:rPr>
          <w:rStyle w:val="aff8"/>
        </w:rPr>
        <w:footnoteReference w:id="381"/>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2"/>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3"/>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4"/>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85"/>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86"/>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87"/>
      </w:r>
      <w:r>
        <w:rPr>
          <w:rFonts w:cs="Times New Roman"/>
        </w:rPr>
        <w:t>. Rossiyadagi reyting metodikalarini tahlil qilgan mualliflar ham vaznlar ko‘pincha asoslanmagan ekspert yo‘li bilan belgilanishini qayd etgan</w:t>
      </w:r>
      <w:r>
        <w:rPr>
          <w:rStyle w:val="aff8"/>
        </w:rPr>
        <w:footnoteReference w:id="388"/>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0"/>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1"/>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3"/>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395"/>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396"/>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398"/>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399"/>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0"/>
      </w:r>
      <w:r>
        <w:rPr>
          <w:rFonts w:cs="Times New Roman"/>
        </w:rPr>
        <w:t>. A.M. Karminskiy esa reyting modellarida vaznlar ekspert yo‘li bilan belgilansa ham, ular albatta statistik tekshiruvdan o‘tkazilishi lozimligini ta’kidlaydi</w:t>
      </w:r>
      <w:r>
        <w:rPr>
          <w:rStyle w:val="aff8"/>
        </w:rPr>
        <w:footnoteReference w:id="401"/>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3"/>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4"/>
        <w:footnoteReference w:id="405"/>
        <w:footnoteReference w:id="406"/>
        <w:footnoteReference w:id="407"/>
        <w:footnoteReference w:id="408"/>
      </w:r>
      <w:r>
        <w:rPr>
          <w:rFonts w:cs="Times New Roman"/>
        </w:rPr>
        <w:t>. Yuqori likvid aktivlar ulushi esa «SNS» reyting agentligi bazasidan olindi</w:t>
      </w:r>
      <w:r>
        <w:rPr>
          <w:rStyle w:val="aff8"/>
        </w:rPr>
        <w:footnoteReference w:id="409"/>
      </w:r>
      <w:r>
        <w:rPr>
          <w:rFonts w:cs="Times New Roman"/>
        </w:rPr>
        <w:t>. Logit usuli uchun 3.3-paragrafda shakllantirilgan 25 ta bank paneli qo‘llandi</w:t>
      </w:r>
      <w:r>
        <w:rPr>
          <w:rStyle w:val="aff8"/>
        </w:rPr>
        <w:footnoteReference w:id="410"/>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2"/>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3"/>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15"/>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16"/>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18"/>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19"/>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0"/>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1"/>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2"/>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3"/>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25"/>
        <w:footnoteReference w:id="426"/>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27"/>
      </w:r>
      <w:r>
        <w:rPr>
          <w:rFonts w:cs="Times New Roman"/>
        </w:rPr>
        <w:t>. Uchinchi gipoteza A. Demirgüç-Kunt va H. Huizinga xulosasiga tayanadi: depozit bo‘lmagan, ya’ni ulgurji moliyalashtirishga ko‘proq tayanadigan banklar riskliroq bo‘ladi</w:t>
      </w:r>
      <w:r>
        <w:rPr>
          <w:rStyle w:val="aff8"/>
        </w:rPr>
        <w:footnoteReference w:id="428"/>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29"/>
        <w:footnoteReference w:id="430"/>
        <w:footnoteReference w:id="431"/>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2"/>
      </w:r>
      <w:r>
        <w:rPr>
          <w:rFonts w:cs="Times New Roman"/>
        </w:rPr>
        <w:t>, yuqori likvid aktivlar, kredit zaxiralari, foizli daromad va xarajatlar, operatsion xarajatlar va sof foyda «SNS» reyting agentligining banklar ko‘rsatkichlari bazasidan</w:t>
      </w:r>
      <w:r>
        <w:rPr>
          <w:rStyle w:val="aff8"/>
        </w:rPr>
        <w:footnoteReference w:id="433"/>
      </w:r>
      <w:r>
        <w:rPr>
          <w:rFonts w:cs="Times New Roman"/>
        </w:rPr>
        <w:t>, makroiqtisodiy ko‘rsatkichlar esa Markaziy bankning statistik byulletenidan olindi</w:t>
      </w:r>
      <w:r>
        <w:rPr>
          <w:rStyle w:val="aff8"/>
        </w:rPr>
        <w:footnoteReference w:id="434"/>
      </w:r>
      <w:r>
        <w:rPr>
          <w:rFonts w:cs="Times New Roman"/>
        </w:rPr>
        <w:t>. Ikki bank manbasi bank nomlari bo‘yicha birlashtirildi, ma’lum xato qiymatlar tahlildan chiqarildi</w:t>
      </w:r>
      <w:r>
        <w:rPr>
          <w:rStyle w:val="aff8"/>
        </w:rPr>
        <w:footnoteReference w:id="435"/>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36"/>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37"/>
      </w:r>
      <w:r>
        <w:rPr>
          <w:rStyle w:val="aff8"/>
        </w:rPr>
        <w:footnoteReference w:id="438"/>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39"/>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1"/>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2"/>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3"/>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4"/>
        <w:footnoteReference w:id="445"/>
      </w:r>
      <w:r>
        <w:rPr>
          <w:rFonts w:cs="Times New Roman"/>
        </w:rPr>
        <w:t>. Usullar o‘rtasida tanlov Breusch–Pagan va Hausman testlari asosida amalga oshirildi</w:t>
      </w:r>
      <w:r>
        <w:rPr>
          <w:rStyle w:val="aff8"/>
        </w:rPr>
        <w:footnoteReference w:id="446"/>
        <w:footnoteReference w:id="447"/>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48"/>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49"/>
        <w:footnoteReference w:id="450"/>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2"/>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3"/>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4"/>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57"/>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59"/>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0"/>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1"/>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3"/>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4"/>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66"/>
        <w:footnoteReference w:id="467"/>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68"/>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69"/>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0"/>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1"/>
      </w:r>
      <w:r>
        <w:rPr>
          <w:rFonts w:cs="Times New Roman"/>
        </w:rPr>
        <w:t>, L. Chiaramonte va F. Poli esa Z-score muammoga uchragan banklarning 75 foizini to‘g‘ri aniqlashini ko‘rsatgan</w:t>
      </w:r>
      <w:r>
        <w:rPr>
          <w:rStyle w:val="aff8"/>
        </w:rPr>
        <w:footnoteReference w:id="472"/>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3"/>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4"/>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75"/>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7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77"/>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78"/>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79"/>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0"/>
        <w:footnoteReference w:id="481"/>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3"/>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4"/>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86"/>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87"/>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88"/>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89"/>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1"/>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2"/>
      </w:r>
      <w:r>
        <w:rPr>
          <w:rFonts w:cs="Times New Roman"/>
        </w:rPr>
        <w:t>. Bazel qo‘mitasining stress-test tamoyillari ham ssenariylar haqiqiy tarixiy shoklarga asoslanishi va model natijalari muntazam tekshirilishi lozimligini talab qiladi</w:t>
      </w:r>
      <w:r>
        <w:rPr>
          <w:rStyle w:val="aff8"/>
        </w:rPr>
        <w:footnoteReference w:id="493"/>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4"/>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49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496"/>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498"/>
        <w:footnoteReference w:id="499"/>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1"/>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2"/>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4"/>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07"/>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08"/>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09"/>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0"/>
      </w:r>
      <w:r>
        <w:rPr>
          <w:rFonts w:cs="Times New Roman"/>
        </w:rPr>
        <w:t>. Hatto asosiy ssenariyda ham to‘qqizta davlat bankidan beshtasi, jumladan ikkita tizimli ahamiyatga molik bank minimal talabdan pastga tushadi</w:t>
      </w:r>
      <w:r>
        <w:rPr>
          <w:rStyle w:val="aff8"/>
        </w:rPr>
        <w:footnoteReference w:id="511"/>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2"/>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3"/>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15"/>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16"/>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17"/>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18"/>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19"/>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0"/>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rPr>
        <w:t>Beshta bankda milliy hisobot va MHXS hisoboti asosidagi integral indeks hamda erta ogohlantirish zonalari, 2025-yil</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lastRenderedPageBreak/>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2"/>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3"/>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4"/>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25"/>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26"/>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28"/>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29"/>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lastRenderedPageBreak/>
        <w:t>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15.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17.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18.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21.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22.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23.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24.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25.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26.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27.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28.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29.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30.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31.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32.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33.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34.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35.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36.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37.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38.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39.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40.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41.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42.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43.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44.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45.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46.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47.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48.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49.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50.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51.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52.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53.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54.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55.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56.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57.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58.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59.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60.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61.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62.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63.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66.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67.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68.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69.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70.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71.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72.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73.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74.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75.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76.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77.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78.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79.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80.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81.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82.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84.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85.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87.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88.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89.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90.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91.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92.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93.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94.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95.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96.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97.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98.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99.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100.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101.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102.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103.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104.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105.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106.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107.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108.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109.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110.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111.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112.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113.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114.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115.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116.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117.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118.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119.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120.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121.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122.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123.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124.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125.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126.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127.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128.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129.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130.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131.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132.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133.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134.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135.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136.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137.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138.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141.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146.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147.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155.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156.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157.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158.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159.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160.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161.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162.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163.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164.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165.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166.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167.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168.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169.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257F13E4" w14:textId="77777777" w:rsidR="005603EC" w:rsidRDefault="00000000">
      <w:pPr>
        <w:pStyle w:val="af"/>
        <w:spacing w:after="0" w:line="360" w:lineRule="auto"/>
        <w:ind w:firstLine="709"/>
        <w:jc w:val="both"/>
      </w:pPr>
      <w:r>
        <w:rPr>
          <w:rFonts w:cs="Times New Roman"/>
        </w:rPr>
        <w:t>174.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175.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176.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177.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178.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179.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180.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181.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182.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183.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4">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7">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8">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19">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0">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1">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2">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3">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4">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5">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6">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7">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8">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9">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0">
    <w:p w14:paraId="4B250418" w14:textId="77777777" w:rsidR="005603EC" w:rsidRDefault="00000000">
      <w:pPr>
        <w:pStyle w:val="aff9"/>
      </w:pPr>
      <w:r>
        <w:rPr>
          <w:rStyle w:val="aff8"/>
        </w:rPr>
        <w:footnoteRef/>
      </w:r>
      <w:r>
        <w:t xml:space="preserve"> Tadqiqot natijasida muallif tomonidan ishlab chiqildi.</w:t>
      </w:r>
    </w:p>
  </w:footnote>
  <w:footnote w:id="331">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2">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3">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4">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5">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6">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7">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9">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0">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1">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2">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3">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6">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7">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8">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9">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0">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1">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2">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3">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4">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Hisob-kitob muallif tomonidan bajarildi.</w:t>
      </w:r>
    </w:p>
  </w:footnote>
  <w:footnote w:id="355">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6">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57">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58">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59">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0">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1">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2">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3">
    <w:p w14:paraId="3C7C1ABA" w14:textId="77777777" w:rsidR="005603EC" w:rsidRDefault="00000000">
      <w:pPr>
        <w:pStyle w:val="aff9"/>
      </w:pPr>
      <w:r>
        <w:rPr>
          <w:rStyle w:val="aff8"/>
        </w:rPr>
        <w:footnoteRef/>
      </w:r>
      <w:r>
        <w:t xml:space="preserve"> Tadqiqot natijasida muallif tomonidan ishlab chiqildi.</w:t>
      </w:r>
    </w:p>
  </w:footnote>
  <w:footnote w:id="364">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65">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66">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7">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68">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69">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0">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1">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2">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3">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4">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75">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6">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77">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7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79">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0">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1">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3">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4">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85">
    <w:p w14:paraId="1FB30616" w14:textId="77777777" w:rsidR="005603EC" w:rsidRDefault="00000000">
      <w:pPr>
        <w:pStyle w:val="aff9"/>
      </w:pPr>
      <w:r>
        <w:rPr>
          <w:rStyle w:val="aff8"/>
        </w:rPr>
        <w:footnoteRef/>
      </w:r>
      <w:r>
        <w:t xml:space="preserve"> Tadqiqot natijasida muallif tomonidan 3.1.2-jadval asosida ishlab chiqildi.</w:t>
      </w:r>
    </w:p>
  </w:footnote>
  <w:footnote w:id="386">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87">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88">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89">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0">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1">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2">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3">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4">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95">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396">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397">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8">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399">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0">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1">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2">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3">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4">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05">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06">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07">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08">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09">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0">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1">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2">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3">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4">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5">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7">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8">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19">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1">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2">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3">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4">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5">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26">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27">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28">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29">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0">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1">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2">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3">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4">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35">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6">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7">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38">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39">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0">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1">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2">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3">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4">
    <w:p w14:paraId="56F04826" w14:textId="77777777" w:rsidR="005603EC" w:rsidRDefault="00000000">
      <w:pPr>
        <w:pStyle w:val="aff9"/>
      </w:pPr>
      <w:r>
        <w:rPr>
          <w:rStyle w:val="aff8"/>
        </w:rPr>
        <w:footnoteRef/>
      </w:r>
      <w:r>
        <w:t xml:space="preserve"> Baltagi B.H. Econometric Analysis of Panel Data. – 6th ed. – Cham: Springer, 2021.</w:t>
      </w:r>
    </w:p>
  </w:footnote>
  <w:footnote w:id="445">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46">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47">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48">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49">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0">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1">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3">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4">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55">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6">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7">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58">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9">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0">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1">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2">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3">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4">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65">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6">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67">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68">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69">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0">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1">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2">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3">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4">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75">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76">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7">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78">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9">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0">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1">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2">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3">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4">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85">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6">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87">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88">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9">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0">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1">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2">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3">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4">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5">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6">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497">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8">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99">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0">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1">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3">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4">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5">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6">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7">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08">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09">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0">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1">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2">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3">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4">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5">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16">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17">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8">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19">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0">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1">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2">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3">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4">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5">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6">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28">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29">
    <w:p w14:paraId="4056A86C" w14:textId="77777777" w:rsidR="005603EC" w:rsidRDefault="00000000">
      <w:pPr>
        <w:pStyle w:val="aff9"/>
      </w:pPr>
      <w:r>
        <w:rPr>
          <w:rStyle w:val="aff8"/>
        </w:rPr>
        <w:footnoteRef/>
      </w:r>
      <w:r>
        <w:t xml:space="preserve"> Tadqiqot natijasida muallif tomonidan ishlab chiqildi.</w:t>
      </w:r>
    </w:p>
  </w:footnote>
  <w:footnote w:id="530">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23D3-4719-BAE0-F59BC1AA17FA}"/>
            </c:ext>
          </c:extLst>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extLst>
            <c:ext xmlns:c16="http://schemas.microsoft.com/office/drawing/2014/chart" uri="{C3380CC4-5D6E-409C-BE32-E72D297353CC}">
              <c16:uniqueId val="{00000001-23D3-4719-BAE0-F59BC1AA17FA}"/>
            </c:ext>
          </c:extLst>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23D3-4719-BAE0-F59BC1AA17FA}"/>
            </c:ext>
          </c:extLst>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17.399999999999999</c:v>
                </c:pt>
                <c:pt idx="1">
                  <c:v>13.5</c:v>
                </c:pt>
                <c:pt idx="2">
                  <c:v>16.600000000000001</c:v>
                </c:pt>
                <c:pt idx="3">
                  <c:v>15.2</c:v>
                </c:pt>
                <c:pt idx="4">
                  <c:v>12.3</c:v>
                </c:pt>
              </c:numCache>
            </c:numRef>
          </c:val>
          <c:extLst>
            <c:ext xmlns:c16="http://schemas.microsoft.com/office/drawing/2014/chart" uri="{C3380CC4-5D6E-409C-BE32-E72D297353CC}">
              <c16:uniqueId val="{00000003-23D3-4719-BAE0-F59BC1AA17FA}"/>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