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3bc3af2dd64aa3d859b43cc63eba0df007461c7"/>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1.1-§. Tijorat banklari moliyaviy barqarorligining iqtisodiy mazmuni va konseptual modellari</w:t>
      </w:r>
    </w:p>
    <w:p>
      <w:pPr>
        <w:pStyle w:val="FirstParagraph"/>
        <w:spacing w:line="360" w:lineRule="auto" w:before="0" w:after="0"/>
        <w:ind w:firstLine="709"/>
        <w:jc w:val="both"/>
      </w:pPr>
      <w:r>
        <w:rPr>
          <w:rFonts w:ascii="Times New Roman" w:hAnsi="Times New Roman" w:cs="Times New Roman" w:eastAsia="Times New Roman"/>
          <w:sz w:val="28"/>
        </w:rPr>
        <w:t xml:space="preserve">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FootnoteReference"/>
        </w:rPr>
        <w:footnoteReference w:id="20"/>
      </w:r>
      <w:r>
        <w:rPr>
          <w:rFonts w:ascii="Times New Roman" w:hAnsi="Times New Roman" w:cs="Times New Roman" w:eastAsia="Times New Roman"/>
          <w:sz w:val="28"/>
        </w:rPr>
        <w:t xml:space="preserve">.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pPr>
        <w:pStyle w:val="BodyText"/>
        <w:spacing w:line="360" w:lineRule="auto" w:before="0" w:after="0"/>
        <w:ind w:firstLine="709"/>
        <w:jc w:val="both"/>
      </w:pPr>
      <w:r>
        <w:rPr>
          <w:rFonts w:ascii="Times New Roman" w:hAnsi="Times New Roman" w:cs="Times New Roman" w:eastAsia="Times New Roman"/>
          <w:sz w:val="28"/>
        </w:rPr>
        <w:t xml:space="preserve">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tushunchasining mazmunini ochishni unga yaqin, ko‘pincha sinonim sifatida ishlatiladigan tushunchalardan farqlashdan boshlash 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FootnoteReference"/>
        </w:rPr>
        <w:footnoteReference w:id="21"/>
      </w:r>
      <w:r>
        <w:rPr>
          <w:rFonts w:ascii="Times New Roman" w:hAnsi="Times New Roman" w:cs="Times New Roman" w:eastAsia="Times New Roman"/>
          <w:sz w:val="28"/>
        </w:rPr>
        <w:t xml:space="preserve">. O.I. Lavrushin tahriridagi boshqa monografiyada bu qatorga yana ikki tushuncha – «ishonchlilik» va «muvozanat» qo‘shiladi va ularning har biri barqarorlikning alohida jihatini aks ettirishi ta’kidlanadi</w:t>
      </w:r>
      <w:r>
        <w:rPr>
          <w:rStyle w:val="FootnoteReference"/>
        </w:rPr>
        <w:footnoteReference w:id="22"/>
      </w:r>
      <w:r>
        <w:rPr>
          <w:rFonts w:ascii="Times New Roman" w:hAnsi="Times New Roman" w:cs="Times New Roman" w:eastAsia="Times New Roman"/>
          <w:sz w:val="28"/>
        </w:rPr>
        <w:t xml:space="preserve">. Ushbu tushunchalar o‘rtasidagi bog‘liqlik 1.1.1-rasmda umumlashtirildi.</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286000"/>
                <wp:effectExtent l="0" t="0" r="0" b="0"/>
                <wp:docPr id="1001" name="1.1.1-rasm"/>
                <wp:cNvGraphicFramePr/>
                <a:graphic>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holatning saqlanishi;</w:t>
                              </w:r>
                            </w:p>
                            <w:p>
                              <w:pPr>
                                <w:spacing w:before="0" w:after="0" w:line="228" w:lineRule="auto"/>
                                <w:jc w:val="center"/>
                                <w:ind w:firstLine="0"/>
                              </w:pPr>
                              <w:r>
                                <w:rPr>
                                  <w:rFonts w:ascii="Times New Roman" w:hAnsi="Times New Roman" w:cs="Times New Roman"/>
                                  <w:color w:val="000000"/>
                                  <w:sz w:val="19"/>
                                  <w:szCs w:val="19"/>
                                </w:rPr>
                                <w:t xml:space="preserve">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majburiyatlarning</w:t>
                              </w:r>
                            </w:p>
                            <w:p>
                              <w:pPr>
                                <w:spacing w:before="0" w:after="0" w:line="228" w:lineRule="auto"/>
                                <w:jc w:val="center"/>
                                <w:ind w:firstLine="0"/>
                              </w:pPr>
                              <w:r>
                                <w:rPr>
                                  <w:rFonts w:ascii="Times New Roman" w:hAnsi="Times New Roman" w:cs="Times New Roman"/>
                                  <w:color w:val="000000"/>
                                  <w:sz w:val="19"/>
                                  <w:szCs w:val="19"/>
                                </w:rPr>
                                <w:t xml:space="preserve">o‘z vaqtida</w:t>
                              </w:r>
                            </w:p>
                            <w:p>
                              <w:pPr>
                                <w:spacing w:before="0" w:after="0" w:line="228" w:lineRule="auto"/>
                                <w:jc w:val="center"/>
                                <w:ind w:firstLine="0"/>
                              </w:pPr>
                              <w:r>
                                <w:rPr>
                                  <w:rFonts w:ascii="Times New Roman" w:hAnsi="Times New Roman" w:cs="Times New Roman"/>
                                  <w:color w:val="000000"/>
                                  <w:sz w:val="19"/>
                                  <w:szCs w:val="19"/>
                                </w:rPr>
                                <w:t xml:space="preserve">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kapital, aktivlar,</w:t>
                              </w:r>
                            </w:p>
                            <w:p>
                              <w:pPr>
                                <w:spacing w:before="0" w:after="0" w:line="228" w:lineRule="auto"/>
                                <w:jc w:val="center"/>
                                <w:ind w:firstLine="0"/>
                              </w:pPr>
                              <w:r>
                                <w:rPr>
                                  <w:rFonts w:ascii="Times New Roman" w:hAnsi="Times New Roman" w:cs="Times New Roman"/>
                                  <w:color w:val="000000"/>
                                  <w:sz w:val="19"/>
                                  <w:szCs w:val="19"/>
                                </w:rPr>
                                <w:t xml:space="preserve">majburiyatlar va</w:t>
                              </w:r>
                            </w:p>
                            <w:p>
                              <w:pPr>
                                <w:spacing w:before="0" w:after="0" w:line="228" w:lineRule="auto"/>
                                <w:jc w:val="center"/>
                                <w:ind w:firstLine="0"/>
                              </w:pPr>
                              <w:r>
                                <w:rPr>
                                  <w:rFonts w:ascii="Times New Roman" w:hAnsi="Times New Roman" w:cs="Times New Roman"/>
                                  <w:color w:val="000000"/>
                                  <w:sz w:val="19"/>
                                  <w:szCs w:val="19"/>
                                </w:rPr>
                                <w:t xml:space="preserve">foydaning mutanosib</w:t>
                              </w:r>
                            </w:p>
                            <w:p>
                              <w:pPr>
                                <w:spacing w:before="0" w:after="0" w:line="228" w:lineRule="auto"/>
                                <w:jc w:val="center"/>
                                <w:ind w:firstLine="0"/>
                              </w:pPr>
                              <w:r>
                                <w:rPr>
                                  <w:rFonts w:ascii="Times New Roman" w:hAnsi="Times New Roman" w:cs="Times New Roman"/>
                                  <w:color w:val="000000"/>
                                  <w:sz w:val="19"/>
                                  <w:szCs w:val="19"/>
                                </w:rPr>
                                <w:t xml:space="preserve">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resurslarni</w:t>
                              </w:r>
                            </w:p>
                            <w:p>
                              <w:pPr>
                                <w:spacing w:before="0" w:after="0" w:line="228" w:lineRule="auto"/>
                                <w:jc w:val="center"/>
                                <w:ind w:firstLine="0"/>
                              </w:pPr>
                              <w:r>
                                <w:rPr>
                                  <w:rFonts w:ascii="Times New Roman" w:hAnsi="Times New Roman" w:cs="Times New Roman"/>
                                  <w:color w:val="000000"/>
                                  <w:sz w:val="19"/>
                                  <w:szCs w:val="19"/>
                                </w:rPr>
                                <w:t xml:space="preserve">kengaytirilgan</w:t>
                              </w:r>
                            </w:p>
                            <w:p>
                              <w:pPr>
                                <w:spacing w:before="0" w:after="0" w:line="228" w:lineRule="auto"/>
                                <w:jc w:val="center"/>
                                <w:ind w:firstLine="0"/>
                              </w:pPr>
                              <w:r>
                                <w:rPr>
                                  <w:rFonts w:ascii="Times New Roman" w:hAnsi="Times New Roman" w:cs="Times New Roman"/>
                                  <w:color w:val="000000"/>
                                  <w:sz w:val="19"/>
                                  <w:szCs w:val="19"/>
                                </w:rPr>
                                <w:t xml:space="preserve">takror ishlab</w:t>
                              </w:r>
                            </w:p>
                            <w:p>
                              <w:pPr>
                                <w:spacing w:before="0" w:after="0" w:line="228" w:lineRule="auto"/>
                                <w:jc w:val="center"/>
                                <w:ind w:firstLine="0"/>
                              </w:pPr>
                              <w:r>
                                <w:rPr>
                                  <w:rFonts w:ascii="Times New Roman" w:hAnsi="Times New Roman" w:cs="Times New Roman"/>
                                  <w:color w:val="000000"/>
                                  <w:sz w:val="19"/>
                                  <w:szCs w:val="19"/>
                                </w:rPr>
                                <w:t xml:space="preserve">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w:t>
                              </w:r>
                            </w:p>
                            <w:p>
                              <w:pPr>
                                <w:spacing w:before="0" w:after="0" w:line="228" w:lineRule="auto"/>
                                <w:jc w:val="center"/>
                                <w:ind w:firstLine="0"/>
                              </w:pPr>
                              <w:r>
                                <w:rPr>
                                  <w:rFonts w:ascii="Times New Roman" w:hAnsi="Times New Roman" w:cs="Times New Roman"/>
                                  <w:b/>
                                  <w:color w:val="FFFFFF"/>
                                  <w:sz w:val="22"/>
                                  <w:szCs w:val="22"/>
                                </w:rPr>
                                <w:t xml:space="preserve">(natija,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Moliyaviy holat – muayyan sanadagi statik baho</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1.1.1-rasm. Moliyaviy barqarorlik va unga yaqin tushunchalarning o‘zaro bog‘liqligi</w:t>
      </w:r>
      <w:r>
        <w:rPr>
          <w:rStyle w:val="FootnoteReference"/>
        </w:rPr>
        <w:footnoteReference w:id="23"/>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kelgusidagi beqarorlik manbaiga aylanadi. Demak, moliyaviy barqarorlik bu tushunchalarning yig‘indisi emas, balki ularning o‘zaro uyg‘unligi natijasida yuzaga keladigan sifat holatidir.</w:t>
      </w:r>
    </w:p>
    <w:p>
      <w:pPr>
        <w:pStyle w:val="BodyText"/>
        <w:spacing w:line="360" w:lineRule="auto" w:before="0" w:after="0"/>
        <w:ind w:firstLine="709"/>
        <w:jc w:val="both"/>
      </w:pPr>
      <w:r>
        <w:rPr>
          <w:rFonts w:ascii="Times New Roman" w:hAnsi="Times New Roman" w:cs="Times New Roman" w:eastAsia="Times New Roman"/>
          <w:sz w:val="28"/>
        </w:rP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FootnoteReference"/>
        </w:rPr>
        <w:footnoteReference w:id="24"/>
      </w:r>
      <w:r>
        <w:rPr>
          <w:rFonts w:ascii="Times New Roman" w:hAnsi="Times New Roman" w:cs="Times New Roman" w:eastAsia="Times New Roman"/>
          <w:sz w:val="28"/>
        </w:rPr>
        <w:t xml:space="preserve">. Bu fikr bilan to‘liq qo‘shilish mumkin, chunki bankning boshqa barcha barqarorlik turlari pirovardida uning moliyaviy natijalarida, kapitali va likvidligida o‘z aksini topadi.</w:t>
      </w:r>
    </w:p>
    <w:p>
      <w:pPr>
        <w:pStyle w:val="BodyText"/>
        <w:spacing w:line="360" w:lineRule="auto" w:before="0" w:after="0"/>
        <w:ind w:firstLine="709"/>
        <w:jc w:val="both"/>
      </w:pPr>
      <w:r>
        <w:rPr>
          <w:rFonts w:ascii="Times New Roman" w:hAnsi="Times New Roman" w:cs="Times New Roman" w:eastAsia="Times New Roman"/>
          <w:sz w:val="28"/>
        </w:rPr>
        <w:t xml:space="preserve">Tushunchaning chegaralari aniqlangach, uning ta’rifiga o‘tish mumkin. Iqtisodiy adabiyotda moliyaviy barqarorlikka berilgan ta’riflar juda ko‘p bo‘lib, ularni tahlil qilish natijasida ularning har biri muayyan jihatga urg‘u berishi aniqlandi (1.1.1-jadval).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tushunchasiga berilgan ta’riflarning qiyosiy tahlili</w:t>
      </w:r>
      <w:r>
        <w:rPr>
          <w:rStyle w:val="FootnoteReference"/>
        </w:rPr>
        <w:footnoteReference w:id="25"/>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Muallif</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Ta’rifning asosiy mazmuni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Urg‘u berilgan jihat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I.D. Mamonova</w:t>
            </w:r>
          </w:p>
        </w:tc>
        <w:tc>
          <w:tcPr/>
          <w:p>
            <w:pPr>
              <w:pStyle w:val="Compact"/>
              <w:spacing w:line="240" w:lineRule="auto"/>
              <w:ind w:firstLine="0"/>
              <w:jc w:val="left"/>
            </w:pPr>
            <w:r>
              <w:rPr>
                <w:rFonts w:ascii="Times New Roman" w:hAnsi="Times New Roman" w:cs="Times New Roman" w:eastAsia="Times New Roman"/>
                <w:sz w:val="22"/>
              </w:rPr>
              <w:t xml:space="preserve">Bankning o‘z moliyasini va boshqa sub’ektlar moliyasini kengaytirilgan asosda takror ishlab chiqarishi</w:t>
            </w:r>
          </w:p>
        </w:tc>
        <w:tc>
          <w:tcPr/>
          <w:p>
            <w:pPr>
              <w:pStyle w:val="Compact"/>
              <w:spacing w:line="240" w:lineRule="auto"/>
              <w:ind w:firstLine="0"/>
              <w:jc w:val="left"/>
            </w:pPr>
            <w:r>
              <w:rPr>
                <w:rFonts w:ascii="Times New Roman" w:hAnsi="Times New Roman" w:cs="Times New Roman" w:eastAsia="Times New Roman"/>
                <w:sz w:val="22"/>
              </w:rPr>
              <w:t xml:space="preserve">Resurslarning o‘sishi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(tahr.)</w:t>
            </w:r>
          </w:p>
        </w:tc>
        <w:tc>
          <w:tcPr/>
          <w:p>
            <w:pPr>
              <w:pStyle w:val="Compact"/>
              <w:spacing w:line="240" w:lineRule="auto"/>
              <w:ind w:firstLine="0"/>
              <w:jc w:val="left"/>
            </w:pPr>
            <w:r>
              <w:rPr>
                <w:rFonts w:ascii="Times New Roman" w:hAnsi="Times New Roman" w:cs="Times New Roman" w:eastAsia="Times New Roman"/>
                <w:sz w:val="22"/>
              </w:rPr>
              <w:t xml:space="preserve">Bank tizimining ijtimoiy ehtiyojlarga muvofiq faoliyatni kengaytirilgan asosda takror ishlab chiqarishi bilan kechadigan rivojlanish xususiyati</w:t>
            </w:r>
          </w:p>
        </w:tc>
        <w:tc>
          <w:tcPr/>
          <w:p>
            <w:pPr>
              <w:pStyle w:val="Compact"/>
              <w:spacing w:line="240" w:lineRule="auto"/>
              <w:ind w:firstLine="0"/>
              <w:jc w:val="left"/>
            </w:pPr>
            <w:r>
              <w:rPr>
                <w:rFonts w:ascii="Times New Roman" w:hAnsi="Times New Roman" w:cs="Times New Roman" w:eastAsia="Times New Roman"/>
                <w:sz w:val="22"/>
              </w:rPr>
              <w:t xml:space="preserve">Ijtimoiy funksiya va institutsional yondashuv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G.J. Schinasi</w:t>
            </w:r>
          </w:p>
        </w:tc>
        <w:tc>
          <w:tcPr/>
          <w:p>
            <w:pPr>
              <w:pStyle w:val="Compact"/>
              <w:spacing w:line="240" w:lineRule="auto"/>
              <w:ind w:firstLine="0"/>
              <w:jc w:val="left"/>
            </w:pPr>
            <w:r>
              <w:rPr>
                <w:rFonts w:ascii="Times New Roman" w:hAnsi="Times New Roman" w:cs="Times New Roman" w:eastAsia="Times New Roman"/>
                <w:sz w:val="22"/>
              </w:rPr>
              <w:t xml:space="preserve">Moliya tizimining resurslarni samarali taqsimlash, risklarni baholash va boshqarish hamda shoklarni yutish qobiliyati</w:t>
            </w:r>
          </w:p>
        </w:tc>
        <w:tc>
          <w:tcPr/>
          <w:p>
            <w:pPr>
              <w:pStyle w:val="Compact"/>
              <w:spacing w:line="240" w:lineRule="auto"/>
              <w:ind w:firstLine="0"/>
              <w:jc w:val="left"/>
            </w:pPr>
            <w:r>
              <w:rPr>
                <w:rFonts w:ascii="Times New Roman" w:hAnsi="Times New Roman" w:cs="Times New Roman" w:eastAsia="Times New Roman"/>
                <w:sz w:val="22"/>
              </w:rPr>
              <w:t xml:space="preserve">Funksiyalarni bajarish va shoklarga chidamlilik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F.S. Mishkin</w:t>
            </w:r>
          </w:p>
        </w:tc>
        <w:tc>
          <w:tcPr/>
          <w:p>
            <w:pPr>
              <w:pStyle w:val="Compact"/>
              <w:spacing w:line="240" w:lineRule="auto"/>
              <w:ind w:firstLine="0"/>
              <w:jc w:val="left"/>
            </w:pPr>
            <w:r>
              <w:rPr>
                <w:rFonts w:ascii="Times New Roman" w:hAnsi="Times New Roman" w:cs="Times New Roman" w:eastAsia="Times New Roman"/>
                <w:sz w:val="22"/>
              </w:rPr>
              <w:t xml:space="preserve">Axborot oqimining uzilishi natijasida moliya tizimi mablag‘larni samarali yo‘naltira olmay qoladigan holatning yo‘qligi</w:t>
            </w:r>
          </w:p>
        </w:tc>
        <w:tc>
          <w:tcPr/>
          <w:p>
            <w:pPr>
              <w:pStyle w:val="Compact"/>
              <w:spacing w:line="240" w:lineRule="auto"/>
              <w:ind w:firstLine="0"/>
              <w:jc w:val="left"/>
            </w:pPr>
            <w:r>
              <w:rPr>
                <w:rFonts w:ascii="Times New Roman" w:hAnsi="Times New Roman" w:cs="Times New Roman" w:eastAsia="Times New Roman"/>
                <w:sz w:val="22"/>
              </w:rPr>
              <w:t xml:space="preserve">Axborot asimmetriyasi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J.M. Hendrickson</w:t>
            </w:r>
          </w:p>
        </w:tc>
        <w:tc>
          <w:tcPr/>
          <w:p>
            <w:pPr>
              <w:pStyle w:val="Compact"/>
              <w:spacing w:line="240" w:lineRule="auto"/>
              <w:ind w:firstLine="0"/>
              <w:jc w:val="left"/>
            </w:pPr>
            <w:r>
              <w:rPr>
                <w:rFonts w:ascii="Times New Roman" w:hAnsi="Times New Roman" w:cs="Times New Roman" w:eastAsia="Times New Roman"/>
                <w:sz w:val="22"/>
              </w:rPr>
              <w:t xml:space="preserve">Asosiy moliya institutlari tashqi yordamsiz foydalanuvchilarda yuqori ishonch uyg‘otadigan holat</w:t>
            </w:r>
          </w:p>
        </w:tc>
        <w:tc>
          <w:tcPr/>
          <w:p>
            <w:pPr>
              <w:pStyle w:val="Compact"/>
              <w:spacing w:line="240" w:lineRule="auto"/>
              <w:ind w:firstLine="0"/>
              <w:jc w:val="left"/>
            </w:pPr>
            <w:r>
              <w:rPr>
                <w:rFonts w:ascii="Times New Roman" w:hAnsi="Times New Roman" w:cs="Times New Roman" w:eastAsia="Times New Roman"/>
                <w:sz w:val="22"/>
              </w:rPr>
              <w:t xml:space="preserve">Ishonch va mustaqillik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A.V. Thakor</w:t>
            </w:r>
          </w:p>
        </w:tc>
        <w:tc>
          <w:tcPr/>
          <w:p>
            <w:pPr>
              <w:pStyle w:val="Compact"/>
              <w:spacing w:line="240" w:lineRule="auto"/>
              <w:ind w:firstLine="0"/>
              <w:jc w:val="left"/>
            </w:pPr>
            <w:r>
              <w:rPr>
                <w:rFonts w:ascii="Times New Roman" w:hAnsi="Times New Roman" w:cs="Times New Roman" w:eastAsia="Times New Roman"/>
                <w:sz w:val="22"/>
              </w:rPr>
              <w:t xml:space="preserve">Sog‘lom tizim inqirozdan butunlay himoyalangan tizim emas; unda alohida banklar davlat yordamisiz bankrot bo‘lishi mumkin</w:t>
            </w:r>
          </w:p>
        </w:tc>
        <w:tc>
          <w:tcPr/>
          <w:p>
            <w:pPr>
              <w:pStyle w:val="Compact"/>
              <w:spacing w:line="240" w:lineRule="auto"/>
              <w:ind w:firstLine="0"/>
              <w:jc w:val="left"/>
            </w:pPr>
            <w:r>
              <w:rPr>
                <w:rFonts w:ascii="Times New Roman" w:hAnsi="Times New Roman" w:cs="Times New Roman" w:eastAsia="Times New Roman"/>
                <w:sz w:val="22"/>
              </w:rPr>
              <w:t xml:space="preserve">Tizim darajasidagi sog‘lomlik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N.H. Sharipova</w:t>
            </w:r>
          </w:p>
        </w:tc>
        <w:tc>
          <w:tcPr/>
          <w:p>
            <w:pPr>
              <w:pStyle w:val="Compact"/>
              <w:spacing w:line="240" w:lineRule="auto"/>
              <w:ind w:firstLine="0"/>
              <w:jc w:val="left"/>
            </w:pPr>
            <w:r>
              <w:rPr>
                <w:rFonts w:ascii="Times New Roman" w:hAnsi="Times New Roman" w:cs="Times New Roman" w:eastAsia="Times New Roman"/>
                <w:sz w:val="22"/>
              </w:rPr>
              <w:t xml:space="preserve">Bankning o‘z funksiyalarini beqaror iqtisodiy sharoitlarda ham uzluksiz va samarali bajarishini ta’minlaydigan tizimli va dinamik holat</w:t>
            </w:r>
          </w:p>
        </w:tc>
        <w:tc>
          <w:tcPr/>
          <w:p>
            <w:pPr>
              <w:pStyle w:val="Compact"/>
              <w:spacing w:line="240" w:lineRule="auto"/>
              <w:ind w:firstLine="0"/>
              <w:jc w:val="left"/>
            </w:pPr>
            <w:r>
              <w:rPr>
                <w:rFonts w:ascii="Times New Roman" w:hAnsi="Times New Roman" w:cs="Times New Roman" w:eastAsia="Times New Roman"/>
                <w:sz w:val="22"/>
              </w:rPr>
              <w:t xml:space="preserve">Uzluksizlik va dinamika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FootnoteReference"/>
        </w:rPr>
        <w:footnoteReference w:id="26"/>
      </w:r>
      <w:r>
        <w:rPr>
          <w:rFonts w:ascii="Times New Roman" w:hAnsi="Times New Roman" w:cs="Times New Roman" w:eastAsia="Times New Roman"/>
          <w:sz w:val="28"/>
        </w:rPr>
        <w:t xml:space="preserve">. Monografiyada esa bank ijtimoiy institut sifatida qaraladi va uning barqarorligi jamiyat ehtiyojlariga mosligi bilan o‘lchanadi</w:t>
      </w:r>
      <w:r>
        <w:rPr>
          <w:rStyle w:val="FootnoteReference"/>
        </w:rPr>
        <w:footnoteReference w:id="2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FootnoteReference"/>
        </w:rPr>
        <w:footnoteReference w:id="28"/>
      </w:r>
      <w:r>
        <w:rPr>
          <w:rFonts w:ascii="Times New Roman" w:hAnsi="Times New Roman" w:cs="Times New Roman" w:eastAsia="Times New Roman"/>
          <w:sz w:val="28"/>
        </w:rPr>
        <w:t xml:space="preserve">. F.S. Mishkin esa beqarorlikdan kelib chiqib, uni axborot oqimining keskin uzilishi natijasida moliya tizimi mablag‘larni eng samarali investitsiya imkoniyatlariga yo‘naltira olmay qoladigan holat sifatida izohlaydi</w:t>
      </w:r>
      <w:r>
        <w:rPr>
          <w:rStyle w:val="FootnoteReference"/>
        </w:rPr>
        <w:footnoteReference w:id="29"/>
      </w:r>
      <w:r>
        <w:rPr>
          <w:rFonts w:ascii="Times New Roman" w:hAnsi="Times New Roman" w:cs="Times New Roman" w:eastAsia="Times New Roman"/>
          <w:sz w:val="28"/>
        </w:rPr>
        <w:t xml:space="preserve">.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FootnoteReference"/>
        </w:rPr>
        <w:footnoteReference w:id="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Mahalliy tadqiqotlarda ham bu masalaga e’tibor kuchayib bormoqda. Xususan, 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FootnoteReference"/>
        </w:rPr>
        <w:footnoteReference w:id="31"/>
      </w:r>
      <w:r>
        <w:rPr>
          <w:rFonts w:ascii="Times New Roman" w:hAnsi="Times New Roman" w:cs="Times New Roman" w:eastAsia="Times New Roman"/>
          <w:sz w:val="28"/>
        </w:rPr>
        <w:t xml:space="preserve">. Bu ta’rifda uzluksizlik va dinamikaga urg‘u berilgani e’tiborga loyiq, ammo unda barqarorlikni qanday o‘lchash mumkinligi, ya’ni uning miqdoriy chegaralari ochiq qolgan.</w:t>
      </w:r>
    </w:p>
    <w:p>
      <w:pPr>
        <w:pStyle w:val="BodyText"/>
        <w:spacing w:line="360" w:lineRule="auto" w:before="0" w:after="0"/>
        <w:ind w:firstLine="709"/>
        <w:jc w:val="both"/>
      </w:pPr>
      <w:r>
        <w:rPr>
          <w:rFonts w:ascii="Times New Roman" w:hAnsi="Times New Roman" w:cs="Times New Roman" w:eastAsia="Times New Roman"/>
          <w:sz w:val="28"/>
        </w:rP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FootnoteReference"/>
        </w:rPr>
        <w:footnoteReference w:id="32"/>
      </w:r>
      <w:r>
        <w:rPr>
          <w:rFonts w:ascii="Times New Roman" w:hAnsi="Times New Roman" w:cs="Times New Roman" w:eastAsia="Times New Roman"/>
          <w:sz w:val="28"/>
        </w:rPr>
        <w:t xml:space="preserve">.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pPr>
        <w:pStyle w:val="BodyText"/>
        <w:spacing w:line="360" w:lineRule="auto" w:before="0" w:after="0"/>
        <w:ind w:firstLine="709"/>
        <w:jc w:val="both"/>
      </w:pPr>
      <w:r>
        <w:rPr>
          <w:rFonts w:ascii="Times New Roman" w:hAnsi="Times New Roman" w:cs="Times New Roman" w:eastAsia="Times New Roman"/>
          <w:sz w:val="28"/>
        </w:rPr>
        <w:t xml:space="preserve">Ta’riflarni umumlashtirib, moliyaviy barqarorlikni tushunishdagi to‘rt asosiy yondashuvni ajratish mumkin (1.1.2-rasm).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538000"/>
                <wp:effectExtent l="0" t="0" r="0" b="0"/>
                <wp:docPr id="1002" name="1.1.2-rasm"/>
                <wp:cNvGraphicFramePr/>
                <a:graphic>
                  <a:graphicData uri="http://schemas.microsoft.com/office/word/2010/wordprocessingGroup">
                    <wpg:wgp>
                      <wpg:cNvGrpSpPr/>
                      <wpg:grpSpPr>
                        <a:xfrm>
                          <a:off x="0" y="0"/>
                          <a:ext cx="5904000" cy="2538000"/>
                          <a:chOff x="0" y="0"/>
                          <a:chExt cx="5904000" cy="2538000"/>
                        </a:xfrm>
                      </wpg:grpSpPr>
                      <wps:wsp>
                        <wps:cNvPr id="17"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tushunchasi</w:t>
                              </w:r>
                            </w:p>
                          </w:txbxContent>
                        </wps:txbx>
                        <wps:bodyPr rot="0" vert="horz" wrap="square" lIns="36000" tIns="18000" rIns="36000" bIns="18000" anchor="ctr" anchorCtr="0">
                          <a:noAutofit/>
                        </wps:bodyPr>
                      </wps:wsp>
                      <wps:wsp>
                        <wps:cNvPr id="18"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9"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Resurs</w:t>
                              </w:r>
                            </w:p>
                            <w:p>
                              <w:pPr>
                                <w:spacing w:before="0" w:after="0" w:line="228" w:lineRule="auto"/>
                                <w:jc w:val="center"/>
                                <w:ind w:firstLine="0"/>
                              </w:pPr>
                              <w:r>
                                <w:rPr>
                                  <w:rFonts w:ascii="Times New Roman" w:hAnsi="Times New Roman" w:cs="Times New Roman"/>
                                  <w:b/>
                                  <w:color w:val="FFFFFF"/>
                                  <w:sz w:val="21"/>
                                  <w:szCs w:val="21"/>
                                </w:rPr>
                                <w:t xml:space="preserve">yondashuvi</w:t>
                              </w:r>
                            </w:p>
                          </w:txbxContent>
                        </wps:txbx>
                        <wps:bodyPr rot="0" vert="horz" wrap="square" lIns="36000" tIns="18000" rIns="36000" bIns="18000" anchor="ctr" anchorCtr="0">
                          <a:noAutofit/>
                        </wps:bodyPr>
                      </wps:wsp>
                      <wps:wsp>
                        <wps:cNvPr id="20"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foyda,</w:t>
                              </w:r>
                            </w:p>
                            <w:p>
                              <w:pPr>
                                <w:spacing w:before="0" w:after="0" w:line="228" w:lineRule="auto"/>
                                <w:jc w:val="center"/>
                                <w:ind w:firstLine="0"/>
                              </w:pPr>
                              <w:r>
                                <w:rPr>
                                  <w:rFonts w:ascii="Times New Roman" w:hAnsi="Times New Roman" w:cs="Times New Roman"/>
                                  <w:color w:val="000000"/>
                                  <w:sz w:val="18"/>
                                  <w:szCs w:val="18"/>
                                </w:rPr>
                                <w:t xml:space="preserve">zaxiralarning</w:t>
                              </w:r>
                            </w:p>
                            <w:p>
                              <w:pPr>
                                <w:spacing w:before="0" w:after="0" w:line="228" w:lineRule="auto"/>
                                <w:jc w:val="center"/>
                                <w:ind w:firstLine="0"/>
                              </w:pPr>
                              <w:r>
                                <w:rPr>
                                  <w:rFonts w:ascii="Times New Roman" w:hAnsi="Times New Roman" w:cs="Times New Roman"/>
                                  <w:color w:val="000000"/>
                                  <w:sz w:val="18"/>
                                  <w:szCs w:val="18"/>
                                </w:rPr>
                                <w:t xml:space="preserve">barqaror o‘sishi</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I.D. Mamonova)</w:t>
                              </w:r>
                            </w:p>
                          </w:txbxContent>
                        </wps:txbx>
                        <wps:bodyPr rot="0" vert="horz" wrap="square" lIns="36000" tIns="18000" rIns="36000" bIns="18000" anchor="ctr" anchorCtr="0">
                          <a:noAutofit/>
                        </wps:bodyPr>
                      </wps:wsp>
                      <wps:wsp>
                        <wps:cNvPr id="21" name="Connector 21"/>
                        <wps:cNvCnPr/>
                        <wps:spPr>
                          <a:xfrm>
                            <a:off x="729000" y="1962000"/>
                            <a:ext cx="2223000" cy="198000"/>
                          </a:xfrm>
                          <a:prstGeom prst="straightConnector1">
                            <a:avLst/>
                          </a:prstGeom>
                          <a:ln w="12700">
                            <a:solidFill>
                              <a:srgbClr val="7F7F7F"/>
                            </a:solidFill>
                            <a:tailEnd type="triangle" w="med" len="med"/>
                          </a:ln>
                        </wps:spPr>
                        <wps:bodyPr/>
                      </wps:wsp>
                      <wps:wsp>
                        <wps:cNvPr id="22"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23"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Institutsional-</w:t>
                              </w:r>
                            </w:p>
                            <w:p>
                              <w:pPr>
                                <w:spacing w:before="0" w:after="0" w:line="228" w:lineRule="auto"/>
                                <w:jc w:val="center"/>
                                <w:ind w:firstLine="0"/>
                              </w:pPr>
                              <w:r>
                                <w:rPr>
                                  <w:rFonts w:ascii="Times New Roman" w:hAnsi="Times New Roman" w:cs="Times New Roman"/>
                                  <w:b/>
                                  <w:color w:val="FFFFFF"/>
                                  <w:sz w:val="21"/>
                                  <w:szCs w:val="21"/>
                                </w:rPr>
                                <w:t xml:space="preserve">funksional</w:t>
                              </w:r>
                            </w:p>
                          </w:txbxContent>
                        </wps:txbx>
                        <wps:bodyPr rot="0" vert="horz" wrap="square" lIns="36000" tIns="18000" rIns="36000" bIns="18000" anchor="ctr" anchorCtr="0">
                          <a:noAutofit/>
                        </wps:bodyPr>
                      </wps:wsp>
                      <wps:wsp>
                        <wps:cNvPr id="24"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Vositachilik</w:t>
                              </w:r>
                            </w:p>
                            <w:p>
                              <w:pPr>
                                <w:spacing w:before="0" w:after="0" w:line="228" w:lineRule="auto"/>
                                <w:jc w:val="center"/>
                                <w:ind w:firstLine="0"/>
                              </w:pPr>
                              <w:r>
                                <w:rPr>
                                  <w:rFonts w:ascii="Times New Roman" w:hAnsi="Times New Roman" w:cs="Times New Roman"/>
                                  <w:color w:val="000000"/>
                                  <w:sz w:val="18"/>
                                  <w:szCs w:val="18"/>
                                </w:rPr>
                                <w:t xml:space="preserve">funksiyalarini</w:t>
                              </w:r>
                            </w:p>
                            <w:p>
                              <w:pPr>
                                <w:spacing w:before="0" w:after="0" w:line="228" w:lineRule="auto"/>
                                <w:jc w:val="center"/>
                                <w:ind w:firstLine="0"/>
                              </w:pPr>
                              <w:r>
                                <w:rPr>
                                  <w:rFonts w:ascii="Times New Roman" w:hAnsi="Times New Roman" w:cs="Times New Roman"/>
                                  <w:color w:val="000000"/>
                                  <w:sz w:val="18"/>
                                  <w:szCs w:val="18"/>
                                </w:rPr>
                                <w:t xml:space="preserve">uzluksiz bajarish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G.J. Schinasi)</w:t>
                              </w:r>
                            </w:p>
                          </w:txbxContent>
                        </wps:txbx>
                        <wps:bodyPr rot="0" vert="horz" wrap="square" lIns="36000" tIns="18000" rIns="36000" bIns="18000" anchor="ctr" anchorCtr="0">
                          <a:noAutofit/>
                        </wps:bodyPr>
                      </wps:wsp>
                      <wps:wsp>
                        <wps:cNvPr id="25" name="Connector 25"/>
                        <wps:cNvCnPr/>
                        <wps:spPr>
                          <a:xfrm>
                            <a:off x="2205000" y="1962000"/>
                            <a:ext cx="747000" cy="198000"/>
                          </a:xfrm>
                          <a:prstGeom prst="straightConnector1">
                            <a:avLst/>
                          </a:prstGeom>
                          <a:ln w="12700">
                            <a:solidFill>
                              <a:srgbClr val="7F7F7F"/>
                            </a:solidFill>
                            <a:tailEnd type="triangle" w="med" len="med"/>
                          </a:ln>
                        </wps:spPr>
                        <wps:bodyPr/>
                      </wps:wsp>
                      <wps:wsp>
                        <wps:cNvPr id="26" name="Connector 26"/>
                        <wps:cNvCnPr/>
                        <wps:spPr>
                          <a:xfrm>
                            <a:off x="2952000" y="360000"/>
                            <a:ext cx="729000" cy="216000"/>
                          </a:xfrm>
                          <a:prstGeom prst="straightConnector1">
                            <a:avLst/>
                          </a:prstGeom>
                          <a:ln w="15875">
                            <a:solidFill>
                              <a:srgbClr val="404040"/>
                            </a:solidFill>
                            <a:tailEnd type="triangle" w="med" len="med"/>
                          </a:ln>
                        </wps:spPr>
                        <wps:bodyPr/>
                      </wps:wsp>
                      <wps:wsp>
                        <wps:cNvPr id="2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Ishonch</w:t>
                              </w:r>
                            </w:p>
                            <w:p>
                              <w:pPr>
                                <w:spacing w:before="0" w:after="0" w:line="228" w:lineRule="auto"/>
                                <w:jc w:val="center"/>
                                <w:ind w:firstLine="0"/>
                              </w:pPr>
                              <w:r>
                                <w:rPr>
                                  <w:rFonts w:ascii="Times New Roman" w:hAnsi="Times New Roman" w:cs="Times New Roman"/>
                                  <w:b/>
                                  <w:color w:val="000000"/>
                                  <w:sz w:val="21"/>
                                  <w:szCs w:val="21"/>
                                </w:rPr>
                                <w:t xml:space="preserve">yondashuvi</w:t>
                              </w:r>
                            </w:p>
                          </w:txbxContent>
                        </wps:txbx>
                        <wps:bodyPr rot="0" vert="horz" wrap="square" lIns="36000" tIns="18000" rIns="36000" bIns="18000" anchor="ctr" anchorCtr="0">
                          <a:noAutofit/>
                        </wps:bodyPr>
                      </wps:wsp>
                      <wps:wsp>
                        <wps:cNvPr id="28"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Tashqi yordamsiz</w:t>
                              </w:r>
                            </w:p>
                            <w:p>
                              <w:pPr>
                                <w:spacing w:before="0" w:after="0" w:line="228" w:lineRule="auto"/>
                                <w:jc w:val="center"/>
                                <w:ind w:firstLine="0"/>
                              </w:pPr>
                              <w:r>
                                <w:rPr>
                                  <w:rFonts w:ascii="Times New Roman" w:hAnsi="Times New Roman" w:cs="Times New Roman"/>
                                  <w:color w:val="000000"/>
                                  <w:sz w:val="18"/>
                                  <w:szCs w:val="18"/>
                                </w:rPr>
                                <w:t xml:space="preserve">yuqori ishonch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(J.M. Hendrickson,</w:t>
                              </w:r>
                            </w:p>
                            <w:p>
                              <w:pPr>
                                <w:spacing w:before="0" w:after="0" w:line="228" w:lineRule="auto"/>
                                <w:jc w:val="center"/>
                                <w:ind w:firstLine="0"/>
                              </w:pPr>
                              <w:r>
                                <w:rPr>
                                  <w:rFonts w:ascii="Times New Roman" w:hAnsi="Times New Roman" w:cs="Times New Roman"/>
                                  <w:color w:val="000000"/>
                                  <w:sz w:val="18"/>
                                  <w:szCs w:val="18"/>
                                </w:rPr>
                                <w:t xml:space="preserve">A. Krokett)</w:t>
                              </w:r>
                            </w:p>
                          </w:txbxContent>
                        </wps:txbx>
                        <wps:bodyPr rot="0" vert="horz" wrap="square" lIns="36000" tIns="18000" rIns="36000" bIns="18000" anchor="ctr" anchorCtr="0">
                          <a:noAutofit/>
                        </wps:bodyPr>
                      </wps:wsp>
                      <wps:wsp>
                        <wps:cNvPr id="29"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30" name="Connector 30"/>
                        <wps:cNvCnPr/>
                        <wps:spPr>
                          <a:xfrm>
                            <a:off x="2952000" y="360000"/>
                            <a:ext cx="2205000" cy="216000"/>
                          </a:xfrm>
                          <a:prstGeom prst="straightConnector1">
                            <a:avLst/>
                          </a:prstGeom>
                          <a:ln w="15875">
                            <a:solidFill>
                              <a:srgbClr val="404040"/>
                            </a:solidFill>
                            <a:tailEnd type="triangle" w="med" len="med"/>
                          </a:ln>
                        </wps:spPr>
                        <wps:bodyPr/>
                      </wps:wsp>
                      <wps:wsp>
                        <wps:cNvPr id="31"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 va</w:t>
                              </w:r>
                            </w:p>
                            <w:p>
                              <w:pPr>
                                <w:spacing w:before="0" w:after="0" w:line="228" w:lineRule="auto"/>
                                <w:jc w:val="center"/>
                                <w:ind w:firstLine="0"/>
                              </w:pPr>
                              <w:r>
                                <w:rPr>
                                  <w:rFonts w:ascii="Times New Roman" w:hAnsi="Times New Roman" w:cs="Times New Roman"/>
                                  <w:b/>
                                  <w:color w:val="FFFFFF"/>
                                  <w:sz w:val="21"/>
                                  <w:szCs w:val="21"/>
                                </w:rPr>
                                <w:t xml:space="preserve">chidamlilik</w:t>
                              </w:r>
                            </w:p>
                          </w:txbxContent>
                        </wps:txbx>
                        <wps:bodyPr rot="0" vert="horz" wrap="square" lIns="36000" tIns="18000" rIns="36000" bIns="18000" anchor="ctr" anchorCtr="0">
                          <a:noAutofit/>
                        </wps:bodyPr>
                      </wps:wsp>
                      <wps:wsp>
                        <wps:cNvPr id="3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buferlari, shoklarga</w:t>
                              </w:r>
                            </w:p>
                            <w:p>
                              <w:pPr>
                                <w:spacing w:before="0" w:after="0" w:line="228" w:lineRule="auto"/>
                                <w:jc w:val="center"/>
                                <w:ind w:firstLine="0"/>
                              </w:pPr>
                              <w:r>
                                <w:rPr>
                                  <w:rFonts w:ascii="Times New Roman" w:hAnsi="Times New Roman" w:cs="Times New Roman"/>
                                  <w:color w:val="000000"/>
                                  <w:sz w:val="18"/>
                                  <w:szCs w:val="18"/>
                                </w:rPr>
                                <w:t xml:space="preserve">chidamlilik</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(Bazel qo‘mitasi,</w:t>
                              </w:r>
                            </w:p>
                            <w:p>
                              <w:pPr>
                                <w:spacing w:before="0" w:after="0" w:line="228" w:lineRule="auto"/>
                                <w:jc w:val="center"/>
                                <w:ind w:firstLine="0"/>
                              </w:pPr>
                              <w:r>
                                <w:rPr>
                                  <w:rFonts w:ascii="Times New Roman" w:hAnsi="Times New Roman" w:cs="Times New Roman"/>
                                  <w:color w:val="000000"/>
                                  <w:sz w:val="18"/>
                                  <w:szCs w:val="18"/>
                                </w:rPr>
                                <w:t xml:space="preserve">XVJ)</w:t>
                              </w:r>
                            </w:p>
                          </w:txbxContent>
                        </wps:txbx>
                        <wps:bodyPr rot="0" vert="horz" wrap="square" lIns="36000" tIns="18000" rIns="36000" bIns="18000" anchor="ctr" anchorCtr="0">
                          <a:noAutofit/>
                        </wps:bodyPr>
                      </wps:wsp>
                      <wps:wsp>
                        <wps:cNvPr id="33"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34"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Integral yondashuv: daraja + dinamika + muvozanat</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1.1.2-rasm. Moliyaviy barqarorlik tushunchasini talqin qilishdagi asosiy yondashuvlar</w:t>
      </w:r>
      <w:r>
        <w:rPr>
          <w:rStyle w:val="FootnoteReference"/>
        </w:rPr>
        <w:footnoteReference w:id="33"/>
      </w:r>
    </w:p>
    <w:p>
      <w:pPr>
        <w:pStyle w:val="BodyText"/>
        <w:spacing w:line="360" w:lineRule="auto" w:before="0" w:after="0"/>
        <w:ind w:firstLine="709"/>
        <w:jc w:val="both"/>
      </w:pPr>
      <w:r>
        <w:rPr>
          <w:rFonts w:ascii="Times New Roman" w:hAnsi="Times New Roman" w:cs="Times New Roman" w:eastAsia="Times New Roman"/>
          <w:sz w:val="28"/>
        </w:rP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FootnoteReference"/>
        </w:rPr>
        <w:footnoteReference w:id="34"/>
      </w:r>
      <w:r>
        <w:rPr>
          <w:rFonts w:ascii="Times New Roman" w:hAnsi="Times New Roman" w:cs="Times New Roman" w:eastAsia="Times New Roman"/>
          <w:sz w:val="28"/>
        </w:rPr>
        <w:t xml:space="preserve">. Ushbu darajalar va ular o‘rtasidagi bog‘liqlik 1.1.3-rasmda ko‘rsatildi.</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1926000"/>
                <wp:effectExtent l="0" t="0" r="0" b="0"/>
                <wp:docPr id="1003" name="1.1.3-rasm"/>
                <wp:cNvGraphicFramePr/>
                <a:graphic>
                  <a:graphicData uri="http://schemas.microsoft.com/office/word/2010/wordprocessingGroup">
                    <wpg:wgp>
                      <wpg:cNvGrpSpPr/>
                      <wpg:grpSpPr>
                        <a:xfrm>
                          <a:off x="0" y="0"/>
                          <a:ext cx="5904000" cy="1926000"/>
                          <a:chOff x="0" y="0"/>
                          <a:chExt cx="5904000" cy="1926000"/>
                        </a:xfrm>
                      </wpg:grpSpPr>
                      <wps:wsp>
                        <wps:cNvPr id="35"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Moliya tizimi: banklar, nobank moliya tashkilotlari, moliya bozorlari, infratuzilma</w:t>
                              </w:r>
                            </w:p>
                          </w:txbxContent>
                        </wps:txbx>
                        <wps:bodyPr rot="0" vert="horz" wrap="square" lIns="36000" tIns="18000" rIns="36000" bIns="18000" anchor="ctr" anchorCtr="0">
                          <a:noAutofit/>
                        </wps:bodyPr>
                      </wps:wsp>
                      <wps:wsp>
                        <wps:cNvPr id="36"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 tizimi (bank sektori): Markaziy bank va tijorat banklari</w:t>
                              </w:r>
                            </w:p>
                          </w:txbxContent>
                        </wps:txbx>
                        <wps:bodyPr rot="0" vert="horz" wrap="square" lIns="36000" tIns="18000" rIns="36000" bIns="18000" anchor="ctr" anchorCtr="0">
                          <a:noAutofit/>
                        </wps:bodyPr>
                      </wps:wsp>
                      <wps:wsp>
                        <wps:cNvPr id="37"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Alohida tijorat banki</w:t>
                              </w:r>
                            </w:p>
                          </w:txbxContent>
                        </wps:txbx>
                        <wps:bodyPr rot="0" vert="horz" wrap="square" lIns="36000" tIns="18000" rIns="36000" bIns="18000" anchor="ctr" anchorCtr="0">
                          <a:noAutofit/>
                        </wps:bodyPr>
                      </wps:wsp>
                      <wps:wsp>
                        <wps:cNvPr id="38" name="Connector 38"/>
                        <wps:cNvCnPr/>
                        <wps:spPr>
                          <a:xfrm>
                            <a:off x="5256000" y="396000"/>
                            <a:ext cx="0" cy="1008000"/>
                          </a:xfrm>
                          <a:prstGeom prst="straightConnector1">
                            <a:avLst/>
                          </a:prstGeom>
                          <a:ln w="28575">
                            <a:solidFill>
                              <a:srgbClr val="EB6834"/>
                            </a:solidFill>
                            <a:tailEnd type="triangle" w="med" len="med"/>
                          </a:ln>
                        </wps:spPr>
                        <wps:bodyPr/>
                      </wps:wsp>
                      <wps:wsp>
                        <wps:cNvPr id="39"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Makroshoklar,</w:t>
                              </w:r>
                            </w:p>
                            <w:p>
                              <w:pPr>
                                <w:spacing w:before="0" w:after="0" w:line="228" w:lineRule="auto"/>
                                <w:jc w:val="center"/>
                                <w:ind w:firstLine="0"/>
                              </w:pPr>
                              <w:r>
                                <w:rPr>
                                  <w:rFonts w:ascii="Times New Roman" w:hAnsi="Times New Roman" w:cs="Times New Roman"/>
                                  <w:color w:val="000000"/>
                                  <w:sz w:val="18"/>
                                  <w:szCs w:val="18"/>
                                </w:rPr>
                                <w:t xml:space="preserve">umumiy risklar</w:t>
                              </w:r>
                            </w:p>
                          </w:txbxContent>
                        </wps:txbx>
                        <wps:bodyPr rot="0" vert="horz" wrap="square" lIns="36000" tIns="18000" rIns="36000" bIns="18000" anchor="ctr" anchorCtr="0">
                          <a:noAutofit/>
                        </wps:bodyPr>
                      </wps:wsp>
                      <wps:wsp>
                        <wps:cNvPr id="40" name="Connector 40"/>
                        <wps:cNvCnPr/>
                        <wps:spPr>
                          <a:xfrm flipV="1">
                            <a:off x="648000" y="396000"/>
                            <a:ext cx="0" cy="972000"/>
                          </a:xfrm>
                          <a:prstGeom prst="straightConnector1">
                            <a:avLst/>
                          </a:prstGeom>
                          <a:ln w="28575">
                            <a:solidFill>
                              <a:srgbClr val="70AD47"/>
                            </a:solidFill>
                            <a:tailEnd type="triangle" w="med" len="med"/>
                          </a:ln>
                        </wps:spPr>
                        <wps:bodyPr/>
                      </wps:wsp>
                      <wps:wsp>
                        <wps:cNvPr id="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Zararlanish,</w:t>
                              </w:r>
                            </w:p>
                            <w:p>
                              <w:pPr>
                                <w:spacing w:before="0" w:after="0" w:line="228" w:lineRule="auto"/>
                                <w:jc w:val="center"/>
                                <w:ind w:firstLine="0"/>
                              </w:pPr>
                              <w:r>
                                <w:rPr>
                                  <w:rFonts w:ascii="Times New Roman" w:hAnsi="Times New Roman" w:cs="Times New Roman"/>
                                  <w:color w:val="000000"/>
                                  <w:sz w:val="18"/>
                                  <w:szCs w:val="18"/>
                                </w:rPr>
                                <w:t xml:space="preserve">tizimli risk</w:t>
                              </w:r>
                            </w:p>
                          </w:txbxContent>
                        </wps:txbx>
                        <wps:bodyPr rot="0" vert="horz" wrap="square" lIns="36000" tIns="18000" rIns="36000" bIns="18000" anchor="ctr" anchorCtr="0">
                          <a:noAutofit/>
                        </wps:bodyPr>
                      </wps:wsp>
                      <wps:wsp>
                        <wps:cNvPr id="42"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Tizim ≠ banklarning oddiy yig‘indisi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1.1.3-rasm. Moliyaviy barqarorlik darajalari va ularning o‘zaro ta’siri</w:t>
      </w:r>
      <w:r>
        <w:rPr>
          <w:rStyle w:val="FootnoteReference"/>
        </w:rPr>
        <w:footnoteReference w:id="3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FootnoteReference"/>
        </w:rPr>
        <w:footnoteReference w:id="36"/>
      </w:r>
      <w:r>
        <w:rPr>
          <w:rFonts w:ascii="Times New Roman" w:hAnsi="Times New Roman" w:cs="Times New Roman" w:eastAsia="Times New Roman"/>
          <w:sz w:val="28"/>
        </w:rPr>
        <w:t xml:space="preserve">.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pPr>
        <w:pStyle w:val="BodyText"/>
        <w:spacing w:line="360" w:lineRule="auto" w:before="0" w:after="0"/>
        <w:ind w:firstLine="709"/>
        <w:jc w:val="both"/>
      </w:pPr>
      <w:r>
        <w:rPr>
          <w:rFonts w:ascii="Times New Roman" w:hAnsi="Times New Roman" w:cs="Times New Roman" w:eastAsia="Times New Roman"/>
          <w:sz w:val="28"/>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FootnoteReference"/>
        </w:rPr>
        <w:footnoteReference w:id="37"/>
      </w:r>
      <w:r>
        <w:rPr>
          <w:rFonts w:ascii="Times New Roman" w:hAnsi="Times New Roman" w:cs="Times New Roman" w:eastAsia="Times New Roman"/>
          <w:sz w:val="28"/>
        </w:rPr>
        <w:t xml:space="preserve">.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barqarorlikka ta’sir etuvchi omillar masalasida ham iqtisodchilar o‘rtasida umumiy yondashuv shakllangan bo‘lib, ular odatda tashqi va ichki omillarga ajratiladi. O.I. Lavrushin va I.D. Mamonova o‘nta tashqi va to‘qqizta ichki omilni ajratadi</w:t>
      </w:r>
      <w:r>
        <w:rPr>
          <w:rStyle w:val="FootnoteReference"/>
        </w:rPr>
        <w:footnoteReference w:id="3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(1.1.4-rasm).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610000"/>
                <wp:effectExtent l="0" t="0" r="0" b="0"/>
                <wp:docPr id="1004" name="1.1.4-rasm"/>
                <wp:cNvGraphicFramePr/>
                <a:graphic>
                  <a:graphicData uri="http://schemas.microsoft.com/office/word/2010/wordprocessingGroup">
                    <wpg:wgp>
                      <wpg:cNvGrpSpPr/>
                      <wpg:grpSpPr>
                        <a:xfrm>
                          <a:off x="0" y="0"/>
                          <a:ext cx="5904000" cy="2610000"/>
                          <a:chOff x="0" y="0"/>
                          <a:chExt cx="5904000" cy="2610000"/>
                        </a:xfrm>
                      </wpg:grpSpPr>
                      <wps:wsp>
                        <wps:cNvPr id="43"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omillari</w:t>
                              </w:r>
                            </w:p>
                          </w:txbxContent>
                        </wps:txbx>
                        <wps:bodyPr rot="0" vert="horz" wrap="square" lIns="36000" tIns="18000" rIns="36000" bIns="18000" anchor="ctr" anchorCtr="0">
                          <a:noAutofit/>
                        </wps:bodyPr>
                      </wps:wsp>
                      <wps:wsp>
                        <wps:cNvPr id="44"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45"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Tashqi omillar (10)</w:t>
                              </w:r>
                            </w:p>
                          </w:txbxContent>
                        </wps:txbx>
                        <wps:bodyPr rot="0" vert="horz" wrap="square" lIns="36000" tIns="18000" rIns="36000" bIns="18000" anchor="ctr" anchorCtr="0">
                          <a:noAutofit/>
                        </wps:bodyPr>
                      </wps:wsp>
                      <wps:wsp>
                        <wps:cNvPr id="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Makroiqtisodiy holat</w:t>
                              </w:r>
                            </w:p>
                            <w:p>
                              <w:pPr>
                                <w:spacing w:before="0" w:after="0" w:line="228" w:lineRule="auto"/>
                                <w:jc w:val="left"/>
                                <w:ind w:firstLine="0"/>
                              </w:pPr>
                              <w:r>
                                <w:rPr>
                                  <w:rFonts w:ascii="Times New Roman" w:hAnsi="Times New Roman" w:cs="Times New Roman"/>
                                  <w:color w:val="000000"/>
                                  <w:sz w:val="19"/>
                                  <w:szCs w:val="19"/>
                                </w:rPr>
                                <w:t xml:space="preserve">2. Davlatning maqsadli mo‘ljallari</w:t>
                              </w:r>
                            </w:p>
                            <w:p>
                              <w:pPr>
                                <w:spacing w:before="0" w:after="0" w:line="228" w:lineRule="auto"/>
                                <w:jc w:val="left"/>
                                <w:ind w:firstLine="0"/>
                              </w:pPr>
                              <w:r>
                                <w:rPr>
                                  <w:rFonts w:ascii="Times New Roman" w:hAnsi="Times New Roman" w:cs="Times New Roman"/>
                                  <w:color w:val="000000"/>
                                  <w:sz w:val="19"/>
                                  <w:szCs w:val="19"/>
                                </w:rPr>
                                <w:t xml:space="preserve">3. Talab va to‘lov qobiliyati</w:t>
                              </w:r>
                            </w:p>
                            <w:p>
                              <w:pPr>
                                <w:spacing w:before="0" w:after="0" w:line="228" w:lineRule="auto"/>
                                <w:jc w:val="left"/>
                                <w:ind w:firstLine="0"/>
                              </w:pPr>
                              <w:r>
                                <w:rPr>
                                  <w:rFonts w:ascii="Times New Roman" w:hAnsi="Times New Roman" w:cs="Times New Roman"/>
                                  <w:color w:val="000000"/>
                                  <w:sz w:val="19"/>
                                  <w:szCs w:val="19"/>
                                </w:rPr>
                                <w:t xml:space="preserve">4. Pul bozori holati</w:t>
                              </w:r>
                            </w:p>
                            <w:p>
                              <w:pPr>
                                <w:spacing w:before="0" w:after="0" w:line="228" w:lineRule="auto"/>
                                <w:jc w:val="left"/>
                                <w:ind w:firstLine="0"/>
                              </w:pPr>
                              <w:r>
                                <w:rPr>
                                  <w:rFonts w:ascii="Times New Roman" w:hAnsi="Times New Roman" w:cs="Times New Roman"/>
                                  <w:color w:val="000000"/>
                                  <w:sz w:val="19"/>
                                  <w:szCs w:val="19"/>
                                </w:rPr>
                                <w:t xml:space="preserve">5. Pul muomalasi va inflyatsiya</w:t>
                              </w:r>
                            </w:p>
                            <w:p>
                              <w:pPr>
                                <w:spacing w:before="0" w:after="0" w:line="228" w:lineRule="auto"/>
                                <w:jc w:val="left"/>
                                <w:ind w:firstLine="0"/>
                              </w:pPr>
                              <w:r>
                                <w:rPr>
                                  <w:rFonts w:ascii="Times New Roman" w:hAnsi="Times New Roman" w:cs="Times New Roman"/>
                                  <w:color w:val="000000"/>
                                  <w:sz w:val="19"/>
                                  <w:szCs w:val="19"/>
                                </w:rPr>
                                <w:t xml:space="preserve">6. Raqobat</w:t>
                              </w:r>
                            </w:p>
                            <w:p>
                              <w:pPr>
                                <w:spacing w:before="0" w:after="0" w:line="228" w:lineRule="auto"/>
                                <w:jc w:val="left"/>
                                <w:ind w:firstLine="0"/>
                              </w:pPr>
                              <w:r>
                                <w:rPr>
                                  <w:rFonts w:ascii="Times New Roman" w:hAnsi="Times New Roman" w:cs="Times New Roman"/>
                                  <w:color w:val="000000"/>
                                  <w:sz w:val="19"/>
                                  <w:szCs w:val="19"/>
                                </w:rPr>
                                <w:t xml:space="preserve">7. Bank tizimining holati</w:t>
                              </w:r>
                            </w:p>
                            <w:p>
                              <w:pPr>
                                <w:spacing w:before="0" w:after="0" w:line="228" w:lineRule="auto"/>
                                <w:jc w:val="left"/>
                                <w:ind w:firstLine="0"/>
                              </w:pPr>
                              <w:r>
                                <w:rPr>
                                  <w:rFonts w:ascii="Times New Roman" w:hAnsi="Times New Roman" w:cs="Times New Roman"/>
                                  <w:color w:val="000000"/>
                                  <w:sz w:val="19"/>
                                  <w:szCs w:val="19"/>
                                </w:rPr>
                                <w:t xml:space="preserve">8. Qonunchilik</w:t>
                              </w:r>
                            </w:p>
                            <w:p>
                              <w:pPr>
                                <w:spacing w:before="0" w:after="0" w:line="228" w:lineRule="auto"/>
                                <w:jc w:val="left"/>
                                <w:ind w:firstLine="0"/>
                              </w:pPr>
                              <w:r>
                                <w:rPr>
                                  <w:rFonts w:ascii="Times New Roman" w:hAnsi="Times New Roman" w:cs="Times New Roman"/>
                                  <w:color w:val="000000"/>
                                  <w:sz w:val="19"/>
                                  <w:szCs w:val="19"/>
                                </w:rPr>
                                <w:t xml:space="preserve">9. Infratuzilma</w:t>
                              </w:r>
                            </w:p>
                            <w:p>
                              <w:pPr>
                                <w:spacing w:before="0" w:after="0" w:line="228" w:lineRule="auto"/>
                                <w:jc w:val="left"/>
                                <w:ind w:firstLine="0"/>
                              </w:pPr>
                              <w:r>
                                <w:rPr>
                                  <w:rFonts w:ascii="Times New Roman" w:hAnsi="Times New Roman" w:cs="Times New Roman"/>
                                  <w:color w:val="000000"/>
                                  <w:sz w:val="19"/>
                                  <w:szCs w:val="19"/>
                                </w:rPr>
                                <w:t xml:space="preserve">10. Ishonch (fundamental omil)</w:t>
                              </w:r>
                            </w:p>
                          </w:txbxContent>
                        </wps:txbx>
                        <wps:bodyPr rot="0" vert="horz" wrap="square" lIns="36000" tIns="18000" rIns="36000" bIns="18000" anchor="ctr" anchorCtr="0">
                          <a:noAutofit/>
                        </wps:bodyPr>
                      </wps:wsp>
                      <wps:wsp>
                        <wps:cNvPr id="47" name="Connector 47"/>
                        <wps:cNvCnPr/>
                        <wps:spPr>
                          <a:xfrm>
                            <a:off x="2952000" y="360000"/>
                            <a:ext cx="1476000" cy="198000"/>
                          </a:xfrm>
                          <a:prstGeom prst="straightConnector1">
                            <a:avLst/>
                          </a:prstGeom>
                          <a:ln w="15875">
                            <a:solidFill>
                              <a:srgbClr val="404040"/>
                            </a:solidFill>
                            <a:tailEnd type="triangle" w="med" len="med"/>
                          </a:ln>
                        </wps:spPr>
                        <wps:bodyPr/>
                      </wps:wsp>
                      <wps:wsp>
                        <wps:cNvPr id="48"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Ichki omillar (9)</w:t>
                              </w:r>
                            </w:p>
                          </w:txbxContent>
                        </wps:txbx>
                        <wps:bodyPr rot="0" vert="horz" wrap="square" lIns="36000" tIns="18000" rIns="36000" bIns="18000" anchor="ctr" anchorCtr="0">
                          <a:noAutofit/>
                        </wps:bodyPr>
                      </wps:wsp>
                      <wps:wsp>
                        <wps:cNvPr id="49"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Strategiya va prognozlash</w:t>
                              </w:r>
                            </w:p>
                            <w:p>
                              <w:pPr>
                                <w:spacing w:before="0" w:after="0" w:line="228" w:lineRule="auto"/>
                                <w:jc w:val="left"/>
                                <w:ind w:firstLine="0"/>
                              </w:pPr>
                              <w:r>
                                <w:rPr>
                                  <w:rFonts w:ascii="Times New Roman" w:hAnsi="Times New Roman" w:cs="Times New Roman"/>
                                  <w:color w:val="000000"/>
                                  <w:sz w:val="19"/>
                                  <w:szCs w:val="19"/>
                                </w:rPr>
                                <w:t xml:space="preserve">2. Miqdor va sifat ko‘rsatkichlari o‘sishi</w:t>
                              </w:r>
                            </w:p>
                            <w:p>
                              <w:pPr>
                                <w:spacing w:before="0" w:after="0" w:line="228" w:lineRule="auto"/>
                                <w:jc w:val="left"/>
                                <w:ind w:firstLine="0"/>
                              </w:pPr>
                              <w:r>
                                <w:rPr>
                                  <w:rFonts w:ascii="Times New Roman" w:hAnsi="Times New Roman" w:cs="Times New Roman"/>
                                  <w:color w:val="000000"/>
                                  <w:sz w:val="19"/>
                                  <w:szCs w:val="19"/>
                                </w:rPr>
                                <w:t xml:space="preserve">3. Resurslarni jalb qilish va likvidlik</w:t>
                              </w:r>
                            </w:p>
                            <w:p>
                              <w:pPr>
                                <w:spacing w:before="0" w:after="0" w:line="228" w:lineRule="auto"/>
                                <w:jc w:val="left"/>
                                <w:ind w:firstLine="0"/>
                              </w:pPr>
                              <w:r>
                                <w:rPr>
                                  <w:rFonts w:ascii="Times New Roman" w:hAnsi="Times New Roman" w:cs="Times New Roman"/>
                                  <w:color w:val="000000"/>
                                  <w:sz w:val="19"/>
                                  <w:szCs w:val="19"/>
                                </w:rPr>
                                <w:t xml:space="preserve">4. Risklarga qarshi tura olish</w:t>
                              </w:r>
                            </w:p>
                            <w:p>
                              <w:pPr>
                                <w:spacing w:before="0" w:after="0" w:line="228" w:lineRule="auto"/>
                                <w:jc w:val="left"/>
                                <w:ind w:firstLine="0"/>
                              </w:pPr>
                              <w:r>
                                <w:rPr>
                                  <w:rFonts w:ascii="Times New Roman" w:hAnsi="Times New Roman" w:cs="Times New Roman"/>
                                  <w:color w:val="000000"/>
                                  <w:sz w:val="19"/>
                                  <w:szCs w:val="19"/>
                                </w:rPr>
                                <w:t xml:space="preserve">5. Xarajatlarni tejash</w:t>
                              </w:r>
                            </w:p>
                            <w:p>
                              <w:pPr>
                                <w:spacing w:before="0" w:after="0" w:line="228" w:lineRule="auto"/>
                                <w:jc w:val="left"/>
                                <w:ind w:firstLine="0"/>
                              </w:pPr>
                              <w:r>
                                <w:rPr>
                                  <w:rFonts w:ascii="Times New Roman" w:hAnsi="Times New Roman" w:cs="Times New Roman"/>
                                  <w:color w:val="000000"/>
                                  <w:sz w:val="19"/>
                                  <w:szCs w:val="19"/>
                                </w:rPr>
                                <w:t xml:space="preserve">6. Ichki infratuzilma va kadrlar</w:t>
                              </w:r>
                            </w:p>
                            <w:p>
                              <w:pPr>
                                <w:spacing w:before="0" w:after="0" w:line="228" w:lineRule="auto"/>
                                <w:jc w:val="left"/>
                                <w:ind w:firstLine="0"/>
                              </w:pPr>
                              <w:r>
                                <w:rPr>
                                  <w:rFonts w:ascii="Times New Roman" w:hAnsi="Times New Roman" w:cs="Times New Roman"/>
                                  <w:color w:val="000000"/>
                                  <w:sz w:val="19"/>
                                  <w:szCs w:val="19"/>
                                </w:rPr>
                                <w:t xml:space="preserve">7. Marketing va boshqaruv</w:t>
                              </w:r>
                            </w:p>
                            <w:p>
                              <w:pPr>
                                <w:spacing w:before="0" w:after="0" w:line="228" w:lineRule="auto"/>
                                <w:jc w:val="left"/>
                                <w:ind w:firstLine="0"/>
                              </w:pPr>
                              <w:r>
                                <w:rPr>
                                  <w:rFonts w:ascii="Times New Roman" w:hAnsi="Times New Roman" w:cs="Times New Roman"/>
                                  <w:color w:val="000000"/>
                                  <w:sz w:val="19"/>
                                  <w:szCs w:val="19"/>
                                </w:rPr>
                                <w:t xml:space="preserve">8. Texnologiyalar</w:t>
                              </w:r>
                            </w:p>
                            <w:p>
                              <w:pPr>
                                <w:spacing w:before="0" w:after="0" w:line="228" w:lineRule="auto"/>
                                <w:jc w:val="left"/>
                                <w:ind w:firstLine="0"/>
                              </w:pPr>
                              <w:r>
                                <w:rPr>
                                  <w:rFonts w:ascii="Times New Roman" w:hAnsi="Times New Roman" w:cs="Times New Roman"/>
                                  <w:color w:val="000000"/>
                                  <w:sz w:val="19"/>
                                  <w:szCs w:val="19"/>
                                </w:rPr>
                                <w:t xml:space="preserve">9. Ish tashkiloti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1.1.4-rasm. Tijorat banklari moliyaviy barqarorligiga ta’sir etuvchi omillar</w:t>
      </w:r>
      <w:r>
        <w:rPr>
          <w:rStyle w:val="FootnoteReference"/>
        </w:rPr>
        <w:footnoteReference w:id="39"/>
      </w:r>
    </w:p>
    <w:p>
      <w:pPr>
        <w:pStyle w:val="BodyText"/>
        <w:spacing w:line="360" w:lineRule="auto" w:before="0" w:after="0"/>
        <w:ind w:firstLine="709"/>
        <w:jc w:val="both"/>
      </w:pPr>
      <w:r>
        <w:rPr>
          <w:rFonts w:ascii="Times New Roman" w:hAnsi="Times New Roman" w:cs="Times New Roman" w:eastAsia="Times New Roman"/>
          <w:sz w:val="28"/>
        </w:rPr>
        <w:t xml:space="preserve">Tashqi omillar orasida mualliflar ishonchni «fundamental omil» deb alohida ajratadi</w:t>
      </w:r>
      <w:r>
        <w:rPr>
          <w:rStyle w:val="FootnoteReference"/>
        </w:rPr>
        <w:footnoteReference w:id="40"/>
      </w:r>
      <w:r>
        <w:rPr>
          <w:rFonts w:ascii="Times New Roman" w:hAnsi="Times New Roman" w:cs="Times New Roman" w:eastAsia="Times New Roman"/>
          <w:sz w:val="28"/>
        </w:rPr>
        <w:t xml:space="preserve">.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5" name="1.1.5-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1.1.5-rasm. AQSh banklarida moliyaviy barqarorlik pasayishining sabablari, muammoli banklar sonidagi ulushi, %</w:t>
      </w:r>
      <w:r>
        <w:rPr>
          <w:rStyle w:val="FootnoteReference"/>
        </w:rPr>
        <w:footnoteReference w:id="41"/>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FootnoteReference"/>
        </w:rPr>
        <w:footnoteReference w:id="42"/>
      </w:r>
      <w:r>
        <w:rPr>
          <w:rFonts w:ascii="Times New Roman" w:hAnsi="Times New Roman" w:cs="Times New Roman" w:eastAsia="Times New Roman"/>
          <w:sz w:val="28"/>
        </w:rPr>
        <w:t xml:space="preserve">.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FootnoteReference"/>
        </w:rPr>
        <w:footnoteReference w:id="43"/>
      </w:r>
      <w:r>
        <w:rPr>
          <w:rFonts w:ascii="Times New Roman" w:hAnsi="Times New Roman" w:cs="Times New Roman" w:eastAsia="Times New Roman"/>
          <w:sz w:val="28"/>
        </w:rPr>
        <w:t xml:space="preserve">. Bu signallar keyinchalik erta ogohlantirish tizimini ishlab chiqishda asos bo‘lib xizmat qiladi.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ularga qarshi vosita sifatida prudensial nazorat va tartibga solishni, uning maqsadi sifatida esa moliyaviy va iqtisodiy barqarorlikni ko‘rsatadi</w:t>
      </w:r>
      <w:r>
        <w:rPr>
          <w:rStyle w:val="FootnoteReference"/>
        </w:rPr>
        <w:footnoteReference w:id="44"/>
      </w:r>
      <w:r>
        <w:rPr>
          <w:rFonts w:ascii="Times New Roman" w:hAnsi="Times New Roman" w:cs="Times New Roman" w:eastAsia="Times New Roman"/>
          <w:sz w:val="28"/>
        </w:rPr>
        <w:t xml:space="preserve">. D.K. Tarullo ham bank faoliyatini tartibga solishning uchta nazariy asosini keltiradi: bank aktivlarini tashqaridan baholashning qiyinligi, depozitlarni sug‘urtalash va oxirgi instansiya kreditori mavjudligi tug‘diradigan moral xavf hamda tizimli risk</w:t>
      </w:r>
      <w:r>
        <w:rPr>
          <w:rStyle w:val="FootnoteReference"/>
        </w:rPr>
        <w:footnoteReference w:id="45"/>
      </w:r>
      <w:r>
        <w:rPr>
          <w:rFonts w:ascii="Times New Roman" w:hAnsi="Times New Roman" w:cs="Times New Roman" w:eastAsia="Times New Roman"/>
          <w:sz w:val="28"/>
        </w:rPr>
        <w:t xml:space="preserve">. Ana shu nazariy asosda moliyaviy barqarorlikni tushuntiruvchi bir nechta konseptual modellar shakllangan.</w:t>
      </w:r>
    </w:p>
    <w:p>
      <w:pPr>
        <w:pStyle w:val="BodyText"/>
        <w:spacing w:line="360" w:lineRule="auto" w:before="0" w:after="0"/>
        <w:ind w:firstLine="709"/>
        <w:jc w:val="both"/>
      </w:pPr>
      <w:r>
        <w:rPr>
          <w:rFonts w:ascii="Times New Roman" w:hAnsi="Times New Roman" w:cs="Times New Roman" w:eastAsia="Times New Roman"/>
          <w:sz w:val="28"/>
        </w:rP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FootnoteReference"/>
        </w:rPr>
        <w:footnoteReference w:id="46"/>
      </w:r>
      <w:r>
        <w:rPr>
          <w:rFonts w:ascii="Times New Roman" w:hAnsi="Times New Roman" w:cs="Times New Roman" w:eastAsia="Times New Roman"/>
          <w:sz w:val="28"/>
        </w:rPr>
        <w:t xml:space="preserve">. Keyinchalik D. Diamond va R. Rajan bu modelni rivojlantirib, kapitalning bunday shoklarga qarshi bufer vazifasini bajarishini, shu bilan birga uning narxi ham borligini, ya’ni ortiqcha kapital talabi kreditlashning qisqarishiga olib kelishini ko‘rsatgan</w:t>
      </w:r>
      <w:r>
        <w:rPr>
          <w:rStyle w:val="FootnoteReference"/>
        </w:rPr>
        <w:footnoteReference w:id="47"/>
      </w:r>
      <w:r>
        <w:rPr>
          <w:rFonts w:ascii="Times New Roman" w:hAnsi="Times New Roman" w:cs="Times New Roman" w:eastAsia="Times New Roman"/>
          <w:sz w:val="28"/>
        </w:rPr>
        <w:t xml:space="preserve">. Ushbu model likvidlik va fondlash barqarorligini moliyaviy barqarorlikning alohida tarkibiy qismi sifatida baholash zarurligini nazariy jihatdan asoslaydi.</w:t>
      </w:r>
    </w:p>
    <w:p>
      <w:pPr>
        <w:pStyle w:val="BodyText"/>
        <w:spacing w:line="360" w:lineRule="auto" w:before="0" w:after="0"/>
        <w:ind w:firstLine="709"/>
        <w:jc w:val="both"/>
      </w:pPr>
      <w:r>
        <w:rPr>
          <w:rFonts w:ascii="Times New Roman" w:hAnsi="Times New Roman" w:cs="Times New Roman" w:eastAsia="Times New Roman"/>
          <w:sz w:val="28"/>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moliyalashtirishiga siljiydi</w:t>
      </w:r>
      <w:r>
        <w:rPr>
          <w:rStyle w:val="FootnoteReference"/>
        </w:rPr>
        <w:footnoteReference w:id="48"/>
      </w:r>
      <w:r>
        <w:rPr>
          <w:rFonts w:ascii="Times New Roman" w:hAnsi="Times New Roman" w:cs="Times New Roman" w:eastAsia="Times New Roman"/>
          <w:sz w:val="28"/>
        </w:rPr>
        <w:t xml:space="preserve">. J.M. Hendrickson ham bank inqirozining to‘rt elementi sifatida tashqi shok va optimizmni, Minskiy ta’riflagan kredit kengayishini, ishonchning yo‘qolishini va banklarning ommaviy inqiroziga o‘tishni ko‘rsatadi</w:t>
      </w:r>
      <w:r>
        <w:rPr>
          <w:rStyle w:val="FootnoteReference"/>
        </w:rPr>
        <w:footnoteReference w:id="49"/>
      </w:r>
      <w:r>
        <w:rPr>
          <w:rFonts w:ascii="Times New Roman" w:hAnsi="Times New Roman" w:cs="Times New Roman" w:eastAsia="Times New Roman"/>
          <w:sz w:val="28"/>
        </w:rPr>
        <w:t xml:space="preserve">. A.V. Thakor esa bu jarayonni yanada aniqroq ifodalaydi: uzoq muvaffaqiyat bankirlar mahoratiga bo‘lgan ishonchni oshiradi, shok kelganda esa moliyalashtirish to‘xtaydi va «likvidlik inqiroziga o‘xshagan, aslida to‘lov qobiliyati inqirozi» yuzaga keladi</w:t>
      </w:r>
      <w:r>
        <w:rPr>
          <w:rStyle w:val="FootnoteReference"/>
        </w:rPr>
        <w:footnoteReference w:id="50"/>
      </w:r>
      <w:r>
        <w:rPr>
          <w:rFonts w:ascii="Times New Roman" w:hAnsi="Times New Roman" w:cs="Times New Roman" w:eastAsia="Times New Roman"/>
          <w:sz w:val="28"/>
        </w:rPr>
        <w:t xml:space="preserve">. Minskiy modelining baholash metodikasi uchun ahamiyati shundaki, u moliyaviy barqarorlikni bir sanadagi ko‘rsatkichlar bilan emas, balki kredit o‘sishi va qarz yukining dinamikasi orqali kuzatish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FootnoteReference"/>
        </w:rPr>
        <w:footnoteReference w:id="51"/>
      </w:r>
      <w:r>
        <w:rPr>
          <w:rFonts w:ascii="Times New Roman" w:hAnsi="Times New Roman" w:cs="Times New Roman" w:eastAsia="Times New Roman"/>
          <w:sz w:val="28"/>
        </w:rPr>
        <w:t xml:space="preserve">.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FootnoteReference"/>
        </w:rPr>
        <w:footnoteReference w:id="52"/>
      </w:r>
      <w:r>
        <w:rPr>
          <w:rFonts w:ascii="Times New Roman" w:hAnsi="Times New Roman" w:cs="Times New Roman" w:eastAsia="Times New Roman"/>
          <w:sz w:val="28"/>
        </w:rPr>
        <w:t xml:space="preserve">. Biroq bu model aksiyalari birjada faol savdo qilinadigan banklar uchungina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To‘rtinchi model ana shu mantiqdan kelib chiqadi. Aksiyalari bozorda savdo qilinmaydigan banklar uchun shu g‘oyaning buxgalteriya hisobi ma’lumotlariga asoslangan varianti – Z-score ko‘rsatkichi qo‘llanadi. Uning nazariy asosi A.D. Roy tomonidan qo‘yilgan bo‘lib</w:t>
      </w:r>
      <w:r>
        <w:rPr>
          <w:rStyle w:val="FootnoteReference"/>
        </w:rPr>
        <w:footnoteReference w:id="53"/>
      </w:r>
      <w:r>
        <w:rPr>
          <w:rFonts w:ascii="Times New Roman" w:hAnsi="Times New Roman" w:cs="Times New Roman" w:eastAsia="Times New Roman"/>
          <w:sz w:val="28"/>
        </w:rPr>
        <w:t xml:space="preserve">, bank faoliyatiga J.H. Boyd va S.L. Graham tomonidan tatbiq etilgan</w:t>
      </w:r>
      <w:r>
        <w:rPr>
          <w:rStyle w:val="FootnoteReference"/>
        </w:rPr>
        <w:footnoteReference w:id="54"/>
      </w:r>
      <w:r>
        <w:rPr>
          <w:rFonts w:ascii="Times New Roman" w:hAnsi="Times New Roman" w:cs="Times New Roman" w:eastAsia="Times New Roman"/>
          <w:sz w:val="28"/>
        </w:rP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6" name="1.1.6-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1.1.6-rasm. Z-score ko‘rsatkichiga asoslangan modelning Yevropa banklari muammolarini bashorat qilish aniqligi, %</w:t>
      </w:r>
      <w:r>
        <w:rPr>
          <w:rStyle w:val="FootnoteReference"/>
        </w:rPr>
        <w:footnoteReference w:id="55"/>
      </w:r>
    </w:p>
    <w:p>
      <w:pPr>
        <w:pStyle w:val="BodyText"/>
        <w:spacing w:line="360" w:lineRule="auto" w:before="0" w:after="0"/>
        <w:ind w:firstLine="709"/>
        <w:jc w:val="both"/>
      </w:pPr>
      <w:r>
        <w:rPr>
          <w:rFonts w:ascii="Times New Roman" w:hAnsi="Times New Roman" w:cs="Times New Roman" w:eastAsia="Times New Roman"/>
          <w:sz w:val="28"/>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w:t>
      </w:r>
      <w:r>
        <w:rPr>
          <w:rStyle w:val="FootnoteReference"/>
        </w:rPr>
        <w:footnoteReference w:id="56"/>
      </w:r>
      <w:r>
        <w:rPr>
          <w:rFonts w:ascii="Times New Roman" w:hAnsi="Times New Roman" w:cs="Times New Roman" w:eastAsia="Times New Roman"/>
          <w:sz w:val="28"/>
        </w:rPr>
        <w:t xml:space="preserve">. Bu xulosa aksiyalar bozori rivojlanmagan O‘zbekiston sharoitida buxgalteriya ma’lumotlariga asoslangan integral baholash usullarining afzalligini asoslaydi.</w:t>
      </w:r>
    </w:p>
    <w:p>
      <w:pPr>
        <w:pStyle w:val="BodyText"/>
        <w:spacing w:line="360" w:lineRule="auto" w:before="0" w:after="0"/>
        <w:ind w:firstLine="709"/>
        <w:jc w:val="both"/>
      </w:pPr>
      <w:r>
        <w:rPr>
          <w:rFonts w:ascii="Times New Roman" w:hAnsi="Times New Roman" w:cs="Times New Roman" w:eastAsia="Times New Roman"/>
          <w:sz w:val="28"/>
        </w:rPr>
        <w:t xml:space="preserve">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FootnoteReference"/>
        </w:rPr>
        <w:footnoteReference w:id="57"/>
      </w:r>
      <w:r>
        <w:rPr>
          <w:rFonts w:ascii="Times New Roman" w:hAnsi="Times New Roman" w:cs="Times New Roman" w:eastAsia="Times New Roman"/>
          <w:sz w:val="28"/>
        </w:rPr>
        <w:t xml:space="preserve">. Keyinchalik bu yondashuv asosida T. Adrian va M. Brunnermeier taklif etgan CoVaR kabi bozor ma’lumotlariga asoslangan tizimli risk ko‘rsatkichlari ishlab chiqildi</w:t>
      </w:r>
      <w:r>
        <w:rPr>
          <w:rStyle w:val="FootnoteReference"/>
        </w:rPr>
        <w:footnoteReference w:id="58"/>
      </w:r>
      <w:r>
        <w:rPr>
          <w:rFonts w:ascii="Times New Roman" w:hAnsi="Times New Roman" w:cs="Times New Roman" w:eastAsia="Times New Roman"/>
          <w:sz w:val="28"/>
        </w:rPr>
        <w:t xml:space="preserve">.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FootnoteReference"/>
        </w:rPr>
        <w:footnoteReference w:id="59"/>
      </w:r>
      <w:r>
        <w:rPr>
          <w:rFonts w:ascii="Times New Roman" w:hAnsi="Times New Roman" w:cs="Times New Roman" w:eastAsia="Times New Roman"/>
          <w:sz w:val="28"/>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pPr>
        <w:pStyle w:val="BodyText"/>
        <w:spacing w:line="360" w:lineRule="auto" w:before="0" w:after="0"/>
        <w:ind w:firstLine="709"/>
        <w:jc w:val="both"/>
      </w:pPr>
      <w:r>
        <w:rPr>
          <w:rFonts w:ascii="Times New Roman" w:hAnsi="Times New Roman" w:cs="Times New Roman" w:eastAsia="Times New Roman"/>
          <w:sz w:val="28"/>
        </w:rPr>
        <w:t xml:space="preserve">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FootnoteReference"/>
        </w:rPr>
        <w:footnoteReference w:id="60"/>
      </w:r>
      <w:r>
        <w:rPr>
          <w:rFonts w:ascii="Times New Roman" w:hAnsi="Times New Roman" w:cs="Times New Roman" w:eastAsia="Times New Roman"/>
          <w:sz w:val="28"/>
        </w:rPr>
        <w:t xml:space="preserve">.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tushuntiruvchi konseptual modellarning qiyosiy tavsifi</w:t>
      </w:r>
      <w:r>
        <w:rPr>
          <w:rStyle w:val="FootnoteReference"/>
        </w:rPr>
        <w:footnoteReference w:id="61"/>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Model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g‘oyasi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ko‘rsatkichi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 yaratish va ommaviy mablag‘ talab qilish modeli (Diamond–Dybvig, Diamond–Rajan)</w:t>
            </w:r>
          </w:p>
        </w:tc>
        <w:tc>
          <w:tcPr/>
          <w:p>
            <w:pPr>
              <w:pStyle w:val="Compact"/>
              <w:spacing w:line="240" w:lineRule="auto"/>
              <w:ind w:firstLine="0"/>
              <w:jc w:val="left"/>
            </w:pPr>
            <w:r>
              <w:rPr>
                <w:rFonts w:ascii="Times New Roman" w:hAnsi="Times New Roman" w:cs="Times New Roman" w:eastAsia="Times New Roman"/>
                <w:sz w:val="22"/>
              </w:rPr>
              <w:t xml:space="preserve">Muddatlar transformatsiyasi bankni ishonch yo‘qolishiga zaif qiladi</w:t>
            </w:r>
          </w:p>
        </w:tc>
        <w:tc>
          <w:tcPr/>
          <w:p>
            <w:pPr>
              <w:pStyle w:val="Compact"/>
              <w:spacing w:line="240" w:lineRule="auto"/>
              <w:ind w:firstLine="0"/>
              <w:jc w:val="left"/>
            </w:pPr>
            <w:r>
              <w:rPr>
                <w:rFonts w:ascii="Times New Roman" w:hAnsi="Times New Roman" w:cs="Times New Roman" w:eastAsia="Times New Roman"/>
                <w:sz w:val="22"/>
              </w:rPr>
              <w:t xml:space="preserve">Likvid aktivlar, barqaror moliyalashtirish</w:t>
            </w:r>
          </w:p>
        </w:tc>
        <w:tc>
          <w:tcPr/>
          <w:p>
            <w:pPr>
              <w:pStyle w:val="Compact"/>
              <w:spacing w:line="240" w:lineRule="auto"/>
              <w:ind w:firstLine="0"/>
              <w:jc w:val="left"/>
            </w:pPr>
            <w:r>
              <w:rPr>
                <w:rFonts w:ascii="Times New Roman" w:hAnsi="Times New Roman" w:cs="Times New Roman" w:eastAsia="Times New Roman"/>
                <w:sz w:val="22"/>
              </w:rPr>
              <w:t xml:space="preserve">Likvidlik va fondlash alohida blok sifatida baholanadi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Moliyaviy beqarorlik gipotezasi (Minskiy)</w:t>
            </w:r>
          </w:p>
        </w:tc>
        <w:tc>
          <w:tcPr/>
          <w:p>
            <w:pPr>
              <w:pStyle w:val="Compact"/>
              <w:spacing w:line="240" w:lineRule="auto"/>
              <w:ind w:firstLine="0"/>
              <w:jc w:val="left"/>
            </w:pPr>
            <w:r>
              <w:rPr>
                <w:rFonts w:ascii="Times New Roman" w:hAnsi="Times New Roman" w:cs="Times New Roman" w:eastAsia="Times New Roman"/>
                <w:sz w:val="22"/>
              </w:rPr>
              <w:t xml:space="preserve">Uzoq barqarorlik riskka moyillikni oshiradi</w:t>
            </w:r>
          </w:p>
        </w:tc>
        <w:tc>
          <w:tcPr/>
          <w:p>
            <w:pPr>
              <w:pStyle w:val="Compact"/>
              <w:spacing w:line="240" w:lineRule="auto"/>
              <w:ind w:firstLine="0"/>
              <w:jc w:val="left"/>
            </w:pPr>
            <w:r>
              <w:rPr>
                <w:rFonts w:ascii="Times New Roman" w:hAnsi="Times New Roman" w:cs="Times New Roman" w:eastAsia="Times New Roman"/>
                <w:sz w:val="22"/>
              </w:rPr>
              <w:t xml:space="preserve">Kredit o‘sishi, qarz yuki</w:t>
            </w:r>
          </w:p>
        </w:tc>
        <w:tc>
          <w:tcPr/>
          <w:p>
            <w:pPr>
              <w:pStyle w:val="Compact"/>
              <w:spacing w:line="240" w:lineRule="auto"/>
              <w:ind w:firstLine="0"/>
              <w:jc w:val="left"/>
            </w:pPr>
            <w:r>
              <w:rPr>
                <w:rFonts w:ascii="Times New Roman" w:hAnsi="Times New Roman" w:cs="Times New Roman" w:eastAsia="Times New Roman"/>
                <w:sz w:val="22"/>
              </w:rPr>
              <w:t xml:space="preserve">Ko‘rsatkichlarning dinamikasi va kredit o‘sishi kuzatiladi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Kapital-bufer va tarkibiy model (Tarullo, Merton)</w:t>
            </w:r>
          </w:p>
        </w:tc>
        <w:tc>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w:t>
            </w:r>
          </w:p>
        </w:tc>
        <w:tc>
          <w:tcPr/>
          <w:p>
            <w:pPr>
              <w:pStyle w:val="Compact"/>
              <w:spacing w:line="240" w:lineRule="auto"/>
              <w:ind w:firstLine="0"/>
              <w:jc w:val="left"/>
            </w:pPr>
            <w:r>
              <w:rPr>
                <w:rFonts w:ascii="Times New Roman" w:hAnsi="Times New Roman" w:cs="Times New Roman" w:eastAsia="Times New Roman"/>
                <w:sz w:val="22"/>
              </w:rPr>
              <w:t xml:space="preserve">Kapital yetarliligi, defoltgacha masofa</w:t>
            </w:r>
          </w:p>
        </w:tc>
        <w:tc>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Z-score modeli (Roy, Boyd–Graham)</w:t>
            </w:r>
          </w:p>
        </w:tc>
        <w:tc>
          <w:tcPr/>
          <w:p>
            <w:pPr>
              <w:pStyle w:val="Compact"/>
              <w:spacing w:line="240" w:lineRule="auto"/>
              <w:ind w:firstLine="0"/>
              <w:jc w:val="left"/>
            </w:pPr>
            <w:r>
              <w:rPr>
                <w:rFonts w:ascii="Times New Roman" w:hAnsi="Times New Roman" w:cs="Times New Roman" w:eastAsia="Times New Roman"/>
                <w:sz w:val="22"/>
              </w:rPr>
              <w:t xml:space="preserve">To‘lovga qobiliyatsizlikkacha bo‘lgan masofa</w:t>
            </w:r>
          </w:p>
        </w:tc>
        <w:tc>
          <w:tcPr/>
          <w:p>
            <w:pPr>
              <w:pStyle w:val="Compact"/>
              <w:spacing w:line="240" w:lineRule="auto"/>
              <w:ind w:firstLine="0"/>
              <w:jc w:val="left"/>
            </w:pPr>
            <w:r>
              <w:rPr>
                <w:rFonts w:ascii="Times New Roman" w:hAnsi="Times New Roman" w:cs="Times New Roman" w:eastAsia="Times New Roman"/>
                <w:sz w:val="22"/>
              </w:rPr>
              <w:t xml:space="preserve">Kapital/aktivlar, ROA va uning o‘zgaruvchanligi</w:t>
            </w:r>
          </w:p>
        </w:tc>
        <w:tc>
          <w:tcPr/>
          <w:p>
            <w:pPr>
              <w:pStyle w:val="Compact"/>
              <w:spacing w:line="240" w:lineRule="auto"/>
              <w:ind w:firstLine="0"/>
              <w:jc w:val="left"/>
            </w:pPr>
            <w:r>
              <w:rPr>
                <w:rFonts w:ascii="Times New Roman" w:hAnsi="Times New Roman" w:cs="Times New Roman" w:eastAsia="Times New Roman"/>
                <w:sz w:val="22"/>
              </w:rPr>
              <w:t xml:space="preserve">Buxgalteriya ma’lumotlari asosida integral baho va bashorat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Makroprudensial modellar (Borio, Adrian–Brunnermeier)</w:t>
            </w:r>
          </w:p>
        </w:tc>
        <w:tc>
          <w:tcPr/>
          <w:p>
            <w:pPr>
              <w:pStyle w:val="Compact"/>
              <w:spacing w:line="240" w:lineRule="auto"/>
              <w:ind w:firstLine="0"/>
              <w:jc w:val="left"/>
            </w:pPr>
            <w:r>
              <w:rPr>
                <w:rFonts w:ascii="Times New Roman" w:hAnsi="Times New Roman" w:cs="Times New Roman" w:eastAsia="Times New Roman"/>
                <w:sz w:val="22"/>
              </w:rPr>
              <w:t xml:space="preserve">Tizimli risk vaqt va kesim o‘lchovida to‘planadi</w:t>
            </w:r>
          </w:p>
        </w:tc>
        <w:tc>
          <w:tcPr/>
          <w:p>
            <w:pPr>
              <w:pStyle w:val="Compact"/>
              <w:spacing w:line="240" w:lineRule="auto"/>
              <w:ind w:firstLine="0"/>
              <w:jc w:val="left"/>
            </w:pPr>
            <w:r>
              <w:rPr>
                <w:rFonts w:ascii="Times New Roman" w:hAnsi="Times New Roman" w:cs="Times New Roman" w:eastAsia="Times New Roman"/>
                <w:sz w:val="22"/>
              </w:rPr>
              <w:t xml:space="preserve">Kredit gepi, CoVaR, o‘zaro bog‘liqlik</w:t>
            </w:r>
          </w:p>
        </w:tc>
        <w:tc>
          <w:tcPr/>
          <w:p>
            <w:pPr>
              <w:pStyle w:val="Compact"/>
              <w:spacing w:line="240" w:lineRule="auto"/>
              <w:ind w:firstLine="0"/>
              <w:jc w:val="left"/>
            </w:pPr>
            <w:r>
              <w:rPr>
                <w:rFonts w:ascii="Times New Roman" w:hAnsi="Times New Roman" w:cs="Times New Roman" w:eastAsia="Times New Roman"/>
                <w:sz w:val="22"/>
              </w:rPr>
              <w:t xml:space="preserve">Mikro va makro baholash uyg‘unlashtiriladi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Kelajakka yo‘naltirilgan risk modeli (Bazel III, MHXS 9)</w:t>
            </w:r>
          </w:p>
        </w:tc>
        <w:tc>
          <w:tcPr/>
          <w:p>
            <w:pPr>
              <w:pStyle w:val="Compact"/>
              <w:spacing w:line="240" w:lineRule="auto"/>
              <w:ind w:firstLine="0"/>
              <w:jc w:val="left"/>
            </w:pPr>
            <w:r>
              <w:rPr>
                <w:rFonts w:ascii="Times New Roman" w:hAnsi="Times New Roman" w:cs="Times New Roman" w:eastAsia="Times New Roman"/>
                <w:sz w:val="22"/>
              </w:rPr>
              <w:t xml:space="preserve">Zararlar yuz berishidan oldin baholanadi va qoplanadi</w:t>
            </w:r>
          </w:p>
        </w:tc>
        <w:tc>
          <w:tcPr/>
          <w:p>
            <w:pPr>
              <w:pStyle w:val="Compact"/>
              <w:spacing w:line="240" w:lineRule="auto"/>
              <w:ind w:firstLine="0"/>
              <w:jc w:val="left"/>
            </w:pPr>
            <w:r>
              <w:rPr>
                <w:rFonts w:ascii="Times New Roman" w:hAnsi="Times New Roman" w:cs="Times New Roman" w:eastAsia="Times New Roman"/>
                <w:sz w:val="22"/>
              </w:rPr>
              <w:t xml:space="preserve">Kutilgan kredit zararlari, stress-test natijalari</w:t>
            </w:r>
          </w:p>
        </w:tc>
        <w:tc>
          <w:tcPr/>
          <w:p>
            <w:pPr>
              <w:pStyle w:val="Compact"/>
              <w:spacing w:line="240" w:lineRule="auto"/>
              <w:ind w:firstLine="0"/>
              <w:jc w:val="left"/>
            </w:pPr>
            <w:r>
              <w:rPr>
                <w:rFonts w:ascii="Times New Roman" w:hAnsi="Times New Roman" w:cs="Times New Roman" w:eastAsia="Times New Roman"/>
                <w:sz w:val="22"/>
              </w:rPr>
              <w:t xml:space="preserve">Baholashga prognoz va stress elementlari kiritiladi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pPr>
        <w:pStyle w:val="BodyText"/>
        <w:spacing w:line="360" w:lineRule="auto" w:before="0" w:after="0"/>
        <w:ind w:firstLine="709"/>
        <w:jc w:val="both"/>
      </w:pPr>
      <w:r>
        <w:rPr>
          <w:rFonts w:ascii="Times New Roman" w:hAnsi="Times New Roman" w:cs="Times New Roman" w:eastAsia="Times New Roman"/>
          <w:sz w:val="28"/>
        </w:rPr>
        <w:t xml:space="preserve">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808000"/>
                <wp:effectExtent l="0" t="0" r="0" b="0"/>
                <wp:docPr id="1007" name="1.1.7-rasm"/>
                <wp:cNvGraphicFramePr/>
                <a:graphic>
                  <a:graphicData uri="http://schemas.microsoft.com/office/word/2010/wordprocessingGroup">
                    <wpg:wgp>
                      <wpg:cNvGrpSpPr/>
                      <wpg:grpSpPr>
                        <a:xfrm>
                          <a:off x="0" y="0"/>
                          <a:ext cx="5904000" cy="2808000"/>
                          <a:chOff x="0" y="0"/>
                          <a:chExt cx="5904000" cy="2808000"/>
                        </a:xfrm>
                      </wpg:grpSpPr>
                      <wps:wsp>
                        <wps:cNvPr id="50"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Makroiqtisodiy muhit va tizimli risklar</w:t>
                              </w:r>
                            </w:p>
                          </w:txbxContent>
                        </wps:txbx>
                        <wps:bodyPr rot="0" vert="horz" wrap="square" lIns="36000" tIns="18000" rIns="36000" bIns="18000" anchor="ctr" anchorCtr="0">
                          <a:noAutofit/>
                        </wps:bodyPr>
                      </wps:wsp>
                      <wps:wsp>
                        <wps:cNvPr id="51"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w:t>
                              </w:r>
                            </w:p>
                          </w:txbxContent>
                        </wps:txbx>
                        <wps:bodyPr rot="0" vert="horz" wrap="square" lIns="36000" tIns="18000" rIns="36000" bIns="18000" anchor="ctr" anchorCtr="0">
                          <a:noAutofit/>
                        </wps:bodyPr>
                      </wps:wsp>
                      <wps:wsp>
                        <wps:cNvPr id="52" name="Connector 52"/>
                        <wps:cNvCnPr/>
                        <wps:spPr>
                          <a:xfrm>
                            <a:off x="585000" y="774000"/>
                            <a:ext cx="2367000" cy="162000"/>
                          </a:xfrm>
                          <a:prstGeom prst="straightConnector1">
                            <a:avLst/>
                          </a:prstGeom>
                          <a:ln w="12700">
                            <a:solidFill>
                              <a:srgbClr val="7F7F7F"/>
                            </a:solidFill>
                          </a:ln>
                        </wps:spPr>
                        <wps:bodyPr/>
                      </wps:wsp>
                      <wps:wsp>
                        <wps:cNvPr id="53"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w:t>
                              </w:r>
                            </w:p>
                            <w:p>
                              <w:pPr>
                                <w:spacing w:before="0" w:after="0" w:line="228" w:lineRule="auto"/>
                                <w:jc w:val="center"/>
                                <w:ind w:firstLine="0"/>
                              </w:pPr>
                              <w:r>
                                <w:rPr>
                                  <w:rFonts w:ascii="Times New Roman" w:hAnsi="Times New Roman" w:cs="Times New Roman"/>
                                  <w:b/>
                                  <w:color w:val="FFFFFF"/>
                                  <w:sz w:val="20"/>
                                  <w:szCs w:val="20"/>
                                </w:rPr>
                                <w:t xml:space="preserve">sifati</w:t>
                              </w:r>
                            </w:p>
                          </w:txbxContent>
                        </wps:txbx>
                        <wps:bodyPr rot="0" vert="horz" wrap="square" lIns="36000" tIns="18000" rIns="36000" bIns="18000" anchor="ctr" anchorCtr="0">
                          <a:noAutofit/>
                        </wps:bodyPr>
                      </wps:wsp>
                      <wps:wsp>
                        <wps:cNvPr id="54" name="Connector 54"/>
                        <wps:cNvCnPr/>
                        <wps:spPr>
                          <a:xfrm>
                            <a:off x="1769400" y="774000"/>
                            <a:ext cx="1182600" cy="162000"/>
                          </a:xfrm>
                          <a:prstGeom prst="straightConnector1">
                            <a:avLst/>
                          </a:prstGeom>
                          <a:ln w="12700">
                            <a:solidFill>
                              <a:srgbClr val="7F7F7F"/>
                            </a:solidFill>
                          </a:ln>
                        </wps:spPr>
                        <wps:bodyPr/>
                      </wps:wsp>
                      <wps:wsp>
                        <wps:cNvPr id="55"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Likvidlik</w:t>
                              </w:r>
                            </w:p>
                          </w:txbxContent>
                        </wps:txbx>
                        <wps:bodyPr rot="0" vert="horz" wrap="square" lIns="36000" tIns="18000" rIns="36000" bIns="18000" anchor="ctr" anchorCtr="0">
                          <a:noAutofit/>
                        </wps:bodyPr>
                      </wps:wsp>
                      <wps:wsp>
                        <wps:cNvPr id="56" name="Connector 56"/>
                        <wps:cNvCnPr/>
                        <wps:spPr>
                          <a:xfrm flipH="1">
                            <a:off x="2952000" y="774000"/>
                            <a:ext cx="1800" cy="162000"/>
                          </a:xfrm>
                          <a:prstGeom prst="straightConnector1">
                            <a:avLst/>
                          </a:prstGeom>
                          <a:ln w="12700">
                            <a:solidFill>
                              <a:srgbClr val="7F7F7F"/>
                            </a:solidFill>
                          </a:ln>
                        </wps:spPr>
                        <wps:bodyPr/>
                      </wps:wsp>
                      <wps:wsp>
                        <wps:cNvPr id="57"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Daromad-</w:t>
                              </w:r>
                            </w:p>
                            <w:p>
                              <w:pPr>
                                <w:spacing w:before="0" w:after="0" w:line="228" w:lineRule="auto"/>
                                <w:jc w:val="center"/>
                                <w:ind w:firstLine="0"/>
                              </w:pPr>
                              <w:r>
                                <w:rPr>
                                  <w:rFonts w:ascii="Times New Roman" w:hAnsi="Times New Roman" w:cs="Times New Roman"/>
                                  <w:b/>
                                  <w:color w:val="000000"/>
                                  <w:sz w:val="20"/>
                                  <w:szCs w:val="20"/>
                                </w:rPr>
                                <w:t xml:space="preserve">lilik</w:t>
                              </w:r>
                            </w:p>
                          </w:txbxContent>
                        </wps:txbx>
                        <wps:bodyPr rot="0" vert="horz" wrap="square" lIns="36000" tIns="18000" rIns="36000" bIns="18000" anchor="ctr" anchorCtr="0">
                          <a:noAutofit/>
                        </wps:bodyPr>
                      </wps:wsp>
                      <wps:wsp>
                        <wps:cNvPr id="58" name="Connector 58"/>
                        <wps:cNvCnPr/>
                        <wps:spPr>
                          <a:xfrm flipH="1">
                            <a:off x="2952000" y="774000"/>
                            <a:ext cx="1186200" cy="162000"/>
                          </a:xfrm>
                          <a:prstGeom prst="straightConnector1">
                            <a:avLst/>
                          </a:prstGeom>
                          <a:ln w="12700">
                            <a:solidFill>
                              <a:srgbClr val="7F7F7F"/>
                            </a:solidFill>
                          </a:ln>
                        </wps:spPr>
                        <wps:bodyPr/>
                      </wps:wsp>
                      <wps:wsp>
                        <wps:cNvPr id="59"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Boshqaruv</w:t>
                              </w:r>
                            </w:p>
                            <w:p>
                              <w:pPr>
                                <w:spacing w:before="0" w:after="0" w:line="228" w:lineRule="auto"/>
                                <w:jc w:val="center"/>
                                <w:ind w:firstLine="0"/>
                              </w:pPr>
                              <w:r>
                                <w:rPr>
                                  <w:rFonts w:ascii="Times New Roman" w:hAnsi="Times New Roman" w:cs="Times New Roman"/>
                                  <w:b/>
                                  <w:color w:val="000000"/>
                                  <w:sz w:val="20"/>
                                  <w:szCs w:val="20"/>
                                </w:rPr>
                                <w:t xml:space="preserve">sifati</w:t>
                              </w:r>
                            </w:p>
                          </w:txbxContent>
                        </wps:txbx>
                        <wps:bodyPr rot="0" vert="horz" wrap="square" lIns="36000" tIns="18000" rIns="36000" bIns="18000" anchor="ctr" anchorCtr="0">
                          <a:noAutofit/>
                        </wps:bodyPr>
                      </wps:wsp>
                      <wps:wsp>
                        <wps:cNvPr id="60" name="Connector 60"/>
                        <wps:cNvCnPr/>
                        <wps:spPr>
                          <a:xfrm flipH="1">
                            <a:off x="2952000" y="774000"/>
                            <a:ext cx="2370600" cy="162000"/>
                          </a:xfrm>
                          <a:prstGeom prst="straightConnector1">
                            <a:avLst/>
                          </a:prstGeom>
                          <a:ln w="12700">
                            <a:solidFill>
                              <a:srgbClr val="7F7F7F"/>
                            </a:solidFill>
                          </a:ln>
                        </wps:spPr>
                        <wps:bodyPr/>
                      </wps:wsp>
                      <wps:wsp>
                        <wps:cNvPr id="61"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Daraja</w:t>
                              </w:r>
                            </w:p>
                            <w:p>
                              <w:pPr>
                                <w:spacing w:before="0" w:after="0" w:line="228" w:lineRule="auto"/>
                                <w:jc w:val="center"/>
                                <w:ind w:firstLine="0"/>
                              </w:pPr>
                              <w:r>
                                <w:rPr>
                                  <w:rFonts w:ascii="Times New Roman" w:hAnsi="Times New Roman" w:cs="Times New Roman"/>
                                  <w:color w:val="000000"/>
                                  <w:sz w:val="18"/>
                                  <w:szCs w:val="18"/>
                                </w:rPr>
                                <w:t xml:space="preserve">xalqaro va milliy</w:t>
                              </w:r>
                            </w:p>
                            <w:p>
                              <w:pPr>
                                <w:spacing w:before="0" w:after="0" w:line="228" w:lineRule="auto"/>
                                <w:jc w:val="center"/>
                                <w:ind w:firstLine="0"/>
                              </w:pPr>
                              <w:r>
                                <w:rPr>
                                  <w:rFonts w:ascii="Times New Roman" w:hAnsi="Times New Roman" w:cs="Times New Roman"/>
                                  <w:color w:val="000000"/>
                                  <w:sz w:val="18"/>
                                  <w:szCs w:val="18"/>
                                </w:rPr>
                                <w:t xml:space="preserve">chegaralarga nisbatan</w:t>
                              </w:r>
                            </w:p>
                          </w:txbxContent>
                        </wps:txbx>
                        <wps:bodyPr rot="0" vert="horz" wrap="square" lIns="36000" tIns="18000" rIns="36000" bIns="18000" anchor="ctr" anchorCtr="0">
                          <a:noAutofit/>
                        </wps:bodyPr>
                      </wps:wsp>
                      <wps:wsp>
                        <wps:cNvPr id="62"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Dinamika</w:t>
                              </w:r>
                            </w:p>
                            <w:p>
                              <w:pPr>
                                <w:spacing w:before="0" w:after="0" w:line="228" w:lineRule="auto"/>
                                <w:jc w:val="center"/>
                                <w:ind w:firstLine="0"/>
                              </w:pPr>
                              <w:r>
                                <w:rPr>
                                  <w:rFonts w:ascii="Times New Roman" w:hAnsi="Times New Roman" w:cs="Times New Roman"/>
                                  <w:color w:val="000000"/>
                                  <w:sz w:val="18"/>
                                  <w:szCs w:val="18"/>
                                </w:rPr>
                                <w:t xml:space="preserve">3–5 yillik trend</w:t>
                              </w:r>
                            </w:p>
                            <w:p>
                              <w:pPr>
                                <w:spacing w:before="0" w:after="0" w:line="228" w:lineRule="auto"/>
                                <w:jc w:val="center"/>
                                <w:ind w:firstLine="0"/>
                              </w:pPr>
                              <w:r>
                                <w:rPr>
                                  <w:rFonts w:ascii="Times New Roman" w:hAnsi="Times New Roman" w:cs="Times New Roman"/>
                                  <w:color w:val="000000"/>
                                  <w:sz w:val="18"/>
                                  <w:szCs w:val="18"/>
                                </w:rPr>
                                <w:t xml:space="preserve">va tebranish</w:t>
                              </w:r>
                            </w:p>
                          </w:txbxContent>
                        </wps:txbx>
                        <wps:bodyPr rot="0" vert="horz" wrap="square" lIns="36000" tIns="18000" rIns="36000" bIns="18000" anchor="ctr" anchorCtr="0">
                          <a:noAutofit/>
                        </wps:bodyPr>
                      </wps:wsp>
                      <wps:wsp>
                        <wps:cNvPr id="63"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Muvozanat</w:t>
                              </w:r>
                            </w:p>
                            <w:p>
                              <w:pPr>
                                <w:spacing w:before="0" w:after="0" w:line="228" w:lineRule="auto"/>
                                <w:jc w:val="center"/>
                                <w:ind w:firstLine="0"/>
                              </w:pPr>
                              <w:r>
                                <w:rPr>
                                  <w:rFonts w:ascii="Times New Roman" w:hAnsi="Times New Roman" w:cs="Times New Roman"/>
                                  <w:color w:val="000000"/>
                                  <w:sz w:val="18"/>
                                  <w:szCs w:val="18"/>
                                </w:rPr>
                                <w:t xml:space="preserve">bloklar o‘rtasidagi</w:t>
                              </w:r>
                            </w:p>
                            <w:p>
                              <w:pPr>
                                <w:spacing w:before="0" w:after="0" w:line="228" w:lineRule="auto"/>
                                <w:jc w:val="center"/>
                                <w:ind w:firstLine="0"/>
                              </w:pPr>
                              <w:r>
                                <w:rPr>
                                  <w:rFonts w:ascii="Times New Roman" w:hAnsi="Times New Roman" w:cs="Times New Roman"/>
                                  <w:color w:val="000000"/>
                                  <w:sz w:val="18"/>
                                  <w:szCs w:val="18"/>
                                </w:rPr>
                                <w:t xml:space="preserve">mutanosiblik</w:t>
                              </w:r>
                            </w:p>
                          </w:txbxContent>
                        </wps:txbx>
                        <wps:bodyPr rot="0" vert="horz" wrap="square" lIns="36000" tIns="18000" rIns="36000" bIns="18000" anchor="ctr" anchorCtr="0">
                          <a:noAutofit/>
                        </wps:bodyPr>
                      </wps:wsp>
                      <wps:wsp>
                        <wps:cNvPr id="64" name="Connector 64"/>
                        <wps:cNvCnPr/>
                        <wps:spPr>
                          <a:xfrm>
                            <a:off x="2952000" y="1386000"/>
                            <a:ext cx="0" cy="162000"/>
                          </a:xfrm>
                          <a:prstGeom prst="straightConnector1">
                            <a:avLst/>
                          </a:prstGeom>
                          <a:ln w="19050">
                            <a:solidFill>
                              <a:srgbClr val="404040"/>
                            </a:solidFill>
                            <a:tailEnd type="triangle" w="med" len="med"/>
                          </a:ln>
                        </wps:spPr>
                        <wps:bodyPr/>
                      </wps:wsp>
                      <wps:wsp>
                        <wps:cNvPr id="65"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Integral moliyaviy barqarorlik ko‘rsatkichi</w:t>
                              </w:r>
                            </w:p>
                          </w:txbxContent>
                        </wps:txbx>
                        <wps:bodyPr rot="0" vert="horz" wrap="square" lIns="36000" tIns="18000" rIns="36000" bIns="18000" anchor="ctr" anchorCtr="0">
                          <a:noAutofit/>
                        </wps:bodyPr>
                      </wps:wsp>
                      <wps:wsp>
                        <wps:cNvPr id="66"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67" name="Connector 67"/>
                        <wps:cNvCnPr/>
                        <wps:spPr>
                          <a:xfrm>
                            <a:off x="3744000" y="1890000"/>
                            <a:ext cx="648000" cy="180000"/>
                          </a:xfrm>
                          <a:prstGeom prst="straightConnector1">
                            <a:avLst/>
                          </a:prstGeom>
                          <a:ln w="15875">
                            <a:solidFill>
                              <a:srgbClr val="404040"/>
                            </a:solidFill>
                            <a:tailEnd type="triangle" w="med" len="med"/>
                          </a:ln>
                        </wps:spPr>
                        <wps:bodyPr/>
                      </wps:wsp>
                      <wps:wsp>
                        <wps:cNvPr id="68"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Erta ogohlantirish signallari</w:t>
                              </w:r>
                            </w:p>
                          </w:txbxContent>
                        </wps:txbx>
                        <wps:bodyPr rot="0" vert="horz" wrap="square" lIns="36000" tIns="18000" rIns="36000" bIns="18000" anchor="ctr" anchorCtr="0">
                          <a:noAutofit/>
                        </wps:bodyPr>
                      </wps:wsp>
                      <wps:wsp>
                        <wps:cNvPr id="69"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70"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1.1.7-rasm. Tijorat banklari moliyaviy barqarorligini baholashning konseptual modeli</w:t>
      </w:r>
      <w:r>
        <w:rPr>
          <w:rStyle w:val="FootnoteReference"/>
        </w:rPr>
        <w:footnoteReference w:id="62"/>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bookmarkEnd w:id="63"/>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Cargill T.F. The Financial System, Financial Regulation and Central Bank Policy. – Cambridge: Cambridge University Press, 2017. – P. 186–187.</w:t>
      </w:r>
    </w:p>
  </w:footnote>
  <w:footnote w:id="2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14–15.</w:t>
      </w:r>
    </w:p>
  </w:footnote>
  <w:footnote w:id="2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37.</w:t>
      </w:r>
    </w:p>
  </w:footnote>
  <w:footnote w:id="23">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2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17–28.</w:t>
      </w:r>
    </w:p>
  </w:footnote>
  <w:footnote w:id="25">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Schinasi G.J. Defining Financial Stability: IMF Working Paper WP/04/187. – Washington, DC: International Monetary Fund, 2004. – 18 p; Mishkin F.S. Global Financial Instability: Framework, Events, Issues // Journal of Economic Perspectives. – 1999. – Vol. 13, No. 4. – P. 3–20; Hendrickson J.M. Regulation and Instability in U.S. Commercial Banking: A History of Crises. – Basingstoke: Palgrave Macmillan, 2011. – P. 6–7; Thakor A.V. Leverage, System Risk and Financial System Health: How Do We Develop a Healthy Financial System? // Governance, Regulation and Bank Stability / ed. by T. Lindblom, S. Sjögren, M. Willesson. – Basingstoke: Palgrave Macmillan, 2014. – P. 13–16; Sharipova N.H. Tijorat banklari moliyaviy barqarorligini mustahkamlashning konseptual asoslarini takomillashtirish: iqtisodiyot fanlari doktori (DSc) dissertatsiyasi avtoreferati. – Toshkent, 2026. – B. 13–14.</w:t>
      </w:r>
    </w:p>
  </w:footnote>
  <w:footnote w:id="2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22–24.</w:t>
      </w:r>
    </w:p>
  </w:footnote>
  <w:footnote w:id="2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38.</w:t>
      </w:r>
    </w:p>
  </w:footnote>
  <w:footnote w:id="28">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29">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30">
    <w:p>
      <w:pPr>
        <w:pStyle w:val="FootnoteText"/>
      </w:pPr>
      <w:r>
        <w:rPr>
          <w:rStyle w:val="FootnoteReference"/>
        </w:rPr>
        <w:footnoteRef/>
      </w:r>
      <w:r>
        <w:t xml:space="preserve"> </w:t>
      </w:r>
      <w:r>
        <w:t xml:space="preserve">Hendrickson J.M. Regulation and Instability in U.S. Commercial Banking: A History of Crises. – Basingstoke: Palgrave Macmillan, 2011. – P. 6–7.</w:t>
      </w:r>
    </w:p>
  </w:footnote>
  <w:footnote w:id="31">
    <w:p>
      <w:pPr>
        <w:pStyle w:val="FootnoteText"/>
      </w:pPr>
      <w:r>
        <w:rPr>
          <w:rStyle w:val="FootnoteReference"/>
        </w:rPr>
        <w:footnoteRef/>
      </w:r>
      <w:r>
        <w:t xml:space="preserve"> </w:t>
      </w:r>
      <w:r>
        <w:t xml:space="preserve">Sharipova N.H. Tijorat banklari moliyaviy barqarorligini mustahkamlashning konseptual asoslarini takomillashtirish: iqtisodiyot fanlari doktori (DSc) dissertatsiyasi avtoreferati. – Toshkent, 2026. – B. 13–14.</w:t>
      </w:r>
    </w:p>
  </w:footnote>
  <w:footnote w:id="32">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33">
    <w:p>
      <w:pPr>
        <w:pStyle w:val="FootnoteText"/>
      </w:pPr>
      <w:r>
        <w:rPr>
          <w:rStyle w:val="FootnoteReference"/>
        </w:rPr>
        <w:footnoteRef/>
      </w:r>
      <w:r>
        <w:t xml:space="preserve"> </w:t>
      </w:r>
      <w:r>
        <w:t xml:space="preserve">Tadqiqot natijasida muallif tomonidan ishlab chiqildi.</w:t>
      </w:r>
    </w:p>
  </w:footnote>
  <w:footnote w:id="3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41–45.</w:t>
      </w:r>
    </w:p>
  </w:footnote>
  <w:footnote w:id="35">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3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w:t>
      </w:r>
    </w:p>
  </w:footnote>
  <w:footnote w:id="3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28–31.</w:t>
      </w:r>
    </w:p>
  </w:footnote>
  <w:footnote w:id="3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31–41.</w:t>
      </w:r>
    </w:p>
  </w:footnote>
  <w:footnote w:id="39">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31–41.</w:t>
      </w:r>
    </w:p>
  </w:footnote>
  <w:footnote w:id="4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35–36.</w:t>
      </w:r>
    </w:p>
  </w:footnote>
  <w:footnote w:id="41">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44.</w:t>
      </w:r>
    </w:p>
  </w:footnote>
  <w:footnote w:id="4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44.</w:t>
      </w:r>
    </w:p>
  </w:footnote>
  <w:footnote w:id="4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44">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17.</w:t>
      </w:r>
    </w:p>
  </w:footnote>
  <w:footnote w:id="4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46">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47">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61–66.</w:t>
      </w:r>
    </w:p>
  </w:footnote>
  <w:footnote w:id="48">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49">
    <w:p>
      <w:pPr>
        <w:pStyle w:val="FootnoteText"/>
      </w:pPr>
      <w:r>
        <w:rPr>
          <w:rStyle w:val="FootnoteReference"/>
        </w:rPr>
        <w:footnoteRef/>
      </w:r>
      <w:r>
        <w:t xml:space="preserve"> </w:t>
      </w:r>
      <w:r>
        <w:t xml:space="preserve">Hendrickson J.M. Regulation and Instability in U.S. Commercial Banking: A History of Crises. – Basingstoke: Palgrave Macmillan, 2011. – P. 5–6.</w:t>
      </w:r>
    </w:p>
  </w:footnote>
  <w:footnote w:id="50">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 – P. 10–12.</w:t>
      </w:r>
    </w:p>
  </w:footnote>
  <w:footnote w:id="51">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w:t>
      </w:r>
    </w:p>
  </w:footnote>
  <w:footnote w:id="52">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53">
    <w:p>
      <w:pPr>
        <w:pStyle w:val="FootnoteText"/>
      </w:pPr>
      <w:r>
        <w:rPr>
          <w:rStyle w:val="FootnoteReference"/>
        </w:rPr>
        <w:footnoteRef/>
      </w:r>
      <w:r>
        <w:t xml:space="preserve"> </w:t>
      </w:r>
      <w:r>
        <w:t xml:space="preserve">Roy A.D. Safety First and the Holding of Assets // Econometrica. – 1952. – Vol. 20, No. 3. – P. 431–449.</w:t>
      </w:r>
    </w:p>
  </w:footnote>
  <w:footnote w:id="54">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55">
    <w:p>
      <w:pPr>
        <w:pStyle w:val="FootnoteText"/>
      </w:pPr>
      <w:r>
        <w:rPr>
          <w:rStyle w:val="FootnoteReference"/>
        </w:rPr>
        <w:footnoteRef/>
      </w:r>
      <w:r>
        <w:t xml:space="preserve"> </w:t>
      </w:r>
      <w:r>
        <w:t xml:space="preserve">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56">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57">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58">
    <w:p>
      <w:pPr>
        <w:pStyle w:val="FootnoteText"/>
      </w:pPr>
      <w:r>
        <w:rPr>
          <w:rStyle w:val="FootnoteReference"/>
        </w:rPr>
        <w:footnoteRef/>
      </w:r>
      <w:r>
        <w:t xml:space="preserve"> </w:t>
      </w:r>
      <w:r>
        <w:t xml:space="preserve">Adrian T., Brunnermeier M.K. CoVaR // American Economic Review. – 2016. – Vol. 106, No. 7. – P. 1705–1741.</w:t>
      </w:r>
    </w:p>
  </w:footnote>
  <w:footnote w:id="59">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55–62.</w:t>
      </w:r>
    </w:p>
  </w:footnote>
  <w:footnote w:id="60">
    <w:p>
      <w:pPr>
        <w:pStyle w:val="FootnoteText"/>
      </w:pPr>
      <w:r>
        <w:rPr>
          <w:rStyle w:val="FootnoteReference"/>
        </w:rPr>
        <w:footnoteRef/>
      </w:r>
      <w:r>
        <w:t xml:space="preserve"> </w:t>
      </w:r>
      <w:r>
        <w:t xml:space="preserve">IFRS 9 Financial Instruments. – London: International Accounting Standards Board, 2014.</w:t>
      </w:r>
    </w:p>
  </w:footnote>
  <w:footnote w:id="61">
    <w:p>
      <w:pPr>
        <w:pStyle w:val="FootnoteText"/>
      </w:pPr>
      <w:r>
        <w:rPr>
          <w:rStyle w:val="FootnoteReference"/>
        </w:rPr>
        <w:footnoteRef/>
      </w:r>
      <w:r>
        <w:t xml:space="preserve"> </w:t>
      </w:r>
      <w:r>
        <w:t xml:space="preserve">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62">
    <w:p>
      <w:pPr>
        <w:pStyle w:val="FootnoteText"/>
      </w:pPr>
      <w:r>
        <w:rPr>
          <w:rStyle w:val="FootnoteReference"/>
        </w:rPr>
        <w:footnoteRef/>
      </w:r>
      <w:r>
        <w:t xml:space="preserve"> </w:t>
      </w:r>
      <w:r>
        <w:t xml:space="preserve">Tadqiqot natijasida muallif tomonidan ishlab chiqildi.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2026-10-11T05:45:17Z</dcterms:created>
  <dcterms:modified xsi:type="dcterms:W3CDTF">2026-10-11T05:45:17Z</dcterms:modified>
</cp:coreProperties>
</file>

<file path=docProps/custom.xml><?xml version="1.0" encoding="utf-8"?>
<Properties xmlns="http://schemas.openxmlformats.org/officeDocument/2006/custom-properties" xmlns:vt="http://schemas.openxmlformats.org/officeDocument/2006/docPropsVTypes"/>
</file>