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2981250d5bc14211cc0a79b165d0f3c0c95708"/>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Sof barqaror moliyalashtirish me’yorini hisoblashning to‘rt varianti: farqlari va asoslari</w:t>
      </w:r>
    </w:p>
    <w:p>
      <w:pPr>
        <w:pStyle w:val="FirstParagraph"/>
        <w:spacing w:line="360" w:lineRule="auto" w:before="0" w:after="0"/>
        <w:ind w:firstLine="709"/>
        <w:jc w:val="both"/>
      </w:pPr>
      <w:r>
        <w:rPr>
          <w:rFonts w:ascii="Times New Roman" w:hAnsi="Times New Roman" w:cs="Times New Roman" w:eastAsia="Times New Roman"/>
          <w:sz w:val="28"/>
        </w:rPr>
        <w:t xml:space="preserve">Sof barqaror moliyalashtirish me’yori natijasi ikki omilga bog‘liq: qaysi metodika, ya’ni qanday koeffitsiyentlar qo‘llanayotganiga va qaysi hisobot ma’lumotlari asos qilib olinayotganiga. Bu ikki omil bir-biridan mustaqil bo‘lgani uchun ularni kesishtirish natijasida to‘rt variant hosil bo‘ladi (1-rasm). Bunday yondashuvning afzalligi shundaki, u me’yordagi farqning qancha qismi metodika bilan, qancha qismi hisobot standarti bilan bog‘liqligini alohida ajratib ko‘rsatish imkonini beradi.</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556000"/>
                <wp:effectExtent l="0" t="0" r="0" b="0"/>
                <wp:docPr id="1001" name="1-rasm"/>
                <wp:cNvGraphicFramePr/>
                <a:graphic>
                  <a:graphicData uri="http://schemas.microsoft.com/office/word/2010/wordprocessingGroup">
                    <wpg:wgp>
                      <wpg:cNvGrpSpPr/>
                      <wpg:grpSpPr>
                        <a:xfrm>
                          <a:off x="0" y="0"/>
                          <a:ext cx="5904000" cy="2556000"/>
                          <a:chOff x="0" y="0"/>
                          <a:chExt cx="5904000" cy="2556000"/>
                        </a:xfrm>
                      </wpg:grpSpPr>
                      <wps:wsp>
                        <wps:cNvPr id="2" name="Shape 2"/>
                        <wps:cNvSpPr/>
                        <wps:spPr>
                          <a:xfrm>
                            <a:off x="1512000" y="36000"/>
                            <a:ext cx="4320000" cy="288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Hisobot ma’lumotlari</w:t>
                              </w:r>
                            </w:p>
                          </w:txbxContent>
                        </wps:txbx>
                        <wps:bodyPr rot="0" vert="horz" wrap="square" lIns="36000" tIns="18000" rIns="36000" bIns="18000" anchor="ctr" anchorCtr="0">
                          <a:noAutofit/>
                        </wps:bodyPr>
                      </wps:wsp>
                      <wps:wsp>
                        <wps:cNvPr id="3" name="Shape 3"/>
                        <wps:cNvSpPr/>
                        <wps:spPr>
                          <a:xfrm>
                            <a:off x="1512000" y="360000"/>
                            <a:ext cx="2124000" cy="288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Milliy hisobot</w:t>
                              </w:r>
                            </w:p>
                          </w:txbxContent>
                        </wps:txbx>
                        <wps:bodyPr rot="0" vert="horz" wrap="square" lIns="36000" tIns="18000" rIns="36000" bIns="18000" anchor="ctr" anchorCtr="0">
                          <a:noAutofit/>
                        </wps:bodyPr>
                      </wps:wsp>
                      <wps:wsp>
                        <wps:cNvPr id="4" name="Shape 4"/>
                        <wps:cNvSpPr/>
                        <wps:spPr>
                          <a:xfrm>
                            <a:off x="3708000" y="360000"/>
                            <a:ext cx="2124000" cy="288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MHXS tuzatishlari bilan</w:t>
                              </w:r>
                            </w:p>
                          </w:txbxContent>
                        </wps:txbx>
                        <wps:bodyPr rot="0" vert="horz" wrap="square" lIns="36000" tIns="18000" rIns="36000" bIns="18000" anchor="ctr" anchorCtr="0">
                          <a:noAutofit/>
                        </wps:bodyPr>
                      </wps:wsp>
                      <wps:wsp>
                        <wps:cNvPr id="5" name="Shape 5"/>
                        <wps:cNvSpPr/>
                        <wps:spPr>
                          <a:xfrm>
                            <a:off x="432000" y="360000"/>
                            <a:ext cx="1044000" cy="288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Metodika</w:t>
                              </w:r>
                            </w:p>
                          </w:txbxContent>
                        </wps:txbx>
                        <wps:bodyPr rot="0" vert="horz" wrap="square" lIns="36000" tIns="18000" rIns="36000" bIns="18000" anchor="ctr" anchorCtr="0">
                          <a:noAutofit/>
                        </wps:bodyPr>
                      </wps:wsp>
                      <wps:wsp>
                        <wps:cNvPr id="6" name="Shape 6"/>
                        <wps:cNvSpPr/>
                        <wps:spPr>
                          <a:xfrm>
                            <a:off x="432000" y="684000"/>
                            <a:ext cx="1044000" cy="90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Markaziy</w:t>
                              </w:r>
                            </w:p>
                            <w:p>
                              <w:pPr>
                                <w:spacing w:before="0" w:after="0" w:line="228" w:lineRule="auto"/>
                                <w:jc w:val="center"/>
                                <w:ind w:firstLine="0"/>
                              </w:pPr>
                              <w:r>
                                <w:rPr>
                                  <w:rFonts w:ascii="Times New Roman" w:hAnsi="Times New Roman" w:cs="Times New Roman"/>
                                  <w:b/>
                                  <w:color w:val="000000"/>
                                  <w:sz w:val="21"/>
                                  <w:szCs w:val="21"/>
                                </w:rPr>
                                <w:t xml:space="preserve">bank</w:t>
                              </w:r>
                            </w:p>
                          </w:txbxContent>
                        </wps:txbx>
                        <wps:bodyPr rot="0" vert="horz" wrap="square" lIns="36000" tIns="18000" rIns="36000" bIns="18000" anchor="ctr" anchorCtr="0">
                          <a:noAutofit/>
                        </wps:bodyPr>
                      </wps:wsp>
                      <wps:wsp>
                        <wps:cNvPr id="7" name="Shape 7"/>
                        <wps:cNvSpPr/>
                        <wps:spPr>
                          <a:xfrm>
                            <a:off x="1512000" y="684000"/>
                            <a:ext cx="2124000" cy="90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FFFFFF"/>
                                  <w:sz w:val="20"/>
                                  <w:szCs w:val="20"/>
                                </w:rPr>
                                <w:t xml:space="preserve">1-variant: 122,2%</w:t>
                              </w:r>
                            </w:p>
                            <w:p>
                              <w:pPr>
                                <w:spacing w:before="0" w:after="0" w:line="228" w:lineRule="auto"/>
                                <w:jc w:val="center"/>
                                <w:ind w:firstLine="0"/>
                              </w:pPr>
                              <w:r>
                                <w:rPr>
                                  <w:rFonts w:ascii="Times New Roman" w:hAnsi="Times New Roman" w:cs="Times New Roman"/>
                                  <w:color w:val="FFFFFF"/>
                                  <w:sz w:val="20"/>
                                  <w:szCs w:val="20"/>
                                </w:rPr>
                                <w:t xml:space="preserve">Rasmiy hisobot;</w:t>
                              </w:r>
                            </w:p>
                            <w:p>
                              <w:pPr>
                                <w:spacing w:before="0" w:after="0" w:line="228" w:lineRule="auto"/>
                                <w:jc w:val="center"/>
                                <w:ind w:firstLine="0"/>
                              </w:pPr>
                              <w:r>
                                <w:rPr>
                                  <w:rFonts w:ascii="Times New Roman" w:hAnsi="Times New Roman" w:cs="Times New Roman"/>
                                  <w:color w:val="FFFFFF"/>
                                  <w:sz w:val="20"/>
                                  <w:szCs w:val="20"/>
                                </w:rPr>
                                <w:t xml:space="preserve">me’yorga rioya qilinishi</w:t>
                              </w:r>
                            </w:p>
                          </w:txbxContent>
                        </wps:txbx>
                        <wps:bodyPr rot="0" vert="horz" wrap="square" lIns="36000" tIns="18000" rIns="36000" bIns="18000" anchor="ctr" anchorCtr="0">
                          <a:noAutofit/>
                        </wps:bodyPr>
                      </wps:wsp>
                      <wps:wsp>
                        <wps:cNvPr id="8" name="Shape 8"/>
                        <wps:cNvSpPr/>
                        <wps:spPr>
                          <a:xfrm>
                            <a:off x="3708000" y="684000"/>
                            <a:ext cx="2124000" cy="90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FFFFFF"/>
                                  <w:sz w:val="20"/>
                                  <w:szCs w:val="20"/>
                                </w:rPr>
                                <w:t xml:space="preserve">3-variant: 119,5%</w:t>
                              </w:r>
                            </w:p>
                            <w:p>
                              <w:pPr>
                                <w:spacing w:before="0" w:after="0" w:line="228" w:lineRule="auto"/>
                                <w:jc w:val="center"/>
                                <w:ind w:firstLine="0"/>
                              </w:pPr>
                              <w:r>
                                <w:rPr>
                                  <w:rFonts w:ascii="Times New Roman" w:hAnsi="Times New Roman" w:cs="Times New Roman"/>
                                  <w:color w:val="FFFFFF"/>
                                  <w:sz w:val="20"/>
                                  <w:szCs w:val="20"/>
                                </w:rPr>
                                <w:t xml:space="preserve">MHXS 9 ga o‘tish</w:t>
                              </w:r>
                            </w:p>
                            <w:p>
                              <w:pPr>
                                <w:spacing w:before="0" w:after="0" w:line="228" w:lineRule="auto"/>
                                <w:jc w:val="center"/>
                                <w:ind w:firstLine="0"/>
                              </w:pPr>
                              <w:r>
                                <w:rPr>
                                  <w:rFonts w:ascii="Times New Roman" w:hAnsi="Times New Roman" w:cs="Times New Roman"/>
                                  <w:color w:val="FFFFFF"/>
                                  <w:sz w:val="20"/>
                                  <w:szCs w:val="20"/>
                                </w:rPr>
                                <w:t xml:space="preserve">ta’sirini oldindan ko‘rish</w:t>
                              </w:r>
                            </w:p>
                          </w:txbxContent>
                        </wps:txbx>
                        <wps:bodyPr rot="0" vert="horz" wrap="square" lIns="36000" tIns="18000" rIns="36000" bIns="18000" anchor="ctr" anchorCtr="0">
                          <a:noAutofit/>
                        </wps:bodyPr>
                      </wps:wsp>
                      <wps:wsp>
                        <wps:cNvPr id="9" name="Shape 9"/>
                        <wps:cNvSpPr/>
                        <wps:spPr>
                          <a:xfrm>
                            <a:off x="432000" y="1620000"/>
                            <a:ext cx="1044000" cy="90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Bazel III</w:t>
                              </w:r>
                            </w:p>
                          </w:txbxContent>
                        </wps:txbx>
                        <wps:bodyPr rot="0" vert="horz" wrap="square" lIns="36000" tIns="18000" rIns="36000" bIns="18000" anchor="ctr" anchorCtr="0">
                          <a:noAutofit/>
                        </wps:bodyPr>
                      </wps:wsp>
                      <wps:wsp>
                        <wps:cNvPr id="10" name="Shape 10"/>
                        <wps:cNvSpPr/>
                        <wps:spPr>
                          <a:xfrm>
                            <a:off x="1512000" y="1620000"/>
                            <a:ext cx="2124000" cy="900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2-variant: 127,6%</w:t>
                              </w:r>
                            </w:p>
                            <w:p>
                              <w:pPr>
                                <w:spacing w:before="0" w:after="0" w:line="228" w:lineRule="auto"/>
                                <w:jc w:val="center"/>
                                <w:ind w:firstLine="0"/>
                              </w:pPr>
                              <w:r>
                                <w:rPr>
                                  <w:rFonts w:ascii="Times New Roman" w:hAnsi="Times New Roman" w:cs="Times New Roman"/>
                                  <w:color w:val="000000"/>
                                  <w:sz w:val="20"/>
                                  <w:szCs w:val="20"/>
                                </w:rPr>
                                <w:t xml:space="preserve">Metodikani moslashtirish</w:t>
                              </w:r>
                            </w:p>
                            <w:p>
                              <w:pPr>
                                <w:spacing w:before="0" w:after="0" w:line="228" w:lineRule="auto"/>
                                <w:jc w:val="center"/>
                                <w:ind w:firstLine="0"/>
                              </w:pPr>
                              <w:r>
                                <w:rPr>
                                  <w:rFonts w:ascii="Times New Roman" w:hAnsi="Times New Roman" w:cs="Times New Roman"/>
                                  <w:color w:val="000000"/>
                                  <w:sz w:val="20"/>
                                  <w:szCs w:val="20"/>
                                </w:rPr>
                                <w:t xml:space="preserve">ta’sirini baholash</w:t>
                              </w:r>
                            </w:p>
                          </w:txbxContent>
                        </wps:txbx>
                        <wps:bodyPr rot="0" vert="horz" wrap="square" lIns="36000" tIns="18000" rIns="36000" bIns="18000" anchor="ctr" anchorCtr="0">
                          <a:noAutofit/>
                        </wps:bodyPr>
                      </wps:wsp>
                      <wps:wsp>
                        <wps:cNvPr id="11" name="Shape 11"/>
                        <wps:cNvSpPr/>
                        <wps:spPr>
                          <a:xfrm>
                            <a:off x="3708000" y="1620000"/>
                            <a:ext cx="2124000" cy="90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FFFFFF"/>
                                  <w:sz w:val="20"/>
                                  <w:szCs w:val="20"/>
                                </w:rPr>
                                <w:t xml:space="preserve">4-variant: 124,8%</w:t>
                              </w:r>
                            </w:p>
                            <w:p>
                              <w:pPr>
                                <w:spacing w:before="0" w:after="0" w:line="228" w:lineRule="auto"/>
                                <w:jc w:val="center"/>
                                <w:ind w:firstLine="0"/>
                              </w:pPr>
                              <w:r>
                                <w:rPr>
                                  <w:rFonts w:ascii="Times New Roman" w:hAnsi="Times New Roman" w:cs="Times New Roman"/>
                                  <w:color w:val="FFFFFF"/>
                                  <w:sz w:val="20"/>
                                  <w:szCs w:val="20"/>
                                </w:rPr>
                                <w:t xml:space="preserve">Xalqaro solishtirish;</w:t>
                              </w:r>
                            </w:p>
                            <w:p>
                              <w:pPr>
                                <w:spacing w:before="0" w:after="0" w:line="228" w:lineRule="auto"/>
                                <w:jc w:val="center"/>
                                <w:ind w:firstLine="0"/>
                              </w:pPr>
                              <w:r>
                                <w:rPr>
                                  <w:rFonts w:ascii="Times New Roman" w:hAnsi="Times New Roman" w:cs="Times New Roman"/>
                                  <w:color w:val="FFFFFF"/>
                                  <w:sz w:val="20"/>
                                  <w:szCs w:val="20"/>
                                </w:rPr>
                                <w:t xml:space="preserve">tadqiqotda asosiy mezon</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1-rasm. Sof barqaror moliyalashtirish me’yorini hisoblash variantlari matritsasi</w:t>
      </w:r>
      <w:r>
        <w:rPr>
          <w:rStyle w:val="FootnoteReference"/>
        </w:rPr>
        <w:footnoteReference w:id="20"/>
      </w:r>
    </w:p>
    <w:p>
      <w:pPr>
        <w:pStyle w:val="BodyText"/>
        <w:spacing w:line="360" w:lineRule="auto" w:before="0" w:after="0"/>
        <w:ind w:firstLine="709"/>
        <w:jc w:val="both"/>
      </w:pPr>
      <w:r>
        <w:rPr>
          <w:rFonts w:ascii="Times New Roman" w:hAnsi="Times New Roman" w:cs="Times New Roman" w:eastAsia="Times New Roman"/>
          <w:sz w:val="28"/>
        </w:rPr>
        <w:t xml:space="preserve">Avvalo bir muhim masalaga aniqlik kiritish lozim: Bazel III standarti ma’lumotlar qaysi buxgalteriya standarti asosida tuzilishini belgilamaydi. Bazel qo‘mitasi o‘z standartlarini buxgalteriya hisobiga nisbatan «neytral» deb hisoblaydi, sof barqaror moliyalashtirish me’yorida esa aktiv va majburiyatlar ularning balans qiymatida olinishi belgilangan</w:t>
      </w:r>
      <w:r>
        <w:rPr>
          <w:rStyle w:val="FootnoteReference"/>
        </w:rPr>
        <w:footnoteReference w:id="21"/>
      </w:r>
      <w:r>
        <w:rPr>
          <w:rFonts w:ascii="Times New Roman" w:hAnsi="Times New Roman" w:cs="Times New Roman" w:eastAsia="Times New Roman"/>
          <w:sz w:val="28"/>
        </w:rPr>
        <w:t xml:space="preserve">. Balans qiymati esa har bir mamlakatda amaldagi buxgalteriya standarti bo‘yicha aniqlanadi. Bazel qo‘mitasi MHXS 9 ga o‘tish munosabati bilan kutilgan kredit zararlari bo‘yicha zaxiralarning regulyativ kapitalga ta’sirini bosqichma-bosqich hisobga olishga ruxsat beruvchi alohida o‘tish qoidalarini qabul qilgani ham shundan dalolat beradi</w:t>
      </w:r>
      <w:r>
        <w:rPr>
          <w:rStyle w:val="FootnoteReference"/>
        </w:rPr>
        <w:footnoteReference w:id="22"/>
      </w:r>
      <w:r>
        <w:rPr>
          <w:rFonts w:ascii="Times New Roman" w:hAnsi="Times New Roman" w:cs="Times New Roman" w:eastAsia="Times New Roman"/>
          <w:sz w:val="28"/>
        </w:rPr>
        <w:t xml:space="preserve">. Demak, Bazel III koeffitsiyentlarini milliy hisobot ma’lumotlariga qo‘llash metodologik jihatdan to‘g‘ri, ammo turli mamlakatlar banklarini xalqaro miqyosda solishtirish uchun MHXS ma’lumotlari afzalroq.</w:t>
      </w:r>
    </w:p>
    <w:p>
      <w:pPr>
        <w:pStyle w:val="BodyText"/>
        <w:spacing w:line="360" w:lineRule="auto" w:before="0" w:after="0"/>
        <w:ind w:firstLine="709"/>
        <w:jc w:val="both"/>
      </w:pPr>
      <w:r>
        <w:rPr>
          <w:bCs/>
          <w:rFonts w:ascii="Times New Roman" w:hAnsi="Times New Roman" w:cs="Times New Roman" w:eastAsia="Times New Roman"/>
          <w:b/>
          <w:sz w:val="28"/>
        </w:rPr>
        <w:t xml:space="preserve">Birinchi variant – Markaziy bank metodikasi va milliy hisobot.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bankning Markaziy bankka taqdim etadigan rasmiy hisoboti bo‘lib, me’yorga rioya qilinganligi aynan shu variant bo‘yicha tekshiriladi. Uning asosi Markaziy bankning likvidlikni boshqarishga qo‘yiladigan talablar to‘g‘risidagi nizomi va milliy buxgalteriya hisobi ma’lumotlaridir</w:t>
      </w:r>
      <w:r>
        <w:rPr>
          <w:rStyle w:val="FootnoteReference"/>
        </w:rPr>
        <w:footnoteReference w:id="23"/>
      </w:r>
      <w:r>
        <w:rPr>
          <w:rFonts w:ascii="Times New Roman" w:hAnsi="Times New Roman" w:cs="Times New Roman" w:eastAsia="Times New Roman"/>
          <w:sz w:val="28"/>
        </w:rPr>
        <w:t xml:space="preserve">. Metodikaning asosiy xususiyati – soddaligi: mavjud barqaror moliyalashtirish tarkibida kapital va muddati bir yildan ortiq majburiyatlar to‘liq, qolgan barcha majburiyatlar esa kontragent turidan qat’i nazar 30 foiz koeffitsiyent bilan hisobga olinadi. Talab qilinadigan barqaror moliyalashtirish tarkibida esa muddati bir yildan ortiq barcha aktivlar, asosiy vositalar va sud jarayonidagi kreditlar to‘liq, muddati bir yilgacha bo‘lgan boshqa aktivlar 30 foiz, balansdan tashqari majburiyatlar 15 foiz koeffitsiyent bilan olinadi.</w:t>
      </w:r>
    </w:p>
    <w:p>
      <w:pPr>
        <w:pStyle w:val="BodyText"/>
        <w:spacing w:line="360" w:lineRule="auto" w:before="0" w:after="0"/>
        <w:ind w:firstLine="709"/>
        <w:jc w:val="both"/>
      </w:pPr>
      <w:r>
        <w:rPr>
          <w:bCs/>
          <w:rFonts w:ascii="Times New Roman" w:hAnsi="Times New Roman" w:cs="Times New Roman" w:eastAsia="Times New Roman"/>
          <w:b/>
          <w:sz w:val="28"/>
        </w:rPr>
        <w:t xml:space="preserve">Ikkinchi variant – Bazel III metodikasi va milliy hisobot.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variantda ma’lumotlar o‘zgarmaydi, faqat koeffitsiyentlar Bazel qo‘mitasi standartidagi qiymatlarga almashtiriladi</w:t>
      </w:r>
      <w:r>
        <w:rPr>
          <w:rStyle w:val="FootnoteReference"/>
        </w:rPr>
        <w:footnoteReference w:id="24"/>
      </w:r>
      <w:r>
        <w:rPr>
          <w:rFonts w:ascii="Times New Roman" w:hAnsi="Times New Roman" w:cs="Times New Roman" w:eastAsia="Times New Roman"/>
          <w:sz w:val="28"/>
        </w:rPr>
        <w:t xml:space="preserve">. Uning asosi ikkita: birinchidan, yuqorida ta’kidlanganidek, Bazel III milliy hisobot ma’lumotlarini qo‘llashga yo‘l qo‘yadi; ikkinchidan, XVJ va Jahon bankining moliya sektorini baholash dasturi natijalari asosida qabul qilingan «yo‘l xaritasi»da likvidlik koeffitsiyentlarining elementlarini Bazel III ga to‘liq moslashtirish vazifasi belgilangan</w:t>
      </w:r>
      <w:r>
        <w:rPr>
          <w:rStyle w:val="FootnoteReference"/>
        </w:rPr>
        <w:footnoteReference w:id="25"/>
      </w:r>
      <w:r>
        <w:rPr>
          <w:rFonts w:ascii="Times New Roman" w:hAnsi="Times New Roman" w:cs="Times New Roman" w:eastAsia="Times New Roman"/>
          <w:sz w:val="28"/>
        </w:rPr>
        <w:t xml:space="preserve">. Shu sababli bu variant metodika moslashtirilganda me’yor qanday o‘zgarishini ko‘rsatadi. Ma’lumotlar bir xil bo‘lgani uchun birinchi va ikkinchi variant o‘rtasidagi farq sof metodika ta’sirini aks ettiradi.</w:t>
      </w:r>
    </w:p>
    <w:p>
      <w:pPr>
        <w:pStyle w:val="BodyText"/>
        <w:spacing w:line="360" w:lineRule="auto" w:before="0" w:after="0"/>
        <w:ind w:firstLine="709"/>
        <w:jc w:val="both"/>
      </w:pPr>
      <w:r>
        <w:rPr>
          <w:bCs/>
          <w:rFonts w:ascii="Times New Roman" w:hAnsi="Times New Roman" w:cs="Times New Roman" w:eastAsia="Times New Roman"/>
          <w:b/>
          <w:sz w:val="28"/>
        </w:rPr>
        <w:t xml:space="preserve">Uchinchi variant – Markaziy bank metodikasi va MHXS tuzatishlari.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variantda milliy metodika saqlanadi, ammo unga MHXS bo‘yicha ma’lumotlardagi asosiy farqlar kiritiladi. Uning asosi – mazmunning shakldan ustunligi tamoyili va «yo‘l xaritasi»da aktivlar tasnifi va zaxiralarni MHXS 9 ga moslashtirish 2026-yilning ikkinchi choragida yakunlanishi rejalashtirilganidir</w:t>
      </w:r>
      <w:r>
        <w:rPr>
          <w:rStyle w:val="FootnoteReference"/>
        </w:rPr>
        <w:footnoteReference w:id="26"/>
      </w:r>
      <w:r>
        <w:rPr>
          <w:rFonts w:ascii="Times New Roman" w:hAnsi="Times New Roman" w:cs="Times New Roman" w:eastAsia="Times New Roman"/>
          <w:sz w:val="28"/>
        </w:rPr>
        <w:t xml:space="preserve">. Bu variant moslashtirish yakunlangach, amaldagi metodika bo‘yicha me’yor qanday bo‘lishini ko‘rsatadi. Birinchi va uchinchi variant o‘rtasidagi farq sof hisobot standarti ta’sirini aks ettiradi.</w:t>
      </w:r>
    </w:p>
    <w:p>
      <w:pPr>
        <w:pStyle w:val="BodyText"/>
        <w:spacing w:line="360" w:lineRule="auto" w:before="0" w:after="0"/>
        <w:ind w:firstLine="709"/>
        <w:jc w:val="both"/>
      </w:pPr>
      <w:r>
        <w:rPr>
          <w:bCs/>
          <w:rFonts w:ascii="Times New Roman" w:hAnsi="Times New Roman" w:cs="Times New Roman" w:eastAsia="Times New Roman"/>
          <w:b/>
          <w:sz w:val="28"/>
        </w:rPr>
        <w:t xml:space="preserve">To‘rtinchi variant – Bazel III metodikasi va MHXS tuzatishlari.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to‘liq xalqaro yondashuv bo‘lib, xalqaro reyting agentliklari, investorlar va XVJ mutaxassislari bankni aynan shu nuqtai nazardan baholaydi. Uning asosi – Bazel III standarti va MHXS ning birgalikda qo‘llanishi. Dissertatsiya mavzusi banklar moliyaviy barqarorligini xalqaro standartlar asosida baholash bo‘lgani uchun bu variant tadqiqotda asosiy mezon sifatida qabul qilinadi.</w:t>
      </w:r>
    </w:p>
    <w:p>
      <w:pPr>
        <w:pStyle w:val="BodyText"/>
        <w:spacing w:line="360" w:lineRule="auto" w:before="0" w:after="0"/>
        <w:ind w:firstLine="709"/>
        <w:jc w:val="both"/>
      </w:pPr>
      <w:r>
        <w:rPr>
          <w:rFonts w:ascii="Times New Roman" w:hAnsi="Times New Roman" w:cs="Times New Roman" w:eastAsia="Times New Roman"/>
          <w:sz w:val="28"/>
        </w:rPr>
        <w:t xml:space="preserve">Ikki metodika o‘rtasidagi farqlar 1-jadvalda batafsil keltirildi. Jadvaldagi Markaziy bank koeffitsiyentlari bankning 2025-yil 30-dekabr holatidagi rasmiy likvidlik tahlili shaklidan, Bazel III koeffitsiyentlari esa Bazel qo‘mitasining 2014-yilda qabul qilingan va hozirgacha amalda bo‘lgan standartidan olindi.</w:t>
      </w:r>
    </w:p>
    <w:p>
      <w:pPr>
        <w:pStyle w:val="BodyText"/>
        <w:keepNext/>
        <w:spacing w:line="360" w:lineRule="auto" w:before="120" w:after="0"/>
        <w:ind w:firstLine="0"/>
        <w:jc w:val="right"/>
      </w:pPr>
      <w:r>
        <w:rPr>
          <w:rFonts w:ascii="Times New Roman" w:hAnsi="Times New Roman" w:cs="Times New Roman" w:eastAsia="Times New Roman"/>
          <w:i/>
          <w:sz w:val="28"/>
        </w:rPr>
        <w:t xml:space="preserve">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Markaziy bank va Bazel III metodikalarida qo‘llanadigan koeffitsiyentlar</w:t>
      </w:r>
      <w:r>
        <w:rPr>
          <w:rStyle w:val="FootnoteReference"/>
        </w:rPr>
        <w:footnoteReference w:id="27"/>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Moddalar</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Markaziy bank metodikasi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Bazel III metodikasi</w:t>
            </w:r>
          </w:p>
        </w:tc>
      </w:tr>
      <w:tr>
        <w:trPr>
          <w:cantSplit/>
        </w:trPr>
        <w:tc>
          <w:tcPr/>
          <w:p>
            <w:pPr>
              <w:pStyle w:val="Compact"/>
              <w:spacing w:line="240" w:lineRule="auto"/>
              <w:ind w:firstLine="0"/>
              <w:jc w:val="left"/>
            </w:pPr>
            <w:r>
              <w:rPr>
                <w:iCs/>
                <w:rFonts w:ascii="Times New Roman" w:hAnsi="Times New Roman" w:cs="Times New Roman" w:eastAsia="Times New Roman"/>
                <w:i/>
                <w:sz w:val="22"/>
              </w:rPr>
              <w:t xml:space="preserve">Mavjud barqaror moliyalashtirish</w:t>
            </w:r>
          </w:p>
        </w:tc>
        <w:tc>
          <w:tcPr/>
          <w:p>
            <w:pPr>
              <w:pStyle w:val="Compact"/>
              <w:spacing w:line="240" w:lineRule="auto"/>
              <w:ind w:firstLine="0"/>
              <w:jc w:val="left"/>
            </w:pPr>
          </w:p>
        </w:tc>
        <w:tc>
          <w:tcPr/>
          <w:p>
            <w:pPr>
              <w:pStyle w:val="Compact"/>
              <w:spacing w:line="240" w:lineRule="auto"/>
              <w:ind w:firstLine="0"/>
              <w:jc w:val="left"/>
            </w:pP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 (nizomda – regulyativ kapital, bank shaklida – xususiy kapital)</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Muddati bir yildan ortiq majburiyatlar</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Jismoniy shaxslarning talab qilib olinguncha va bir yilgacha depozitlari</w:t>
            </w:r>
          </w:p>
        </w:tc>
        <w:tc>
          <w:tcPr/>
          <w:p>
            <w:pPr>
              <w:pStyle w:val="Compact"/>
              <w:spacing w:line="240" w:lineRule="auto"/>
              <w:ind w:firstLine="0"/>
              <w:jc w:val="left"/>
            </w:pPr>
            <w:r>
              <w:rPr>
                <w:rFonts w:ascii="Times New Roman" w:hAnsi="Times New Roman" w:cs="Times New Roman" w:eastAsia="Times New Roman"/>
                <w:sz w:val="22"/>
              </w:rPr>
              <w:t xml:space="preserve">30%</w:t>
            </w:r>
          </w:p>
        </w:tc>
        <w:tc>
          <w:tcPr/>
          <w:p>
            <w:pPr>
              <w:pStyle w:val="Compact"/>
              <w:spacing w:line="240" w:lineRule="auto"/>
              <w:ind w:firstLine="0"/>
              <w:jc w:val="left"/>
            </w:pPr>
            <w:r>
              <w:rPr>
                <w:rFonts w:ascii="Times New Roman" w:hAnsi="Times New Roman" w:cs="Times New Roman" w:eastAsia="Times New Roman"/>
                <w:sz w:val="22"/>
              </w:rPr>
              <w:t xml:space="preserve">90–95%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Korxonalarning talab qilib olinguncha va bir yilgacha depozitlari, davlat mablag‘lari</w:t>
            </w:r>
          </w:p>
        </w:tc>
        <w:tc>
          <w:tcPr/>
          <w:p>
            <w:pPr>
              <w:pStyle w:val="Compact"/>
              <w:spacing w:line="240" w:lineRule="auto"/>
              <w:ind w:firstLine="0"/>
              <w:jc w:val="left"/>
            </w:pPr>
            <w:r>
              <w:rPr>
                <w:rFonts w:ascii="Times New Roman" w:hAnsi="Times New Roman" w:cs="Times New Roman" w:eastAsia="Times New Roman"/>
                <w:sz w:val="22"/>
              </w:rPr>
              <w:t xml:space="preserve">30%</w:t>
            </w:r>
          </w:p>
        </w:tc>
        <w:tc>
          <w:tcPr/>
          <w:p>
            <w:pPr>
              <w:pStyle w:val="Compact"/>
              <w:spacing w:line="240" w:lineRule="auto"/>
              <w:ind w:firstLine="0"/>
              <w:jc w:val="left"/>
            </w:pPr>
            <w:r>
              <w:rPr>
                <w:rFonts w:ascii="Times New Roman" w:hAnsi="Times New Roman" w:cs="Times New Roman" w:eastAsia="Times New Roman"/>
                <w:sz w:val="22"/>
              </w:rPr>
              <w:t xml:space="preserve">50%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Moliya institutlarining olti oygacha resurslari</w:t>
            </w:r>
          </w:p>
        </w:tc>
        <w:tc>
          <w:tcPr/>
          <w:p>
            <w:pPr>
              <w:pStyle w:val="Compact"/>
              <w:spacing w:line="240" w:lineRule="auto"/>
              <w:ind w:firstLine="0"/>
              <w:jc w:val="left"/>
            </w:pPr>
            <w:r>
              <w:rPr>
                <w:rFonts w:ascii="Times New Roman" w:hAnsi="Times New Roman" w:cs="Times New Roman" w:eastAsia="Times New Roman"/>
                <w:sz w:val="22"/>
              </w:rPr>
              <w:t xml:space="preserve">30%</w:t>
            </w:r>
          </w:p>
        </w:tc>
        <w:tc>
          <w:tcPr/>
          <w:p>
            <w:pPr>
              <w:pStyle w:val="Compact"/>
              <w:spacing w:line="240" w:lineRule="auto"/>
              <w:ind w:firstLine="0"/>
              <w:jc w:val="left"/>
            </w:pPr>
            <w:r>
              <w:rPr>
                <w:rFonts w:ascii="Times New Roman" w:hAnsi="Times New Roman" w:cs="Times New Roman" w:eastAsia="Times New Roman"/>
                <w:sz w:val="22"/>
              </w:rPr>
              <w:t xml:space="preserve">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Moliya institutlarining olti oydan bir yilgacha resurslari</w:t>
            </w:r>
          </w:p>
        </w:tc>
        <w:tc>
          <w:tcPr/>
          <w:p>
            <w:pPr>
              <w:pStyle w:val="Compact"/>
              <w:spacing w:line="240" w:lineRule="auto"/>
              <w:ind w:firstLine="0"/>
              <w:jc w:val="left"/>
            </w:pPr>
            <w:r>
              <w:rPr>
                <w:rFonts w:ascii="Times New Roman" w:hAnsi="Times New Roman" w:cs="Times New Roman" w:eastAsia="Times New Roman"/>
                <w:sz w:val="22"/>
              </w:rPr>
              <w:t xml:space="preserve">30%</w:t>
            </w:r>
          </w:p>
        </w:tc>
        <w:tc>
          <w:tcPr/>
          <w:p>
            <w:pPr>
              <w:pStyle w:val="Compact"/>
              <w:spacing w:line="240" w:lineRule="auto"/>
              <w:ind w:firstLine="0"/>
              <w:jc w:val="left"/>
            </w:pPr>
            <w:r>
              <w:rPr>
                <w:rFonts w:ascii="Times New Roman" w:hAnsi="Times New Roman" w:cs="Times New Roman" w:eastAsia="Times New Roman"/>
                <w:sz w:val="22"/>
              </w:rPr>
              <w:t xml:space="preserve">50%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Boshqa majburiyatlar (hisoblangan foizlar, REPO, boshqalar)</w:t>
            </w:r>
          </w:p>
        </w:tc>
        <w:tc>
          <w:tcPr/>
          <w:p>
            <w:pPr>
              <w:pStyle w:val="Compact"/>
              <w:spacing w:line="240" w:lineRule="auto"/>
              <w:ind w:firstLine="0"/>
              <w:jc w:val="left"/>
            </w:pPr>
            <w:r>
              <w:rPr>
                <w:rFonts w:ascii="Times New Roman" w:hAnsi="Times New Roman" w:cs="Times New Roman" w:eastAsia="Times New Roman"/>
                <w:sz w:val="22"/>
              </w:rPr>
              <w:t xml:space="preserve">30% (nizomda – faqat depozit va qarz mablag‘lari)</w:t>
            </w:r>
          </w:p>
        </w:tc>
        <w:tc>
          <w:tcPr/>
          <w:p>
            <w:pPr>
              <w:pStyle w:val="Compact"/>
              <w:spacing w:line="240" w:lineRule="auto"/>
              <w:ind w:firstLine="0"/>
              <w:jc w:val="left"/>
            </w:pPr>
            <w:r>
              <w:rPr>
                <w:rFonts w:ascii="Times New Roman" w:hAnsi="Times New Roman" w:cs="Times New Roman" w:eastAsia="Times New Roman"/>
                <w:sz w:val="22"/>
              </w:rPr>
              <w:t xml:space="preserve">0%</w:t>
            </w:r>
          </w:p>
        </w:tc>
      </w:tr>
      <w:tr>
        <w:trPr>
          <w:cantSplit/>
        </w:trPr>
        <w:tc>
          <w:tcPr/>
          <w:p>
            <w:pPr>
              <w:pStyle w:val="Compact"/>
              <w:spacing w:line="240" w:lineRule="auto"/>
              <w:ind w:firstLine="0"/>
              <w:jc w:val="left"/>
            </w:pPr>
            <w:r>
              <w:rPr>
                <w:iCs/>
                <w:rFonts w:ascii="Times New Roman" w:hAnsi="Times New Roman" w:cs="Times New Roman" w:eastAsia="Times New Roman"/>
                <w:i/>
                <w:sz w:val="22"/>
              </w:rPr>
              <w:t xml:space="preserve">Talab qilinadigan barqaror moliyalashtirish</w:t>
            </w:r>
          </w:p>
        </w:tc>
        <w:tc>
          <w:tcPr/>
          <w:p>
            <w:pPr>
              <w:pStyle w:val="Compact"/>
              <w:spacing w:line="240" w:lineRule="auto"/>
              <w:ind w:firstLine="0"/>
              <w:jc w:val="left"/>
            </w:pPr>
          </w:p>
        </w:tc>
        <w:tc>
          <w:tcPr/>
          <w:p>
            <w:pPr>
              <w:pStyle w:val="Compact"/>
              <w:spacing w:line="240" w:lineRule="auto"/>
              <w:ind w:firstLine="0"/>
              <w:jc w:val="left"/>
            </w:pP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Naqd pul, Markaziy bankdagi mablag‘lar, bir yilgacha yuqori likvid aktivlar</w:t>
            </w:r>
          </w:p>
        </w:tc>
        <w:tc>
          <w:tcPr/>
          <w:p>
            <w:pPr>
              <w:pStyle w:val="Compact"/>
              <w:spacing w:line="240" w:lineRule="auto"/>
              <w:ind w:firstLine="0"/>
              <w:jc w:val="left"/>
            </w:pPr>
            <w:r>
              <w:rPr>
                <w:rFonts w:ascii="Times New Roman" w:hAnsi="Times New Roman" w:cs="Times New Roman" w:eastAsia="Times New Roman"/>
                <w:sz w:val="22"/>
              </w:rPr>
              <w:t xml:space="preserve">0%</w:t>
            </w:r>
          </w:p>
        </w:tc>
        <w:tc>
          <w:tcPr/>
          <w:p>
            <w:pPr>
              <w:pStyle w:val="Compact"/>
              <w:spacing w:line="240" w:lineRule="auto"/>
              <w:ind w:firstLine="0"/>
              <w:jc w:val="left"/>
            </w:pPr>
            <w:r>
              <w:rPr>
                <w:rFonts w:ascii="Times New Roman" w:hAnsi="Times New Roman" w:cs="Times New Roman" w:eastAsia="Times New Roman"/>
                <w:sz w:val="22"/>
              </w:rPr>
              <w:t xml:space="preserve">0–5%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Muddati bir yildan ortiq davlat qimmatli qog‘ozlari</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Banklarga olti oygacha joylashtirilgan mablag‘lar</w:t>
            </w:r>
          </w:p>
        </w:tc>
        <w:tc>
          <w:tcPr/>
          <w:p>
            <w:pPr>
              <w:pStyle w:val="Compact"/>
              <w:spacing w:line="240" w:lineRule="auto"/>
              <w:ind w:firstLine="0"/>
              <w:jc w:val="left"/>
            </w:pPr>
            <w:r>
              <w:rPr>
                <w:rFonts w:ascii="Times New Roman" w:hAnsi="Times New Roman" w:cs="Times New Roman" w:eastAsia="Times New Roman"/>
                <w:sz w:val="22"/>
              </w:rPr>
              <w:t xml:space="preserve">30% (yuqori likvid qismi – 0%)</w:t>
            </w:r>
          </w:p>
        </w:tc>
        <w:tc>
          <w:tcPr/>
          <w:p>
            <w:pPr>
              <w:pStyle w:val="Compact"/>
              <w:spacing w:line="240" w:lineRule="auto"/>
              <w:ind w:firstLine="0"/>
              <w:jc w:val="left"/>
            </w:pPr>
            <w:r>
              <w:rPr>
                <w:rFonts w:ascii="Times New Roman" w:hAnsi="Times New Roman" w:cs="Times New Roman" w:eastAsia="Times New Roman"/>
                <w:sz w:val="22"/>
              </w:rPr>
              <w:t xml:space="preserve">10–15%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Mijozlarga bir yilgacha kreditlar</w:t>
            </w:r>
          </w:p>
        </w:tc>
        <w:tc>
          <w:tcPr/>
          <w:p>
            <w:pPr>
              <w:pStyle w:val="Compact"/>
              <w:spacing w:line="240" w:lineRule="auto"/>
              <w:ind w:firstLine="0"/>
              <w:jc w:val="left"/>
            </w:pPr>
            <w:r>
              <w:rPr>
                <w:rFonts w:ascii="Times New Roman" w:hAnsi="Times New Roman" w:cs="Times New Roman" w:eastAsia="Times New Roman"/>
                <w:sz w:val="22"/>
              </w:rPr>
              <w:t xml:space="preserve">30%</w:t>
            </w:r>
          </w:p>
        </w:tc>
        <w:tc>
          <w:tcPr/>
          <w:p>
            <w:pPr>
              <w:pStyle w:val="Compact"/>
              <w:spacing w:line="240" w:lineRule="auto"/>
              <w:ind w:firstLine="0"/>
              <w:jc w:val="left"/>
            </w:pPr>
            <w:r>
              <w:rPr>
                <w:rFonts w:ascii="Times New Roman" w:hAnsi="Times New Roman" w:cs="Times New Roman" w:eastAsia="Times New Roman"/>
                <w:sz w:val="22"/>
              </w:rPr>
              <w:t xml:space="preserve">50%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Mijozlarga bir yildan ortiq ishlaydigan kreditlar</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65–85%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Muammoli va sud jarayonidagi kreditlar</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Asosiy vositalar, investitsiyalar, boshqa nolikvid aktivlar</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Balansdan tashqari majburiyatlar</w:t>
            </w:r>
          </w:p>
        </w:tc>
        <w:tc>
          <w:tcPr/>
          <w:p>
            <w:pPr>
              <w:pStyle w:val="Compact"/>
              <w:spacing w:line="240" w:lineRule="auto"/>
              <w:ind w:firstLine="0"/>
              <w:jc w:val="left"/>
            </w:pPr>
            <w:r>
              <w:rPr>
                <w:rFonts w:ascii="Times New Roman" w:hAnsi="Times New Roman" w:cs="Times New Roman" w:eastAsia="Times New Roman"/>
                <w:sz w:val="22"/>
              </w:rPr>
              <w:t xml:space="preserve">15%</w:t>
            </w:r>
          </w:p>
        </w:tc>
        <w:tc>
          <w:tcPr/>
          <w:p>
            <w:pPr>
              <w:pStyle w:val="Compact"/>
              <w:spacing w:line="240" w:lineRule="auto"/>
              <w:ind w:firstLine="0"/>
              <w:jc w:val="left"/>
            </w:pPr>
            <w:r>
              <w:rPr>
                <w:rFonts w:ascii="Times New Roman" w:hAnsi="Times New Roman" w:cs="Times New Roman" w:eastAsia="Times New Roman"/>
                <w:sz w:val="22"/>
              </w:rPr>
              <w:t xml:space="preserve">5%</w:t>
            </w:r>
          </w:p>
        </w:tc>
      </w:tr>
    </w:tbl>
    <w:p>
      <w:pPr>
        <w:pStyle w:val="BodyText"/>
        <w:spacing w:line="360" w:lineRule="auto" w:before="0" w:after="0"/>
        <w:ind w:firstLine="709"/>
        <w:jc w:val="both"/>
      </w:pPr>
      <w:r>
        <w:rPr>
          <w:rFonts w:ascii="Times New Roman" w:hAnsi="Times New Roman" w:cs="Times New Roman" w:eastAsia="Times New Roman"/>
          <w:sz w:val="28"/>
        </w:rPr>
        <w:t xml:space="preserve">Markaziy bank koeffitsiyentlari nizomning 53–55-bandlari va 2-ilovasidagi hisoblash namunasi bilan solishtirildi</w:t>
      </w:r>
      <w:r>
        <w:rPr>
          <w:rStyle w:val="FootnoteReference"/>
        </w:rPr>
        <w:footnoteReference w:id="28"/>
      </w:r>
      <w:r>
        <w:rPr>
          <w:rFonts w:ascii="Times New Roman" w:hAnsi="Times New Roman" w:cs="Times New Roman" w:eastAsia="Times New Roman"/>
          <w:sz w:val="28"/>
        </w:rPr>
        <w:t xml:space="preserve">. Koeffitsiyentlar to‘liq mos keladi, biroq ikki jihatda nizom matni va bankning hisobot shakli o‘rtasida farq aniqlandi. Birinchidan, nizomda mavjud barqaror moliyalashtirish tarkibiga bankning regulyativ kapitali kiritilishi belgilangan, bankning hisobot shaklida esa xususiy kapital ko‘rsatilgan. «O‘zsanoatqurilishbank» ATB da regulyativ kapital (16 199,1 mlrd so‘m) xususiy kapitaldan (11 875,2 mlrd so‘m) ancha katta bo‘lgani uchun, nizom matni bo‘yicha hisoblanganda me’yor 122,2 foiz emas, taxminan 129,4 foizni tashkil etadi. Ikkinchidan, nizomda 30 foiz koeffitsiyent faqat depozitlar va qarz mablag‘lariga qo‘llanadi, hisobot shaklida esa bir yilgacha bo‘lgan barcha majburiyatlarga qo‘llangan. Ikkala holatda ham bankning amaldagi hisobot shakli nizomning 2015-yilgi matniga nisbatan ehtiyotkorroq natija beradi. Bu farqlar keyingi o‘zgartirishlar bilan bog‘liq bo‘lishi mumkin, shu sababli ularni nizomning amaldagi tahriri bilan tekshirish lozim.</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ikki metodika o‘rtasidagi asosiy farq kontragent turini hisobga olishda. Markaziy bank metodikasi qisqa muddatli resurslarni kim tomonidan joylashtirilganiga qaramay bir xil 30 foiz koeffitsiyent bilan baholaydi. Bazel III da esa jismoniy shaxslar depozitlari eng barqaror resurs sifatida 90–95 foiz, moliya institutlarining qisqa muddatli resurslari esa eng beqaror resurs sifatida 0 foiz koeffitsiyent oladi. Natijada depozit bazasi aholi va korxonalar mablag‘laridan iborat bank uchun milliy metodika me’yorni kamsitib, ulgurji bozordan qisqa muddatli resurs jalb qiluvchi bank uchun esa oshirib ko‘rsatadi. Aktivlar tomonida esa milliy metodika ba’zi jihatdan Bazel III dan qat’iyroq: muddati bir yildan ortiq davlat qimmatli qog‘ozlari unda 100 foiz, Bazel III da esa yuqori likvid aktiv sifatida atigi 5 foiz koeffitsiyent bilan olinadi.</w:t>
      </w:r>
    </w:p>
    <w:p>
      <w:pPr>
        <w:pStyle w:val="BodyText"/>
        <w:spacing w:line="360" w:lineRule="auto" w:before="0" w:after="0"/>
        <w:ind w:firstLine="709"/>
        <w:jc w:val="both"/>
      </w:pPr>
      <w:r>
        <w:rPr>
          <w:rFonts w:ascii="Times New Roman" w:hAnsi="Times New Roman" w:cs="Times New Roman" w:eastAsia="Times New Roman"/>
          <w:sz w:val="28"/>
        </w:rPr>
        <w:t xml:space="preserve">MHXS tuzatishlari uch qadamda kiritildi. Birinchi qadamda MHXS va milliy hisobot bo‘yicha xususiy kapital farqi (−1 601,3 mlrd so‘m) mavjud barqaror moliyalashtirishdan to‘liq chegirildi, chunki kapital har ikki metodikada 100 foiz koeffitsiyentga ega. Ikkinchi qadamda MHXS 9 bo‘yicha kutilgan kredit zararlari zaxirasi bilan milliy hisobotdagi kreditlar va ular bo‘yicha hisoblangan foizlar zaxiralari o‘rtasidagi farq (1 033,0 mlrd so‘m) sof kreditlar qiymatini kamaytiruvchi omil sifatida kreditlarning o‘rtacha koeffitsiyentiga ko‘paytirilib, talab qilinadigan barqaror moliyalashtirishdan ayirildi. Uchinchi qadamda MHXS 9 ning 3-bosqich kreditlari bilan milliy tasnifdagi muammoli kreditlar o‘rtasidagi sof qiymatdagi farq (2 900,9 mlrd so‘m) ishlaydigan kreditlardan muammoli kreditlarga o‘tkazildi va ularga 100 foiz koeffitsiyent qo‘llandi. Har bir variant bo‘yicha hisob-kitob natijalari 2-jadvalda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ning sof barqaror moliyalashtirish me’yori: to‘rt variant bo‘yicha hisob-kitob, 2025-yil yakuni, mlrd so‘m</w:t>
      </w:r>
      <w:r>
        <w:rPr>
          <w:rStyle w:val="FootnoteReference"/>
        </w:rPr>
        <w:footnoteReference w:id="29"/>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Tarkibiy qismlar</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1-variant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2-variant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3-variant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4-variant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w:t>
            </w:r>
          </w:p>
        </w:tc>
        <w:tc>
          <w:tcPr/>
          <w:p>
            <w:pPr>
              <w:pStyle w:val="Compact"/>
              <w:spacing w:line="240" w:lineRule="auto"/>
              <w:ind w:firstLine="0"/>
              <w:jc w:val="left"/>
            </w:pPr>
            <w:r>
              <w:rPr>
                <w:rFonts w:ascii="Times New Roman" w:hAnsi="Times New Roman" w:cs="Times New Roman" w:eastAsia="Times New Roman"/>
                <w:sz w:val="22"/>
              </w:rPr>
              <w:t xml:space="preserve">11 875,2</w:t>
            </w:r>
          </w:p>
        </w:tc>
        <w:tc>
          <w:tcPr/>
          <w:p>
            <w:pPr>
              <w:pStyle w:val="Compact"/>
              <w:spacing w:line="240" w:lineRule="auto"/>
              <w:ind w:firstLine="0"/>
              <w:jc w:val="left"/>
            </w:pPr>
            <w:r>
              <w:rPr>
                <w:rFonts w:ascii="Times New Roman" w:hAnsi="Times New Roman" w:cs="Times New Roman" w:eastAsia="Times New Roman"/>
                <w:sz w:val="22"/>
              </w:rPr>
              <w:t xml:space="preserve">11 875,2</w:t>
            </w:r>
          </w:p>
        </w:tc>
        <w:tc>
          <w:tcPr/>
          <w:p>
            <w:pPr>
              <w:pStyle w:val="Compact"/>
              <w:spacing w:line="240" w:lineRule="auto"/>
              <w:ind w:firstLine="0"/>
              <w:jc w:val="left"/>
            </w:pPr>
            <w:r>
              <w:rPr>
                <w:rFonts w:ascii="Times New Roman" w:hAnsi="Times New Roman" w:cs="Times New Roman" w:eastAsia="Times New Roman"/>
                <w:sz w:val="22"/>
              </w:rPr>
              <w:t xml:space="preserve">10 273,8</w:t>
            </w:r>
          </w:p>
        </w:tc>
        <w:tc>
          <w:tcPr/>
          <w:p>
            <w:pPr>
              <w:pStyle w:val="Compact"/>
              <w:spacing w:line="240" w:lineRule="auto"/>
              <w:ind w:firstLine="0"/>
              <w:jc w:val="left"/>
            </w:pPr>
            <w:r>
              <w:rPr>
                <w:rFonts w:ascii="Times New Roman" w:hAnsi="Times New Roman" w:cs="Times New Roman" w:eastAsia="Times New Roman"/>
                <w:sz w:val="22"/>
              </w:rPr>
              <w:t xml:space="preserve">10 273,8</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Muddati bir yildan ortiq majburiyatlar</w:t>
            </w:r>
          </w:p>
        </w:tc>
        <w:tc>
          <w:tcPr/>
          <w:p>
            <w:pPr>
              <w:pStyle w:val="Compact"/>
              <w:spacing w:line="240" w:lineRule="auto"/>
              <w:ind w:firstLine="0"/>
              <w:jc w:val="left"/>
            </w:pPr>
            <w:r>
              <w:rPr>
                <w:rFonts w:ascii="Times New Roman" w:hAnsi="Times New Roman" w:cs="Times New Roman" w:eastAsia="Times New Roman"/>
                <w:sz w:val="22"/>
              </w:rPr>
              <w:t xml:space="preserve">50 126,3</w:t>
            </w:r>
          </w:p>
        </w:tc>
        <w:tc>
          <w:tcPr/>
          <w:p>
            <w:pPr>
              <w:pStyle w:val="Compact"/>
              <w:spacing w:line="240" w:lineRule="auto"/>
              <w:ind w:firstLine="0"/>
              <w:jc w:val="left"/>
            </w:pPr>
            <w:r>
              <w:rPr>
                <w:rFonts w:ascii="Times New Roman" w:hAnsi="Times New Roman" w:cs="Times New Roman" w:eastAsia="Times New Roman"/>
                <w:sz w:val="22"/>
              </w:rPr>
              <w:t xml:space="preserve">50 126,3</w:t>
            </w:r>
          </w:p>
        </w:tc>
        <w:tc>
          <w:tcPr/>
          <w:p>
            <w:pPr>
              <w:pStyle w:val="Compact"/>
              <w:spacing w:line="240" w:lineRule="auto"/>
              <w:ind w:firstLine="0"/>
              <w:jc w:val="left"/>
            </w:pPr>
            <w:r>
              <w:rPr>
                <w:rFonts w:ascii="Times New Roman" w:hAnsi="Times New Roman" w:cs="Times New Roman" w:eastAsia="Times New Roman"/>
                <w:sz w:val="22"/>
              </w:rPr>
              <w:t xml:space="preserve">50 126,3</w:t>
            </w:r>
          </w:p>
        </w:tc>
        <w:tc>
          <w:tcPr/>
          <w:p>
            <w:pPr>
              <w:pStyle w:val="Compact"/>
              <w:spacing w:line="240" w:lineRule="auto"/>
              <w:ind w:firstLine="0"/>
              <w:jc w:val="left"/>
            </w:pPr>
            <w:r>
              <w:rPr>
                <w:rFonts w:ascii="Times New Roman" w:hAnsi="Times New Roman" w:cs="Times New Roman" w:eastAsia="Times New Roman"/>
                <w:sz w:val="22"/>
              </w:rPr>
              <w:t xml:space="preserve">50 126,3</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Bir yilgacha va muddatsiz majburiyatlar (koeffitsiyent bilan)</w:t>
            </w:r>
          </w:p>
        </w:tc>
        <w:tc>
          <w:tcPr/>
          <w:p>
            <w:pPr>
              <w:pStyle w:val="Compact"/>
              <w:spacing w:line="240" w:lineRule="auto"/>
              <w:ind w:firstLine="0"/>
              <w:jc w:val="left"/>
            </w:pPr>
            <w:r>
              <w:rPr>
                <w:rFonts w:ascii="Times New Roman" w:hAnsi="Times New Roman" w:cs="Times New Roman" w:eastAsia="Times New Roman"/>
                <w:sz w:val="22"/>
              </w:rPr>
              <w:t xml:space="preserve">12 131,2</w:t>
            </w:r>
          </w:p>
        </w:tc>
        <w:tc>
          <w:tcPr/>
          <w:p>
            <w:pPr>
              <w:pStyle w:val="Compact"/>
              <w:spacing w:line="240" w:lineRule="auto"/>
              <w:ind w:firstLine="0"/>
              <w:jc w:val="left"/>
            </w:pPr>
            <w:r>
              <w:rPr>
                <w:rFonts w:ascii="Times New Roman" w:hAnsi="Times New Roman" w:cs="Times New Roman" w:eastAsia="Times New Roman"/>
                <w:sz w:val="22"/>
              </w:rPr>
              <w:t xml:space="preserve">16 156,4</w:t>
            </w:r>
          </w:p>
        </w:tc>
        <w:tc>
          <w:tcPr/>
          <w:p>
            <w:pPr>
              <w:pStyle w:val="Compact"/>
              <w:spacing w:line="240" w:lineRule="auto"/>
              <w:ind w:firstLine="0"/>
              <w:jc w:val="left"/>
            </w:pPr>
            <w:r>
              <w:rPr>
                <w:rFonts w:ascii="Times New Roman" w:hAnsi="Times New Roman" w:cs="Times New Roman" w:eastAsia="Times New Roman"/>
                <w:sz w:val="22"/>
              </w:rPr>
              <w:t xml:space="preserve">12 131,2</w:t>
            </w:r>
          </w:p>
        </w:tc>
        <w:tc>
          <w:tcPr/>
          <w:p>
            <w:pPr>
              <w:pStyle w:val="Compact"/>
              <w:spacing w:line="240" w:lineRule="auto"/>
              <w:ind w:firstLine="0"/>
              <w:jc w:val="left"/>
            </w:pPr>
            <w:r>
              <w:rPr>
                <w:rFonts w:ascii="Times New Roman" w:hAnsi="Times New Roman" w:cs="Times New Roman" w:eastAsia="Times New Roman"/>
                <w:sz w:val="22"/>
              </w:rPr>
              <w:t xml:space="preserve">16 156,4</w:t>
            </w:r>
          </w:p>
        </w:tc>
      </w:tr>
      <w:tr>
        <w:trPr>
          <w:cantSplit/>
        </w:trPr>
        <w:tc>
          <w:tcPr/>
          <w:p>
            <w:pPr>
              <w:pStyle w:val="Compact"/>
              <w:spacing w:line="240" w:lineRule="auto"/>
              <w:ind w:firstLine="0"/>
              <w:jc w:val="left"/>
            </w:pPr>
            <w:r>
              <w:rPr>
                <w:bCs/>
                <w:rFonts w:ascii="Times New Roman" w:hAnsi="Times New Roman" w:cs="Times New Roman" w:eastAsia="Times New Roman"/>
                <w:b/>
                <w:sz w:val="22"/>
              </w:rPr>
              <w:t xml:space="preserve">Mavjud barqaror moliyalashtirish</w:t>
            </w:r>
          </w:p>
        </w:tc>
        <w:tc>
          <w:tcPr/>
          <w:p>
            <w:pPr>
              <w:pStyle w:val="Compact"/>
              <w:spacing w:line="240" w:lineRule="auto"/>
              <w:ind w:firstLine="0"/>
              <w:jc w:val="left"/>
            </w:pPr>
            <w:r>
              <w:rPr>
                <w:bCs/>
                <w:rFonts w:ascii="Times New Roman" w:hAnsi="Times New Roman" w:cs="Times New Roman" w:eastAsia="Times New Roman"/>
                <w:b/>
                <w:sz w:val="22"/>
              </w:rPr>
              <w:t xml:space="preserve">74 132,6</w:t>
            </w:r>
          </w:p>
        </w:tc>
        <w:tc>
          <w:tcPr/>
          <w:p>
            <w:pPr>
              <w:pStyle w:val="Compact"/>
              <w:spacing w:line="240" w:lineRule="auto"/>
              <w:ind w:firstLine="0"/>
              <w:jc w:val="left"/>
            </w:pPr>
            <w:r>
              <w:rPr>
                <w:bCs/>
                <w:rFonts w:ascii="Times New Roman" w:hAnsi="Times New Roman" w:cs="Times New Roman" w:eastAsia="Times New Roman"/>
                <w:b/>
                <w:sz w:val="22"/>
              </w:rPr>
              <w:t xml:space="preserve">78 157,9</w:t>
            </w:r>
          </w:p>
        </w:tc>
        <w:tc>
          <w:tcPr/>
          <w:p>
            <w:pPr>
              <w:pStyle w:val="Compact"/>
              <w:spacing w:line="240" w:lineRule="auto"/>
              <w:ind w:firstLine="0"/>
              <w:jc w:val="left"/>
            </w:pPr>
            <w:r>
              <w:rPr>
                <w:bCs/>
                <w:rFonts w:ascii="Times New Roman" w:hAnsi="Times New Roman" w:cs="Times New Roman" w:eastAsia="Times New Roman"/>
                <w:b/>
                <w:sz w:val="22"/>
              </w:rPr>
              <w:t xml:space="preserve">72 531,3</w:t>
            </w:r>
          </w:p>
        </w:tc>
        <w:tc>
          <w:tcPr/>
          <w:p>
            <w:pPr>
              <w:pStyle w:val="Compact"/>
              <w:spacing w:line="240" w:lineRule="auto"/>
              <w:ind w:firstLine="0"/>
              <w:jc w:val="left"/>
            </w:pPr>
            <w:r>
              <w:rPr>
                <w:bCs/>
                <w:rFonts w:ascii="Times New Roman" w:hAnsi="Times New Roman" w:cs="Times New Roman" w:eastAsia="Times New Roman"/>
                <w:b/>
                <w:sz w:val="22"/>
              </w:rPr>
              <w:t xml:space="preserve">76 556,6</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Muddati bir yildan ortiq aktivlar (koeffitsiyent bilan)</w:t>
            </w:r>
          </w:p>
        </w:tc>
        <w:tc>
          <w:tcPr/>
          <w:p>
            <w:pPr>
              <w:pStyle w:val="Compact"/>
              <w:spacing w:line="240" w:lineRule="auto"/>
              <w:ind w:firstLine="0"/>
              <w:jc w:val="left"/>
            </w:pPr>
            <w:r>
              <w:rPr>
                <w:rFonts w:ascii="Times New Roman" w:hAnsi="Times New Roman" w:cs="Times New Roman" w:eastAsia="Times New Roman"/>
                <w:sz w:val="22"/>
              </w:rPr>
              <w:t xml:space="preserve">42 221,4</w:t>
            </w:r>
          </w:p>
        </w:tc>
        <w:tc>
          <w:tcPr/>
          <w:p>
            <w:pPr>
              <w:pStyle w:val="Compact"/>
              <w:spacing w:line="240" w:lineRule="auto"/>
              <w:ind w:firstLine="0"/>
              <w:jc w:val="left"/>
            </w:pPr>
            <w:r>
              <w:rPr>
                <w:rFonts w:ascii="Times New Roman" w:hAnsi="Times New Roman" w:cs="Times New Roman" w:eastAsia="Times New Roman"/>
                <w:sz w:val="22"/>
              </w:rPr>
              <w:t xml:space="preserve">35 639,3</w:t>
            </w:r>
          </w:p>
        </w:tc>
        <w:tc>
          <w:tcPr/>
          <w:p>
            <w:pPr>
              <w:pStyle w:val="Compact"/>
              <w:spacing w:line="240" w:lineRule="auto"/>
              <w:ind w:firstLine="0"/>
              <w:jc w:val="left"/>
            </w:pPr>
            <w:r>
              <w:rPr>
                <w:rFonts w:ascii="Times New Roman" w:hAnsi="Times New Roman" w:cs="Times New Roman" w:eastAsia="Times New Roman"/>
                <w:sz w:val="22"/>
              </w:rPr>
              <w:t xml:space="preserve">39 837,5</w:t>
            </w:r>
          </w:p>
        </w:tc>
        <w:tc>
          <w:tcPr/>
          <w:p>
            <w:pPr>
              <w:pStyle w:val="Compact"/>
              <w:spacing w:line="240" w:lineRule="auto"/>
              <w:ind w:firstLine="0"/>
              <w:jc w:val="left"/>
            </w:pPr>
            <w:r>
              <w:rPr>
                <w:rFonts w:ascii="Times New Roman" w:hAnsi="Times New Roman" w:cs="Times New Roman" w:eastAsia="Times New Roman"/>
                <w:sz w:val="22"/>
              </w:rPr>
              <w:t xml:space="preserve">33 613,0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Muddati bir yilgacha aktivlar (koeffitsiyent bilan)</w:t>
            </w:r>
          </w:p>
        </w:tc>
        <w:tc>
          <w:tcPr/>
          <w:p>
            <w:pPr>
              <w:pStyle w:val="Compact"/>
              <w:spacing w:line="240" w:lineRule="auto"/>
              <w:ind w:firstLine="0"/>
              <w:jc w:val="left"/>
            </w:pPr>
            <w:r>
              <w:rPr>
                <w:rFonts w:ascii="Times New Roman" w:hAnsi="Times New Roman" w:cs="Times New Roman" w:eastAsia="Times New Roman"/>
                <w:sz w:val="22"/>
              </w:rPr>
              <w:t xml:space="preserve">11 317,3</w:t>
            </w:r>
          </w:p>
        </w:tc>
        <w:tc>
          <w:tcPr/>
          <w:p>
            <w:pPr>
              <w:pStyle w:val="Compact"/>
              <w:spacing w:line="240" w:lineRule="auto"/>
              <w:ind w:firstLine="0"/>
              <w:jc w:val="left"/>
            </w:pPr>
            <w:r>
              <w:rPr>
                <w:rFonts w:ascii="Times New Roman" w:hAnsi="Times New Roman" w:cs="Times New Roman" w:eastAsia="Times New Roman"/>
                <w:sz w:val="22"/>
              </w:rPr>
              <w:t xml:space="preserve">16 926,9</w:t>
            </w:r>
          </w:p>
        </w:tc>
        <w:tc>
          <w:tcPr/>
          <w:p>
            <w:pPr>
              <w:pStyle w:val="Compact"/>
              <w:spacing w:line="240" w:lineRule="auto"/>
              <w:ind w:firstLine="0"/>
              <w:jc w:val="left"/>
            </w:pPr>
            <w:r>
              <w:rPr>
                <w:rFonts w:ascii="Times New Roman" w:hAnsi="Times New Roman" w:cs="Times New Roman" w:eastAsia="Times New Roman"/>
                <w:sz w:val="22"/>
              </w:rPr>
              <w:t xml:space="preserve">10 852,7</w:t>
            </w:r>
          </w:p>
        </w:tc>
        <w:tc>
          <w:tcPr/>
          <w:p>
            <w:pPr>
              <w:pStyle w:val="Compact"/>
              <w:spacing w:line="240" w:lineRule="auto"/>
              <w:ind w:firstLine="0"/>
              <w:jc w:val="left"/>
            </w:pPr>
            <w:r>
              <w:rPr>
                <w:rFonts w:ascii="Times New Roman" w:hAnsi="Times New Roman" w:cs="Times New Roman" w:eastAsia="Times New Roman"/>
                <w:sz w:val="22"/>
              </w:rPr>
              <w:t xml:space="preserve">16 152,3</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Muammoli va sud jarayonidagi kreditlar</w:t>
            </w:r>
          </w:p>
        </w:tc>
        <w:tc>
          <w:tcPr/>
          <w:p>
            <w:pPr>
              <w:pStyle w:val="Compact"/>
              <w:spacing w:line="240" w:lineRule="auto"/>
              <w:ind w:firstLine="0"/>
              <w:jc w:val="left"/>
            </w:pPr>
            <w:r>
              <w:rPr>
                <w:rFonts w:ascii="Times New Roman" w:hAnsi="Times New Roman" w:cs="Times New Roman" w:eastAsia="Times New Roman"/>
                <w:sz w:val="22"/>
              </w:rPr>
              <w:t xml:space="preserve">2 639,0</w:t>
            </w:r>
          </w:p>
        </w:tc>
        <w:tc>
          <w:tcPr/>
          <w:p>
            <w:pPr>
              <w:pStyle w:val="Compact"/>
              <w:spacing w:line="240" w:lineRule="auto"/>
              <w:ind w:firstLine="0"/>
              <w:jc w:val="left"/>
            </w:pPr>
            <w:r>
              <w:rPr>
                <w:rFonts w:ascii="Times New Roman" w:hAnsi="Times New Roman" w:cs="Times New Roman" w:eastAsia="Times New Roman"/>
                <w:sz w:val="22"/>
              </w:rPr>
              <w:t xml:space="preserve">436,0</w:t>
            </w:r>
          </w:p>
        </w:tc>
        <w:tc>
          <w:tcPr/>
          <w:p>
            <w:pPr>
              <w:pStyle w:val="Compact"/>
              <w:spacing w:line="240" w:lineRule="auto"/>
              <w:ind w:firstLine="0"/>
              <w:jc w:val="left"/>
            </w:pPr>
            <w:r>
              <w:rPr>
                <w:rFonts w:ascii="Times New Roman" w:hAnsi="Times New Roman" w:cs="Times New Roman" w:eastAsia="Times New Roman"/>
                <w:sz w:val="22"/>
              </w:rPr>
              <w:t xml:space="preserve">5 539,9</w:t>
            </w:r>
          </w:p>
        </w:tc>
        <w:tc>
          <w:tcPr/>
          <w:p>
            <w:pPr>
              <w:pStyle w:val="Compact"/>
              <w:spacing w:line="240" w:lineRule="auto"/>
              <w:ind w:firstLine="0"/>
              <w:jc w:val="left"/>
            </w:pPr>
            <w:r>
              <w:rPr>
                <w:rFonts w:ascii="Times New Roman" w:hAnsi="Times New Roman" w:cs="Times New Roman" w:eastAsia="Times New Roman"/>
                <w:sz w:val="22"/>
              </w:rPr>
              <w:t xml:space="preserve">3 336,9</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Asosiy vositalar va boshqa nolikvid aktivlar</w:t>
            </w:r>
          </w:p>
        </w:tc>
        <w:tc>
          <w:tcPr/>
          <w:p>
            <w:pPr>
              <w:pStyle w:val="Compact"/>
              <w:spacing w:line="240" w:lineRule="auto"/>
              <w:ind w:firstLine="0"/>
              <w:jc w:val="left"/>
            </w:pPr>
            <w:r>
              <w:rPr>
                <w:rFonts w:ascii="Times New Roman" w:hAnsi="Times New Roman" w:cs="Times New Roman" w:eastAsia="Times New Roman"/>
                <w:sz w:val="22"/>
              </w:rPr>
              <w:t xml:space="preserve">3 767,7</w:t>
            </w:r>
          </w:p>
        </w:tc>
        <w:tc>
          <w:tcPr/>
          <w:p>
            <w:pPr>
              <w:pStyle w:val="Compact"/>
              <w:spacing w:line="240" w:lineRule="auto"/>
              <w:ind w:firstLine="0"/>
              <w:jc w:val="left"/>
            </w:pPr>
            <w:r>
              <w:rPr>
                <w:rFonts w:ascii="Times New Roman" w:hAnsi="Times New Roman" w:cs="Times New Roman" w:eastAsia="Times New Roman"/>
                <w:sz w:val="22"/>
              </w:rPr>
              <w:t xml:space="preserve">7 949,0</w:t>
            </w:r>
          </w:p>
        </w:tc>
        <w:tc>
          <w:tcPr/>
          <w:p>
            <w:pPr>
              <w:pStyle w:val="Compact"/>
              <w:spacing w:line="240" w:lineRule="auto"/>
              <w:ind w:firstLine="0"/>
              <w:jc w:val="left"/>
            </w:pPr>
            <w:r>
              <w:rPr>
                <w:rFonts w:ascii="Times New Roman" w:hAnsi="Times New Roman" w:cs="Times New Roman" w:eastAsia="Times New Roman"/>
                <w:sz w:val="22"/>
              </w:rPr>
              <w:t xml:space="preserve">3 767,7</w:t>
            </w:r>
          </w:p>
        </w:tc>
        <w:tc>
          <w:tcPr/>
          <w:p>
            <w:pPr>
              <w:pStyle w:val="Compact"/>
              <w:spacing w:line="240" w:lineRule="auto"/>
              <w:ind w:firstLine="0"/>
              <w:jc w:val="left"/>
            </w:pPr>
            <w:r>
              <w:rPr>
                <w:rFonts w:ascii="Times New Roman" w:hAnsi="Times New Roman" w:cs="Times New Roman" w:eastAsia="Times New Roman"/>
                <w:sz w:val="22"/>
              </w:rPr>
              <w:t xml:space="preserve">7 949,0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Balansdan tashqari majburiyatlar</w:t>
            </w:r>
          </w:p>
        </w:tc>
        <w:tc>
          <w:tcPr/>
          <w:p>
            <w:pPr>
              <w:pStyle w:val="Compact"/>
              <w:spacing w:line="240" w:lineRule="auto"/>
              <w:ind w:firstLine="0"/>
              <w:jc w:val="left"/>
            </w:pPr>
            <w:r>
              <w:rPr>
                <w:rFonts w:ascii="Times New Roman" w:hAnsi="Times New Roman" w:cs="Times New Roman" w:eastAsia="Times New Roman"/>
                <w:sz w:val="22"/>
              </w:rPr>
              <w:t xml:space="preserve">702,2</w:t>
            </w:r>
          </w:p>
        </w:tc>
        <w:tc>
          <w:tcPr/>
          <w:p>
            <w:pPr>
              <w:pStyle w:val="Compact"/>
              <w:spacing w:line="240" w:lineRule="auto"/>
              <w:ind w:firstLine="0"/>
              <w:jc w:val="left"/>
            </w:pPr>
            <w:r>
              <w:rPr>
                <w:rFonts w:ascii="Times New Roman" w:hAnsi="Times New Roman" w:cs="Times New Roman" w:eastAsia="Times New Roman"/>
                <w:sz w:val="22"/>
              </w:rPr>
              <w:t xml:space="preserve">304,1</w:t>
            </w:r>
          </w:p>
        </w:tc>
        <w:tc>
          <w:tcPr/>
          <w:p>
            <w:pPr>
              <w:pStyle w:val="Compact"/>
              <w:spacing w:line="240" w:lineRule="auto"/>
              <w:ind w:firstLine="0"/>
              <w:jc w:val="left"/>
            </w:pPr>
            <w:r>
              <w:rPr>
                <w:rFonts w:ascii="Times New Roman" w:hAnsi="Times New Roman" w:cs="Times New Roman" w:eastAsia="Times New Roman"/>
                <w:sz w:val="22"/>
              </w:rPr>
              <w:t xml:space="preserve">702,2</w:t>
            </w:r>
          </w:p>
        </w:tc>
        <w:tc>
          <w:tcPr/>
          <w:p>
            <w:pPr>
              <w:pStyle w:val="Compact"/>
              <w:spacing w:line="240" w:lineRule="auto"/>
              <w:ind w:firstLine="0"/>
              <w:jc w:val="left"/>
            </w:pPr>
            <w:r>
              <w:rPr>
                <w:rFonts w:ascii="Times New Roman" w:hAnsi="Times New Roman" w:cs="Times New Roman" w:eastAsia="Times New Roman"/>
                <w:sz w:val="22"/>
              </w:rPr>
              <w:t xml:space="preserve">304,1</w:t>
            </w:r>
          </w:p>
        </w:tc>
      </w:tr>
      <w:tr>
        <w:trPr>
          <w:cantSplit/>
        </w:trPr>
        <w:tc>
          <w:tcPr/>
          <w:p>
            <w:pPr>
              <w:pStyle w:val="Compact"/>
              <w:spacing w:line="240" w:lineRule="auto"/>
              <w:ind w:firstLine="0"/>
              <w:jc w:val="left"/>
            </w:pPr>
            <w:r>
              <w:rPr>
                <w:bCs/>
                <w:rFonts w:ascii="Times New Roman" w:hAnsi="Times New Roman" w:cs="Times New Roman" w:eastAsia="Times New Roman"/>
                <w:b/>
                <w:sz w:val="22"/>
              </w:rPr>
              <w:t xml:space="preserve">Talab qilinadigan barqaror moliyalashtirish</w:t>
            </w:r>
          </w:p>
        </w:tc>
        <w:tc>
          <w:tcPr/>
          <w:p>
            <w:pPr>
              <w:pStyle w:val="Compact"/>
              <w:spacing w:line="240" w:lineRule="auto"/>
              <w:ind w:firstLine="0"/>
              <w:jc w:val="left"/>
            </w:pPr>
            <w:r>
              <w:rPr>
                <w:bCs/>
                <w:rFonts w:ascii="Times New Roman" w:hAnsi="Times New Roman" w:cs="Times New Roman" w:eastAsia="Times New Roman"/>
                <w:b/>
                <w:sz w:val="22"/>
              </w:rPr>
              <w:t xml:space="preserve">60 647,6</w:t>
            </w:r>
          </w:p>
        </w:tc>
        <w:tc>
          <w:tcPr/>
          <w:p>
            <w:pPr>
              <w:pStyle w:val="Compact"/>
              <w:spacing w:line="240" w:lineRule="auto"/>
              <w:ind w:firstLine="0"/>
              <w:jc w:val="left"/>
            </w:pPr>
            <w:r>
              <w:rPr>
                <w:bCs/>
                <w:rFonts w:ascii="Times New Roman" w:hAnsi="Times New Roman" w:cs="Times New Roman" w:eastAsia="Times New Roman"/>
                <w:b/>
                <w:sz w:val="22"/>
              </w:rPr>
              <w:t xml:space="preserve">61 255,3</w:t>
            </w:r>
          </w:p>
        </w:tc>
        <w:tc>
          <w:tcPr/>
          <w:p>
            <w:pPr>
              <w:pStyle w:val="Compact"/>
              <w:spacing w:line="240" w:lineRule="auto"/>
              <w:ind w:firstLine="0"/>
              <w:jc w:val="left"/>
            </w:pPr>
            <w:r>
              <w:rPr>
                <w:bCs/>
                <w:rFonts w:ascii="Times New Roman" w:hAnsi="Times New Roman" w:cs="Times New Roman" w:eastAsia="Times New Roman"/>
                <w:b/>
                <w:sz w:val="22"/>
              </w:rPr>
              <w:t xml:space="preserve">60 700,0</w:t>
            </w:r>
          </w:p>
        </w:tc>
        <w:tc>
          <w:tcPr/>
          <w:p>
            <w:pPr>
              <w:pStyle w:val="Compact"/>
              <w:spacing w:line="240" w:lineRule="auto"/>
              <w:ind w:firstLine="0"/>
              <w:jc w:val="left"/>
            </w:pPr>
            <w:r>
              <w:rPr>
                <w:bCs/>
                <w:rFonts w:ascii="Times New Roman" w:hAnsi="Times New Roman" w:cs="Times New Roman" w:eastAsia="Times New Roman"/>
                <w:b/>
                <w:sz w:val="22"/>
              </w:rPr>
              <w:t xml:space="preserve">61 355,3</w:t>
            </w:r>
          </w:p>
        </w:tc>
      </w:tr>
      <w:tr>
        <w:trPr>
          <w:cantSplit/>
        </w:trPr>
        <w:tc>
          <w:tcPr/>
          <w:p>
            <w:pPr>
              <w:pStyle w:val="Compact"/>
              <w:spacing w:line="240" w:lineRule="auto"/>
              <w:ind w:firstLine="0"/>
              <w:jc w:val="left"/>
            </w:pPr>
            <w:r>
              <w:rPr>
                <w:bCs/>
                <w:rFonts w:ascii="Times New Roman" w:hAnsi="Times New Roman" w:cs="Times New Roman" w:eastAsia="Times New Roman"/>
                <w:b/>
                <w:sz w:val="22"/>
              </w:rPr>
              <w:t xml:space="preserve">Sof barqaror moliyalashtirish me’yori, %</w:t>
            </w:r>
          </w:p>
        </w:tc>
        <w:tc>
          <w:tcPr/>
          <w:p>
            <w:pPr>
              <w:pStyle w:val="Compact"/>
              <w:spacing w:line="240" w:lineRule="auto"/>
              <w:ind w:firstLine="0"/>
              <w:jc w:val="left"/>
            </w:pPr>
            <w:r>
              <w:rPr>
                <w:bCs/>
                <w:rFonts w:ascii="Times New Roman" w:hAnsi="Times New Roman" w:cs="Times New Roman" w:eastAsia="Times New Roman"/>
                <w:b/>
                <w:sz w:val="22"/>
              </w:rPr>
              <w:t xml:space="preserve">122,2</w:t>
            </w:r>
          </w:p>
        </w:tc>
        <w:tc>
          <w:tcPr/>
          <w:p>
            <w:pPr>
              <w:pStyle w:val="Compact"/>
              <w:spacing w:line="240" w:lineRule="auto"/>
              <w:ind w:firstLine="0"/>
              <w:jc w:val="left"/>
            </w:pPr>
            <w:r>
              <w:rPr>
                <w:bCs/>
                <w:rFonts w:ascii="Times New Roman" w:hAnsi="Times New Roman" w:cs="Times New Roman" w:eastAsia="Times New Roman"/>
                <w:b/>
                <w:sz w:val="22"/>
              </w:rPr>
              <w:t xml:space="preserve">127,6</w:t>
            </w:r>
          </w:p>
        </w:tc>
        <w:tc>
          <w:tcPr/>
          <w:p>
            <w:pPr>
              <w:pStyle w:val="Compact"/>
              <w:spacing w:line="240" w:lineRule="auto"/>
              <w:ind w:firstLine="0"/>
              <w:jc w:val="left"/>
            </w:pPr>
            <w:r>
              <w:rPr>
                <w:bCs/>
                <w:rFonts w:ascii="Times New Roman" w:hAnsi="Times New Roman" w:cs="Times New Roman" w:eastAsia="Times New Roman"/>
                <w:b/>
                <w:sz w:val="22"/>
              </w:rPr>
              <w:t xml:space="preserve">119,5</w:t>
            </w:r>
          </w:p>
        </w:tc>
        <w:tc>
          <w:tcPr/>
          <w:p>
            <w:pPr>
              <w:pStyle w:val="Compact"/>
              <w:spacing w:line="240" w:lineRule="auto"/>
              <w:ind w:firstLine="0"/>
              <w:jc w:val="left"/>
            </w:pPr>
            <w:r>
              <w:rPr>
                <w:bCs/>
                <w:rFonts w:ascii="Times New Roman" w:hAnsi="Times New Roman" w:cs="Times New Roman" w:eastAsia="Times New Roman"/>
                <w:b/>
                <w:sz w:val="22"/>
              </w:rPr>
              <w:t xml:space="preserve">124,8</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metodika ta’siri ijobiy, hisobot standarti ta’siri esa salbiy yo‘nalishda. Metodikani Bazel III ga o‘zgartirish me’yorni milliy hisobot bo‘yicha 5,4 foiz punktga, MHXS bo‘yicha 5,3 foiz punktga oshiradi. Bunga asosan aholi va korxonalar depozitlarining Bazel III da yuqoriroq koeffitsiyent bilan hisobga olinishi sabab bo‘ladi. MHXS tuzatishlari esa me’yorni Markaziy bank metodikasida 2,7 foiz punktga, Bazel III metodikasida 2,8 foiz punktga pasaytiradi va bunga asosan kapitalning kamligi va muammoli kreditlarning ko‘pligi sabab bo‘ladi (2-rasm).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2-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2-rasm. Sof barqaror moliyalashtirish me’yoridagi farqning metodika va hisobot standarti ta’siriga ajratilishi, foiz punkt</w:t>
      </w:r>
      <w:r>
        <w:rPr>
          <w:rStyle w:val="FootnoteReference"/>
        </w:rPr>
        <w:footnoteReference w:id="30"/>
      </w:r>
    </w:p>
    <w:p>
      <w:pPr>
        <w:pStyle w:val="BodyText"/>
        <w:spacing w:line="360" w:lineRule="auto" w:before="0" w:after="0"/>
        <w:ind w:firstLine="709"/>
        <w:jc w:val="both"/>
      </w:pPr>
      <w:r>
        <w:rPr>
          <w:rFonts w:ascii="Times New Roman" w:hAnsi="Times New Roman" w:cs="Times New Roman" w:eastAsia="Times New Roman"/>
          <w:sz w:val="28"/>
        </w:rPr>
        <w:t xml:space="preserve">Natijada quyidagi xulosaga kelish mumkin. To‘rt variantning har biri o‘z maqsadiga ega: birinchisi me’yorga rioya qilinishini nazorat qilish, ikkinchisi metodikani xalqaro standartga moslashtirish oqibatini baholash, uchinchisi MHXS 9 ga o‘tishning ta’sirini oldindan ko‘rish, to‘rtinchisi esa bankni xalqaro miqyosda solishtirish uchun xizmat qiladi. Metodika va hisobot standarti ta’siri qarama-qarshi yo‘nalishda bo‘lib, ular bir-birini qisman qoplaydi, shu sababli faqat yakuniy me’yorga qarab xulosa chiqarish uning tarkibidagi muhim o‘zgarishlarni yashirib qo‘yishi mumkin. Shu bois tadqiqotda moliyaviy barqarorlikni xalqaro standartlar asosida baholashda to‘rtinchi variant asosiy mezon sifatida, birinchi variant esa nazorat talablariga muvofiqlikni tekshirish uchun qo‘shimcha mezon sifatida qo‘llanadi.</w:t>
      </w:r>
    </w:p>
    <w:p>
      <w:pPr>
        <w:pStyle w:val="BodyText"/>
        <w:spacing w:line="360" w:lineRule="auto" w:before="0" w:after="0"/>
        <w:ind w:firstLine="709"/>
        <w:jc w:val="both"/>
      </w:pPr>
      <w:r>
        <w:rPr>
          <w:rFonts w:ascii="Times New Roman" w:hAnsi="Times New Roman" w:cs="Times New Roman" w:eastAsia="Times New Roman"/>
          <w:sz w:val="28"/>
        </w:rPr>
        <w:t xml:space="preserve">Hisob-kitobning cheklovlarini ham qayd etish lozim. Milliy hisobot alohida bank bo‘yicha 2025-yil 30-dekabr holatiga, MHXS hisoboti esa bank guruhi bo‘yicha 31-dekabr holatiga tuzilgan. Bazel III metodikasida jismoniy shaxslar depozitlarining barqaror va kamroq barqaror qismlarini ajratish uchun ma’lumot yo‘qligi sababli ularga ehtiyotkorlik bilan 90 foiz koeffitsiyent qo‘llandi, MHXS tuzatishlari esa eng muhim uch omil bo‘yicha taxminiy tarzda kiritildi. Shunga qaramay, olingan natijalar farqlarning yo‘nalishi va ko‘lamini ishonchli tarzda ko‘rsatadi.</w:t>
      </w:r>
    </w:p>
    <w:bookmarkEnd w:id="31"/>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Tadqiqot natijasida muallif tomonidan ishlab chiqildi.</w:t>
      </w:r>
    </w:p>
  </w:footnote>
  <w:footnote w:id="21">
    <w:p>
      <w:pPr>
        <w:pStyle w:val="FootnoteText"/>
      </w:pPr>
      <w:r>
        <w:rPr>
          <w:rStyle w:val="FootnoteReference"/>
        </w:rPr>
        <w:footnoteRef/>
      </w:r>
      <w:r>
        <w:t xml:space="preserve"> </w:t>
      </w:r>
      <w:r>
        <w:t xml:space="preserve">Basel Committee on Banking Supervision. Basel III: the net stable funding ratio. – Basel: Bank for International Settlements, October 2014.</w:t>
      </w:r>
    </w:p>
  </w:footnote>
  <w:footnote w:id="22">
    <w:p>
      <w:pPr>
        <w:pStyle w:val="FootnoteText"/>
      </w:pPr>
      <w:r>
        <w:rPr>
          <w:rStyle w:val="FootnoteReference"/>
        </w:rPr>
        <w:footnoteRef/>
      </w:r>
      <w:r>
        <w:t xml:space="preserve"> </w:t>
      </w:r>
      <w:r>
        <w:t xml:space="preserve">Basel Committee on Banking Supervision. Regulatory treatment of accounting provisions – interim approach and transitional arrangements. – Basel: Bank for International Settlements, March 2017.</w:t>
      </w:r>
    </w:p>
  </w:footnote>
  <w:footnote w:id="23">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«O‘zsanoatqurilishbank» ATB ning likvidlik tahlili (16-jadval), 2025-yil 30-dekabr.</w:t>
      </w:r>
    </w:p>
  </w:footnote>
  <w:footnote w:id="24">
    <w:p>
      <w:pPr>
        <w:pStyle w:val="FootnoteText"/>
      </w:pPr>
      <w:r>
        <w:rPr>
          <w:rStyle w:val="FootnoteReference"/>
        </w:rPr>
        <w:footnoteRef/>
      </w:r>
      <w:r>
        <w:t xml:space="preserve"> </w:t>
      </w:r>
      <w:r>
        <w:t xml:space="preserve">Basel Committee on Banking Supervision. Basel III: the net stable funding ratio. – Basel: Bank for International Settlements, October 2014.</w:t>
      </w:r>
    </w:p>
  </w:footnote>
  <w:footnote w:id="25">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26">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27">
    <w:p>
      <w:pPr>
        <w:pStyle w:val="FootnoteText"/>
      </w:pPr>
      <w:r>
        <w:rPr>
          <w:rStyle w:val="FootnoteReference"/>
        </w:rPr>
        <w:footnoteRef/>
      </w:r>
      <w:r>
        <w:t xml:space="preserve"> </w:t>
      </w:r>
      <w:r>
        <w:t xml:space="preserve">Tadqiqot natijasida muallif tomonidan quyidagi manbalar asosida ishlab chiqildi: «O‘zsanoatqurilishbank» ATB ning likvidlik tahlili (16-jadval), 2025-yil 30-dekabr; Basel Committee on Banking Supervision. Basel III: the net stable funding ratio. – Basel: BIS, October 2014.</w:t>
      </w:r>
    </w:p>
  </w:footnote>
  <w:footnote w:id="28">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 53–55-bandlar, 2-ilova // O‘zbekiston Respublikasi qonun hujjatlari to‘plami. – 2015. – 32 (688)-son. – 437-modda.</w:t>
      </w:r>
    </w:p>
  </w:footnote>
  <w:footnote w:id="29">
    <w:p>
      <w:pPr>
        <w:pStyle w:val="FootnoteText"/>
      </w:pPr>
      <w:r>
        <w:rPr>
          <w:rStyle w:val="FootnoteReference"/>
        </w:rPr>
        <w:footnoteRef/>
      </w:r>
      <w:r>
        <w:t xml:space="preserve"> </w:t>
      </w:r>
      <w:r>
        <w:t xml:space="preserve">Tadqiqot natijasida muallif tomonidan quyidagi manbalar ma’lumotlari asosida hisoblandi: «O‘zsanoatqurilishbank» ATB ning 2025-yil 30-dekabr holatidagi prudensial hisobot shakllari (1, 10, 16–18-jadvallar); Joint Stock Commercial Bank «Uzbek Industrial and Construction Bank» and its subsidiaries. Consolidated Financial Statements for the year ended 31 December 2025. – Tashkent, 2026. – P. 2–3, 28–31.</w:t>
      </w:r>
    </w:p>
  </w:footnote>
  <w:footnote w:id="30">
    <w:p>
      <w:pPr>
        <w:pStyle w:val="FootnoteText"/>
      </w:pPr>
      <w:r>
        <w:rPr>
          <w:rStyle w:val="FootnoteReference"/>
        </w:rPr>
        <w:footnoteRef/>
      </w:r>
      <w:r>
        <w:t xml:space="preserve"> </w:t>
      </w:r>
      <w:r>
        <w:t xml:space="preserve">Tadqiqot natijasida muallif tomonidan ishlab chiqildi.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 / Markaziy bank metodikasi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Metodika ta’siri
(Bazel III − Markaziy bank)</c:v>
                </c:pt>
                <c:pt idx="1">
                  <c:v>Hisobot standarti ta’siri
(MHXS − milliy hisobot)</c:v>
                </c:pt>
              </c:strCache>
            </c:strRef>
          </c:cat>
          <c:val>
            <c:numRef>
              <c:f>Sheet1!$B$2:$B$3</c:f>
              <c:numCache>
                <c:formatCode>General</c:formatCode>
                <c:ptCount val="2"/>
                <c:pt idx="0">
                  <c:v>5.4</c:v>
                </c:pt>
                <c:pt idx="1">
                  <c:v>-2.7</c:v>
                </c:pt>
              </c:numCache>
            </c:numRef>
          </c:val>
        </c:ser>
        <c:ser>
          <c:idx val="1"/>
          <c:order val="1"/>
          <c:tx>
            <c:strRef>
              <c:f>Sheet1!$C$1</c:f>
              <c:strCache>
                <c:ptCount val="1"/>
                <c:pt idx="0">
                  <c:v>MHXS / Bazel III metodikasi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Metodika ta’siri
(Bazel III − Markaziy bank)</c:v>
                </c:pt>
                <c:pt idx="1">
                  <c:v>Hisobot standarti ta’siri
(MHXS − milliy hisobot)</c:v>
                </c:pt>
              </c:strCache>
            </c:strRef>
          </c:cat>
          <c:val>
            <c:numRef>
              <c:f>Sheet1!$C$2:$C$3</c:f>
              <c:numCache>
                <c:formatCode>General</c:formatCode>
                <c:ptCount val="2"/>
                <c:pt idx="0">
                  <c:v>5.3</c:v>
                </c:pt>
                <c:pt idx="1">
                  <c:v>-2.8</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6"/>
          <c:min val="-4"/>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foiz punkt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2026-10-11T05:45:19Z</dcterms:created>
  <dcterms:modified xsi:type="dcterms:W3CDTF">2026-10-11T05:45:19Z</dcterms:modified>
</cp:coreProperties>
</file>

<file path=docProps/custom.xml><?xml version="1.0" encoding="utf-8"?>
<Properties xmlns="http://schemas.openxmlformats.org/officeDocument/2006/custom-properties" xmlns:vt="http://schemas.openxmlformats.org/officeDocument/2006/docPropsVTypes"/>
</file>