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2.2.3-rasm – yangi ko‘rinish (namuna)</w:t>
      </w:r>
    </w:p>
    <w:p>
      <w:pPr>
        <w:jc w:val="center"/>
      </w:pPr>
      <w:r xmlns:a="http://schemas.openxmlformats.org/drawingml/2006/main" xmlns:c="http://schemas.openxmlformats.org/drawingml/2006/chart">
        <w:rPr>
          <w:noProof/>
        </w:rPr>
        <w:drawing>
          <wp:inline distT="0" distB="0" distL="0" distR="0">
            <wp:extent cx="5760000" cy="3060000"/>
            <wp:effectExtent l="0" t="0" r="0" b="0"/>
            <wp:docPr id="1001" name="2.2.3-rasm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195"/>
        <w:gridCol w:w="964"/>
        <w:gridCol w:w="964"/>
        <w:gridCol w:w="964"/>
        <w:gridCol w:w="964"/>
        <w:gridCol w:w="964"/>
      </w:tblGrid>
      <w:tr>
        <w:tc>
          <w:tcPr>
            <w:tcW w:type="dxa" w:w="4195"/>
          </w:tcPr>
          <w:p>
            <w:pPr>
              <w:spacing w:line="240" w:lineRule="auto"/>
              <w:jc w:val="center"/>
            </w:pPr>
            <w:r>
              <w:rPr>
                <w:b/>
                <w:sz w:val="24"/>
              </w:rPr>
              <w:t>Ko‘rsatkich</w:t>
            </w:r>
          </w:p>
        </w:tc>
        <w:tc>
          <w:tcPr>
            <w:tcW w:type="dxa" w:w="964"/>
          </w:tcPr>
          <w:p>
            <w:pPr>
              <w:spacing w:line="240" w:lineRule="auto"/>
              <w:jc w:val="center"/>
            </w:pPr>
            <w:r>
              <w:rPr>
                <w:b/>
                <w:sz w:val="24"/>
              </w:rPr>
              <w:t>2021</w:t>
            </w:r>
          </w:p>
        </w:tc>
        <w:tc>
          <w:tcPr>
            <w:tcW w:type="dxa" w:w="964"/>
          </w:tcPr>
          <w:p>
            <w:pPr>
              <w:spacing w:line="240" w:lineRule="auto"/>
              <w:jc w:val="center"/>
            </w:pPr>
            <w:r>
              <w:rPr>
                <w:b/>
                <w:sz w:val="24"/>
              </w:rPr>
              <w:t>2022</w:t>
            </w:r>
          </w:p>
        </w:tc>
        <w:tc>
          <w:tcPr>
            <w:tcW w:type="dxa" w:w="964"/>
          </w:tcPr>
          <w:p>
            <w:pPr>
              <w:spacing w:line="240" w:lineRule="auto"/>
              <w:jc w:val="center"/>
            </w:pPr>
            <w:r>
              <w:rPr>
                <w:b/>
                <w:sz w:val="24"/>
              </w:rPr>
              <w:t>2023</w:t>
            </w:r>
          </w:p>
        </w:tc>
        <w:tc>
          <w:tcPr>
            <w:tcW w:type="dxa" w:w="964"/>
          </w:tcPr>
          <w:p>
            <w:pPr>
              <w:spacing w:line="240" w:lineRule="auto"/>
              <w:jc w:val="center"/>
            </w:pPr>
            <w:r>
              <w:rPr>
                <w:b/>
                <w:sz w:val="24"/>
              </w:rPr>
              <w:t>2024</w:t>
            </w:r>
          </w:p>
        </w:tc>
        <w:tc>
          <w:tcPr>
            <w:tcW w:type="dxa" w:w="964"/>
          </w:tcPr>
          <w:p>
            <w:pPr>
              <w:spacing w:line="240" w:lineRule="auto"/>
              <w:jc w:val="center"/>
            </w:pPr>
            <w:r>
              <w:rPr>
                <w:b/>
                <w:sz w:val="24"/>
              </w:rPr>
              <w:t>2025</w:t>
            </w:r>
          </w:p>
        </w:tc>
      </w:tr>
      <w:tr>
        <w:tc>
          <w:tcPr>
            <w:tcW w:type="dxa" w:w="4195"/>
          </w:tcPr>
          <w:p>
            <w:pPr>
              <w:spacing w:line="240" w:lineRule="auto"/>
              <w:jc w:val="left"/>
            </w:pPr>
            <w:r>
              <w:rPr>
                <w:b/>
                <w:color w:val="7030A0"/>
                <w:sz w:val="22"/>
              </w:rPr>
              <w:t xml:space="preserve">━━ </w:t>
            </w:r>
            <w:r>
              <w:rPr>
                <w:b w:val="0"/>
                <w:sz w:val="24"/>
              </w:rPr>
              <w:t>Substandart va muammoli kreditlar</w:t>
            </w:r>
          </w:p>
        </w:tc>
        <w:tc>
          <w:tcPr>
            <w:tcW w:type="dxa" w:w="964"/>
          </w:tcPr>
          <w:p>
            <w:pPr>
              <w:spacing w:line="240" w:lineRule="auto"/>
              <w:jc w:val="center"/>
            </w:pPr>
            <w:r>
              <w:rPr>
                <w:b w:val="0"/>
                <w:sz w:val="24"/>
              </w:rPr>
              <w:t>12,5</w:t>
            </w:r>
          </w:p>
        </w:tc>
        <w:tc>
          <w:tcPr>
            <w:tcW w:type="dxa" w:w="964"/>
          </w:tcPr>
          <w:p>
            <w:pPr>
              <w:spacing w:line="240" w:lineRule="auto"/>
              <w:jc w:val="center"/>
            </w:pPr>
            <w:r>
              <w:rPr>
                <w:b w:val="0"/>
                <w:sz w:val="24"/>
              </w:rPr>
              <w:t>15,9</w:t>
            </w:r>
          </w:p>
        </w:tc>
        <w:tc>
          <w:tcPr>
            <w:tcW w:type="dxa" w:w="964"/>
          </w:tcPr>
          <w:p>
            <w:pPr>
              <w:spacing w:line="240" w:lineRule="auto"/>
              <w:jc w:val="center"/>
            </w:pPr>
            <w:r>
              <w:rPr>
                <w:b w:val="0"/>
                <w:sz w:val="24"/>
              </w:rPr>
              <w:t>19,5</w:t>
            </w:r>
          </w:p>
        </w:tc>
        <w:tc>
          <w:tcPr>
            <w:tcW w:type="dxa" w:w="964"/>
          </w:tcPr>
          <w:p>
            <w:pPr>
              <w:spacing w:line="240" w:lineRule="auto"/>
              <w:jc w:val="center"/>
            </w:pPr>
            <w:r>
              <w:rPr>
                <w:b w:val="0"/>
                <w:sz w:val="24"/>
              </w:rPr>
              <w:t>21,0</w:t>
            </w:r>
          </w:p>
        </w:tc>
        <w:tc>
          <w:tcPr>
            <w:tcW w:type="dxa" w:w="964"/>
          </w:tcPr>
          <w:p>
            <w:pPr>
              <w:spacing w:line="240" w:lineRule="auto"/>
              <w:jc w:val="center"/>
            </w:pPr>
            <w:r>
              <w:rPr>
                <w:b w:val="0"/>
                <w:sz w:val="24"/>
              </w:rPr>
              <w:t>15,0</w:t>
            </w:r>
          </w:p>
        </w:tc>
      </w:tr>
      <w:tr>
        <w:tc>
          <w:tcPr>
            <w:tcW w:type="dxa" w:w="4195"/>
          </w:tcPr>
          <w:p>
            <w:pPr>
              <w:spacing w:line="240" w:lineRule="auto"/>
              <w:jc w:val="left"/>
            </w:pPr>
            <w:r>
              <w:rPr>
                <w:b/>
                <w:color w:val="EB6834"/>
                <w:sz w:val="22"/>
              </w:rPr>
              <w:t xml:space="preserve">━━ </w:t>
            </w:r>
            <w:r>
              <w:rPr>
                <w:b w:val="0"/>
                <w:sz w:val="24"/>
              </w:rPr>
              <w:t>Muammoli kreditlar, davlat ulushi mavjud banklar</w:t>
            </w:r>
          </w:p>
        </w:tc>
        <w:tc>
          <w:tcPr>
            <w:tcW w:type="dxa" w:w="964"/>
          </w:tcPr>
          <w:p>
            <w:pPr>
              <w:spacing w:line="240" w:lineRule="auto"/>
              <w:jc w:val="center"/>
            </w:pPr>
            <w:r>
              <w:rPr>
                <w:b w:val="0"/>
                <w:sz w:val="24"/>
              </w:rPr>
              <w:t>5,4</w:t>
            </w:r>
          </w:p>
        </w:tc>
        <w:tc>
          <w:tcPr>
            <w:tcW w:type="dxa" w:w="964"/>
          </w:tcPr>
          <w:p>
            <w:pPr>
              <w:spacing w:line="240" w:lineRule="auto"/>
              <w:jc w:val="center"/>
            </w:pPr>
            <w:r>
              <w:rPr>
                <w:b w:val="0"/>
                <w:sz w:val="24"/>
              </w:rPr>
              <w:t>3,9</w:t>
            </w:r>
          </w:p>
        </w:tc>
        <w:tc>
          <w:tcPr>
            <w:tcW w:type="dxa" w:w="964"/>
          </w:tcPr>
          <w:p>
            <w:pPr>
              <w:spacing w:line="240" w:lineRule="auto"/>
              <w:jc w:val="center"/>
            </w:pPr>
            <w:r>
              <w:rPr>
                <w:b w:val="0"/>
                <w:sz w:val="24"/>
              </w:rPr>
              <w:t>4,0</w:t>
            </w:r>
          </w:p>
        </w:tc>
        <w:tc>
          <w:tcPr>
            <w:tcW w:type="dxa" w:w="964"/>
          </w:tcPr>
          <w:p>
            <w:pPr>
              <w:spacing w:line="240" w:lineRule="auto"/>
              <w:jc w:val="center"/>
            </w:pPr>
            <w:r>
              <w:rPr>
                <w:b w:val="0"/>
                <w:sz w:val="24"/>
              </w:rPr>
              <w:t>3,9</w:t>
            </w:r>
          </w:p>
        </w:tc>
        <w:tc>
          <w:tcPr>
            <w:tcW w:type="dxa" w:w="964"/>
          </w:tcPr>
          <w:p>
            <w:pPr>
              <w:spacing w:line="240" w:lineRule="auto"/>
              <w:jc w:val="center"/>
            </w:pPr>
            <w:r>
              <w:rPr>
                <w:b w:val="0"/>
                <w:sz w:val="24"/>
              </w:rPr>
              <w:t>3,2</w:t>
            </w:r>
          </w:p>
        </w:tc>
      </w:tr>
      <w:tr>
        <w:tc>
          <w:tcPr>
            <w:tcW w:type="dxa" w:w="4195"/>
          </w:tcPr>
          <w:p>
            <w:pPr>
              <w:spacing w:line="240" w:lineRule="auto"/>
              <w:jc w:val="left"/>
            </w:pPr>
            <w:r>
              <w:rPr>
                <w:b/>
                <w:color w:val="2A78D6"/>
                <w:sz w:val="22"/>
              </w:rPr>
              <w:t xml:space="preserve">━━ </w:t>
            </w:r>
            <w:r>
              <w:rPr>
                <w:b w:val="0"/>
                <w:sz w:val="24"/>
              </w:rPr>
              <w:t>Muammoli kreditlar, jami</w:t>
            </w:r>
          </w:p>
        </w:tc>
        <w:tc>
          <w:tcPr>
            <w:tcW w:type="dxa" w:w="964"/>
          </w:tcPr>
          <w:p>
            <w:pPr>
              <w:spacing w:line="240" w:lineRule="auto"/>
              <w:jc w:val="center"/>
            </w:pPr>
            <w:r>
              <w:rPr>
                <w:b w:val="0"/>
                <w:sz w:val="24"/>
              </w:rPr>
              <w:t>5,2</w:t>
            </w:r>
          </w:p>
        </w:tc>
        <w:tc>
          <w:tcPr>
            <w:tcW w:type="dxa" w:w="964"/>
          </w:tcPr>
          <w:p>
            <w:pPr>
              <w:spacing w:line="240" w:lineRule="auto"/>
              <w:jc w:val="center"/>
            </w:pPr>
            <w:r>
              <w:rPr>
                <w:b w:val="0"/>
                <w:sz w:val="24"/>
              </w:rPr>
              <w:t>3,6</w:t>
            </w:r>
          </w:p>
        </w:tc>
        <w:tc>
          <w:tcPr>
            <w:tcW w:type="dxa" w:w="964"/>
          </w:tcPr>
          <w:p>
            <w:pPr>
              <w:spacing w:line="240" w:lineRule="auto"/>
              <w:jc w:val="center"/>
            </w:pPr>
            <w:r>
              <w:rPr>
                <w:b w:val="0"/>
                <w:sz w:val="24"/>
              </w:rPr>
              <w:t>3,5</w:t>
            </w:r>
          </w:p>
        </w:tc>
        <w:tc>
          <w:tcPr>
            <w:tcW w:type="dxa" w:w="964"/>
          </w:tcPr>
          <w:p>
            <w:pPr>
              <w:spacing w:line="240" w:lineRule="auto"/>
              <w:jc w:val="center"/>
            </w:pPr>
            <w:r>
              <w:rPr>
                <w:b w:val="0"/>
                <w:sz w:val="24"/>
              </w:rPr>
              <w:t>4,0</w:t>
            </w:r>
          </w:p>
        </w:tc>
        <w:tc>
          <w:tcPr>
            <w:tcW w:type="dxa" w:w="964"/>
          </w:tcPr>
          <w:p>
            <w:pPr>
              <w:spacing w:line="240" w:lineRule="auto"/>
              <w:jc w:val="center"/>
            </w:pPr>
            <w:r>
              <w:rPr>
                <w:b w:val="0"/>
                <w:sz w:val="24"/>
              </w:rPr>
              <w:t>3,0</w:t>
            </w:r>
          </w:p>
        </w:tc>
      </w:tr>
      <w:tr>
        <w:tc>
          <w:tcPr>
            <w:tcW w:type="dxa" w:w="4195"/>
          </w:tcPr>
          <w:p>
            <w:pPr>
              <w:spacing w:line="240" w:lineRule="auto"/>
              <w:jc w:val="left"/>
            </w:pPr>
            <w:r>
              <w:rPr>
                <w:b/>
                <w:color w:val="70AD47"/>
                <w:sz w:val="22"/>
              </w:rPr>
              <w:t xml:space="preserve">━━ </w:t>
            </w:r>
            <w:r>
              <w:rPr>
                <w:b w:val="0"/>
                <w:sz w:val="24"/>
              </w:rPr>
              <w:t>Muammoli kreditlar, boshqa banklar</w:t>
            </w:r>
          </w:p>
        </w:tc>
        <w:tc>
          <w:tcPr>
            <w:tcW w:type="dxa" w:w="964"/>
          </w:tcPr>
          <w:p>
            <w:pPr>
              <w:spacing w:line="240" w:lineRule="auto"/>
              <w:jc w:val="center"/>
            </w:pPr>
            <w:r>
              <w:rPr>
                <w:b w:val="0"/>
                <w:sz w:val="24"/>
              </w:rPr>
              <w:t>4,1</w:t>
            </w:r>
          </w:p>
        </w:tc>
        <w:tc>
          <w:tcPr>
            <w:tcW w:type="dxa" w:w="964"/>
          </w:tcPr>
          <w:p>
            <w:pPr>
              <w:spacing w:line="240" w:lineRule="auto"/>
              <w:jc w:val="center"/>
            </w:pPr>
            <w:r>
              <w:rPr>
                <w:b w:val="0"/>
                <w:sz w:val="24"/>
              </w:rPr>
              <w:t>2,1</w:t>
            </w:r>
          </w:p>
        </w:tc>
        <w:tc>
          <w:tcPr>
            <w:tcW w:type="dxa" w:w="964"/>
          </w:tcPr>
          <w:p>
            <w:pPr>
              <w:spacing w:line="240" w:lineRule="auto"/>
              <w:jc w:val="center"/>
            </w:pPr>
            <w:r>
              <w:rPr>
                <w:b w:val="0"/>
                <w:sz w:val="24"/>
              </w:rPr>
              <w:t>2,4</w:t>
            </w:r>
          </w:p>
        </w:tc>
        <w:tc>
          <w:tcPr>
            <w:tcW w:type="dxa" w:w="964"/>
          </w:tcPr>
          <w:p>
            <w:pPr>
              <w:spacing w:line="240" w:lineRule="auto"/>
              <w:jc w:val="center"/>
            </w:pPr>
            <w:r>
              <w:rPr>
                <w:b w:val="0"/>
                <w:sz w:val="24"/>
              </w:rPr>
              <w:t>4,1</w:t>
            </w:r>
          </w:p>
        </w:tc>
        <w:tc>
          <w:tcPr>
            <w:tcW w:type="dxa" w:w="964"/>
          </w:tcPr>
          <w:p>
            <w:pPr>
              <w:spacing w:line="240" w:lineRule="auto"/>
              <w:jc w:val="center"/>
            </w:pPr>
            <w:r>
              <w:rPr>
                <w:b w:val="0"/>
                <w:sz w:val="24"/>
              </w:rPr>
              <w:t>2,6</w:t>
            </w:r>
          </w:p>
        </w:tc>
      </w:tr>
      <w:tr>
        <w:tc>
          <w:tcPr>
            <w:tcW w:type="dxa" w:w="4195"/>
          </w:tcPr>
          <w:p>
            <w:pPr>
              <w:spacing w:line="240" w:lineRule="auto"/>
              <w:jc w:val="left"/>
            </w:pPr>
            <w:r>
              <w:rPr>
                <w:b/>
                <w:color w:val="C00000"/>
                <w:sz w:val="22"/>
              </w:rPr>
              <w:t xml:space="preserve">╍╍ </w:t>
            </w:r>
            <w:r>
              <w:rPr>
                <w:b w:val="0"/>
                <w:sz w:val="24"/>
              </w:rPr>
              <w:t>Erta ogohlantirish chegarasi (5 %)</w:t>
            </w:r>
          </w:p>
        </w:tc>
        <w:tc>
          <w:tcPr>
            <w:tcW w:type="dxa" w:w="964"/>
          </w:tcPr>
          <w:p>
            <w:pPr>
              <w:spacing w:line="240" w:lineRule="auto"/>
              <w:jc w:val="center"/>
            </w:pPr>
            <w:r>
              <w:rPr>
                <w:b w:val="0"/>
                <w:sz w:val="24"/>
              </w:rPr>
              <w:t>5,0</w:t>
            </w:r>
          </w:p>
        </w:tc>
        <w:tc>
          <w:tcPr>
            <w:tcW w:type="dxa" w:w="964"/>
          </w:tcPr>
          <w:p>
            <w:pPr>
              <w:spacing w:line="240" w:lineRule="auto"/>
              <w:jc w:val="center"/>
            </w:pPr>
            <w:r>
              <w:rPr>
                <w:b w:val="0"/>
                <w:sz w:val="24"/>
              </w:rPr>
              <w:t>5,0</w:t>
            </w:r>
          </w:p>
        </w:tc>
        <w:tc>
          <w:tcPr>
            <w:tcW w:type="dxa" w:w="964"/>
          </w:tcPr>
          <w:p>
            <w:pPr>
              <w:spacing w:line="240" w:lineRule="auto"/>
              <w:jc w:val="center"/>
            </w:pPr>
            <w:r>
              <w:rPr>
                <w:b w:val="0"/>
                <w:sz w:val="24"/>
              </w:rPr>
              <w:t>5,0</w:t>
            </w:r>
          </w:p>
        </w:tc>
        <w:tc>
          <w:tcPr>
            <w:tcW w:type="dxa" w:w="964"/>
          </w:tcPr>
          <w:p>
            <w:pPr>
              <w:spacing w:line="240" w:lineRule="auto"/>
              <w:jc w:val="center"/>
            </w:pPr>
            <w:r>
              <w:rPr>
                <w:b w:val="0"/>
                <w:sz w:val="24"/>
              </w:rPr>
              <w:t>5,0</w:t>
            </w:r>
          </w:p>
        </w:tc>
        <w:tc>
          <w:tcPr>
            <w:tcW w:type="dxa" w:w="964"/>
          </w:tcPr>
          <w:p>
            <w:pPr>
              <w:spacing w:line="240" w:lineRule="auto"/>
              <w:jc w:val="center"/>
            </w:pPr>
            <w:r>
              <w:rPr>
                <w:b w:val="0"/>
                <w:sz w:val="24"/>
              </w:rPr>
              <w:t>5,0</w:t>
            </w:r>
          </w:p>
        </w:tc>
      </w:tr>
    </w:tbl>
    <w:p>
      <w:pPr>
        <w:spacing w:line="240" w:lineRule="auto"/>
      </w:pPr>
      <w:r>
        <w:rPr>
          <w:sz w:val="22"/>
        </w:rPr>
        <w:t>Izoh: diagramma ostidagi jadvalda ko‘rsatkichlarning yil oxiridagi qiymatlari, foizda; qizil uzuq chiziq – 5 foizlik erta ogohlantirish chegarasi.</w:t>
      </w:r>
    </w:p>
    <w:p>
      <w:pPr>
        <w:jc w:val="center"/>
      </w:pPr>
      <w:r>
        <w:rPr>
          <w:b/>
        </w:rPr>
        <w:t>2.2.3-rasm. O‘zbekiston bank tizimida aktivlar sifati ko‘rsatkichlari, %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uz-Latn-UZ"/>
  <c:roundedCorners val="0"/>
  <c:chart>
    <c:autoTitleDeleted val="1"/>
    <c:plotArea>
      <c:layout>
        <c:manualLayout>
          <c:layoutTarget val="inner"/>
          <c:xMode val="edge"/>
          <c:yMode val="edge"/>
          <c:x val="0.1"/>
          <c:y val="0.05"/>
          <c:w val="0.86"/>
          <c:h val="0.8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Substandart va muammoli kreditlar</c:v>
                </c:pt>
              </c:strCache>
            </c:strRef>
          </c:tx>
          <c:spPr>
            <a:ln w="28575">
              <a:solidFill>
                <a:srgbClr val="7030A0"/>
              </a:solidFill>
            </a:ln>
          </c:spPr>
          <c:marker>
            <c:symbol val="circle"/>
            <c:size val="5"/>
            <c:spPr>
              <a:solidFill>
                <a:srgbClr val="7030A0"/>
              </a:solidFill>
              <a:ln>
                <a:noFill/>
              </a:ln>
            </c:spPr>
          </c:marker>
          <c:dLbls>
            <c:numFmt formatCode="0.0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1100" b="1">
                    <a:solidFill>
                      <a:srgbClr val="7030A0"/>
                    </a:solidFill>
                    <a:latin typeface="Times New Roman"/>
                    <a:cs typeface="Times New Roman"/>
                  </a:defRPr>
                </a:pPr>
                <a:endParaRPr lang="uz-Latn-UZ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Sheet1!$A$2:$A$6</c:f>
              <c:strCach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strCache>
            </c:strRef>
          </c:cat>
          <c:val>
            <c:numRef>
              <c:f>Sheet1!$B$2:$B$6</c:f>
              <c:numCache>
                <c:formatCode>0.0</c:formatCode>
                <c:ptCount val="5"/>
                <c:pt idx="0">
                  <c:v>12.5</c:v>
                </c:pt>
                <c:pt idx="1">
                  <c:v>15.9</c:v>
                </c:pt>
                <c:pt idx="2">
                  <c:v>19.5</c:v>
                </c:pt>
                <c:pt idx="3">
                  <c:v>21.0</c:v>
                </c:pt>
                <c:pt idx="4">
                  <c:v>15.0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Muammoli kreditlar, davlat ulushi mavjud banklar</c:v>
                </c:pt>
              </c:strCache>
            </c:strRef>
          </c:tx>
          <c:spPr>
            <a:ln w="28575">
              <a:solidFill>
                <a:srgbClr val="EB6834"/>
              </a:solidFill>
            </a:ln>
          </c:spPr>
          <c:marker>
            <c:symbol val="circle"/>
            <c:size val="5"/>
            <c:spPr>
              <a:solidFill>
                <a:srgbClr val="EB6834"/>
              </a:solidFill>
              <a:ln>
                <a:noFill/>
              </a:ln>
            </c:spPr>
          </c:marker>
          <c:cat>
            <c:strRef>
              <c:f>Sheet1!$A$2:$A$6</c:f>
              <c:strCach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strCache>
            </c:strRef>
          </c:cat>
          <c:val>
            <c:numRef>
              <c:f>Sheet1!$C$2:$C$6</c:f>
              <c:numCache>
                <c:formatCode>0.0</c:formatCode>
                <c:ptCount val="5"/>
                <c:pt idx="0">
                  <c:v>5.4</c:v>
                </c:pt>
                <c:pt idx="1">
                  <c:v>3.9</c:v>
                </c:pt>
                <c:pt idx="2">
                  <c:v>4.0</c:v>
                </c:pt>
                <c:pt idx="3">
                  <c:v>3.9</c:v>
                </c:pt>
                <c:pt idx="4">
                  <c:v>3.2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Muammoli kreditlar, jami</c:v>
                </c:pt>
              </c:strCache>
            </c:strRef>
          </c:tx>
          <c:spPr>
            <a:ln w="28575">
              <a:solidFill>
                <a:srgbClr val="2A78D6"/>
              </a:solidFill>
            </a:ln>
          </c:spPr>
          <c:marker>
            <c:symbol val="circle"/>
            <c:size val="5"/>
            <c:spPr>
              <a:solidFill>
                <a:srgbClr val="2A78D6"/>
              </a:solidFill>
              <a:ln>
                <a:noFill/>
              </a:ln>
            </c:spPr>
          </c:marker>
          <c:cat>
            <c:strRef>
              <c:f>Sheet1!$A$2:$A$6</c:f>
              <c:strCach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strCache>
            </c:strRef>
          </c:cat>
          <c:val>
            <c:numRef>
              <c:f>Sheet1!$D$2:$D$6</c:f>
              <c:numCache>
                <c:formatCode>0.0</c:formatCode>
                <c:ptCount val="5"/>
                <c:pt idx="0">
                  <c:v>5.2</c:v>
                </c:pt>
                <c:pt idx="1">
                  <c:v>3.6</c:v>
                </c:pt>
                <c:pt idx="2">
                  <c:v>3.5</c:v>
                </c:pt>
                <c:pt idx="3">
                  <c:v>4.0</c:v>
                </c:pt>
                <c:pt idx="4">
                  <c:v>3.0</c:v>
                </c:pt>
              </c:numCache>
            </c:numRef>
          </c:val>
          <c:smooth val="0"/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Muammoli kreditlar, boshqa banklar</c:v>
                </c:pt>
              </c:strCache>
            </c:strRef>
          </c:tx>
          <c:spPr>
            <a:ln w="28575">
              <a:solidFill>
                <a:srgbClr val="70AD47"/>
              </a:solidFill>
            </a:ln>
          </c:spPr>
          <c:marker>
            <c:symbol val="circle"/>
            <c:size val="5"/>
            <c:spPr>
              <a:solidFill>
                <a:srgbClr val="70AD47"/>
              </a:solidFill>
              <a:ln>
                <a:noFill/>
              </a:ln>
            </c:spPr>
          </c:marker>
          <c:cat>
            <c:strRef>
              <c:f>Sheet1!$A$2:$A$6</c:f>
              <c:strCach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strCache>
            </c:strRef>
          </c:cat>
          <c:val>
            <c:numRef>
              <c:f>Sheet1!$E$2:$E$6</c:f>
              <c:numCache>
                <c:formatCode>0.0</c:formatCode>
                <c:ptCount val="5"/>
                <c:pt idx="0">
                  <c:v>4.1</c:v>
                </c:pt>
                <c:pt idx="1">
                  <c:v>2.1</c:v>
                </c:pt>
                <c:pt idx="2">
                  <c:v>2.4</c:v>
                </c:pt>
                <c:pt idx="3">
                  <c:v>4.1</c:v>
                </c:pt>
                <c:pt idx="4">
                  <c:v>2.6</c:v>
                </c:pt>
              </c:numCache>
            </c:numRef>
          </c:val>
          <c:smooth val="0"/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Erta ogohlantirish chegarasi (5 %)</c:v>
                </c:pt>
              </c:strCache>
            </c:strRef>
          </c:tx>
          <c:spPr>
            <a:ln w="19050">
              <a:solidFill>
                <a:srgbClr val="C00000"/>
              </a:solidFill>
              <a:prstDash val="sysDash"/>
            </a:ln>
          </c:spPr>
          <c:marker>
            <c:symbol val="none"/>
          </c:marker>
          <c:cat>
            <c:strRef>
              <c:f>Sheet1!$A$2:$A$6</c:f>
              <c:strCach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strCache>
            </c:strRef>
          </c:cat>
          <c:val>
            <c:numRef>
              <c:f>Sheet1!$F$2:$F$6</c:f>
              <c:numCache>
                <c:formatCode>0.0</c:formatCode>
                <c:ptCount val="5"/>
                <c:pt idx="0">
                  <c:v>5.0</c:v>
                </c:pt>
                <c:pt idx="1">
                  <c:v>5.0</c:v>
                </c:pt>
                <c:pt idx="2">
                  <c:v>5.0</c:v>
                </c:pt>
                <c:pt idx="3">
                  <c:v>5.0</c:v>
                </c:pt>
                <c:pt idx="4">
                  <c:v>5.0</c:v>
                </c:pt>
              </c:numCache>
            </c:numRef>
          </c:val>
          <c:smooth val="0"/>
        </c:ser>
        <c:marker val="1"/>
        <c:axId val="111"/>
        <c:axId val="222"/>
      </c:lineChart>
      <c:catAx>
        <c:axId val="111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9525">
            <a:solidFill>
              <a:srgbClr val="595959"/>
            </a:solidFill>
          </a:ln>
        </c:spPr>
        <c:txPr>
          <a:bodyPr rot="0" vert="horz"/>
          <a:lstStyle/>
          <a:p>
            <a:pPr>
              <a:defRPr sz="1100" b="0">
                <a:solidFill>
                  <a:srgbClr val="000000"/>
                </a:solidFill>
                <a:latin typeface="Times New Roman"/>
                <a:cs typeface="Times New Roman"/>
              </a:defRPr>
            </a:pPr>
            <a:endParaRPr lang="uz-Latn-UZ"/>
          </a:p>
        </c:txPr>
        <c:crossAx val="222"/>
        <c:crosses val="autoZero"/>
        <c:auto val="1"/>
        <c:lblAlgn val="ctr"/>
        <c:lblOffset val="100"/>
        <c:tickLblSkip val="1"/>
        <c:noMultiLvlLbl val="0"/>
      </c:catAx>
      <c:valAx>
        <c:axId val="222"/>
        <c:scaling>
          <c:orientation val="minMax"/>
          <c:max val="24"/>
          <c:min val="0"/>
        </c:scaling>
        <c:delete val="0"/>
        <c:axPos val="l"/>
        <c:majorGridlines>
          <c:spPr>
            <a:ln w="6350">
              <a:solidFill>
                <a:srgbClr val="D9D9D9"/>
              </a:solidFill>
            </a:ln>
          </c:spPr>
        </c:majorGridlines>
        <c:title>
          <c:tx>
            <c:rich>
              <a:bodyPr rot="-5400000" vert="horz"/>
              <a:lstStyle/>
              <a:p>
                <a:pPr>
                  <a:defRPr sz="1100" b="0">
                    <a:solidFill>
                      <a:srgbClr val="000000"/>
                    </a:solidFill>
                    <a:latin typeface="Times New Roman"/>
                    <a:cs typeface="Times New Roman"/>
                  </a:defRPr>
                </a:pPr>
                <a:r>
                  <a:rPr lang="uz-Latn-UZ" sz="1100" b="0">
                    <a:solidFill>
                      <a:srgbClr val="000000"/>
                    </a:solidFill>
                    <a:latin typeface="Times New Roman"/>
                  </a:rPr>
                  <a:t>Kreditlardagi ulushi, %</a:t>
                </a:r>
              </a:p>
            </c:rich>
          </c:tx>
          <c:overlay val="0"/>
        </c:title>
        <c:numFmt formatCode="0" sourceLinked="0"/>
        <c:majorTickMark val="out"/>
        <c:minorTickMark val="none"/>
        <c:tickLblPos val="low"/>
        <c:spPr>
          <a:ln w="9525">
            <a:solidFill>
              <a:srgbClr val="595959"/>
            </a:solidFill>
          </a:ln>
        </c:spPr>
        <c:txPr>
          <a:bodyPr/>
          <a:lstStyle/>
          <a:p>
            <a:pPr>
              <a:defRPr sz="1100" b="0">
                <a:solidFill>
                  <a:srgbClr val="000000"/>
                </a:solidFill>
                <a:latin typeface="Times New Roman"/>
                <a:cs typeface="Times New Roman"/>
              </a:defRPr>
            </a:pPr>
            <a:endParaRPr lang="uz-Latn-UZ"/>
          </a:p>
        </c:txPr>
        <c:crossAx val="111"/>
        <c:crosses val="autoZero"/>
        <c:crossBetween val="between"/>
        <c:majorUnit val="4"/>
      </c:valAx>
      <c:spPr>
        <a:noFill/>
        <a:ln>
          <a:noFill/>
        </a:ln>
      </c:spPr>
    </c:plotArea>
    <c:plotVisOnly val="1"/>
    <c:dispBlanksAs val="gap"/>
  </c:chart>
  <c:spPr>
    <a:solidFill>
      <a:srgbClr val="FFFFFF"/>
    </a:solidFill>
    <a:ln>
      <a:noFill/>
    </a:ln>
  </c:spPr>
  <c:txPr>
    <a:bodyPr/>
    <a:lstStyle/>
    <a:p>
      <a:pPr>
        <a:defRPr sz="1100" b="0">
          <a:solidFill>
            <a:srgbClr val="000000"/>
          </a:solidFill>
          <a:latin typeface="Times New Roman"/>
          <a:cs typeface="Times New Roman"/>
        </a:defRPr>
      </a:pPr>
      <a:endParaRPr lang="uz-Latn-UZ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