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245</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color w:val="FF0000"/>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color w:val="FF0000"/>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color w:val="FF0000"/>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color w:val="FF0000"/>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color w:val="FF0000"/>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color w:val="FF0000"/>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color w:val="FF0000"/>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color w:val="FF0000"/>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color w:val="FF0000"/>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color w:val="FF0000"/>
        </w:rPr>
        <w:t xml:space="preserve">uch bankning</w:t>
      </w:r>
      <w:r>
        <w:t xml:space="preserve"> 2025-yil yakunidagi ma’lumotlariga qo‘llandi. </w:t>
      </w:r>
      <w:r>
        <w:rPr>
          <w:color w:val="FF0000"/>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color w:val="FF0000"/>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color w:val="FF0000"/>
                <w:sz w:val="22"/>
              </w:rPr>
              <w:t xml:space="preserve">Ko‘rsatkich</w:t>
            </w:r>
          </w:p>
        </w:tc>
        <w:tc>
          <w:tcPr>
            <w:tcW w:w="1758" w:type="dxa"/>
            <w:shd w:val="clear" w:color="auto" w:fill="DEEBF7"/>
          </w:tcPr>
          <w:p w:rsidR="005603EC" w:rsidRDefault="00AB61AC">
            <w:pPr>
              <w:pStyle w:val="Compact"/>
              <w:spacing w:line="240" w:lineRule="auto"/>
              <w:jc w:val="center"/>
            </w:pPr>
            <w:r>
              <w:rPr>
                <w:b/>
                <w:color w:val="FF0000"/>
                <w:sz w:val="22"/>
              </w:rPr>
              <w:t xml:space="preserve">SQB</w:t>
            </w:r>
          </w:p>
        </w:tc>
        <w:tc>
          <w:tcPr>
            <w:tcW w:w="1758" w:type="dxa"/>
            <w:shd w:val="clear" w:color="auto" w:fill="DEEBF7"/>
          </w:tcPr>
          <w:p w:rsidR="005603EC" w:rsidRDefault="00AB61AC">
            <w:pPr>
              <w:pStyle w:val="Compact"/>
              <w:spacing w:line="240" w:lineRule="auto"/>
              <w:jc w:val="center"/>
            </w:pPr>
            <w:r>
              <w:rPr>
                <w:b/>
                <w:color w:val="FF0000"/>
                <w:sz w:val="22"/>
              </w:rPr>
              <w:t xml:space="preserve">MKB</w:t>
            </w:r>
          </w:p>
        </w:tc>
        <w:tc>
          <w:tcPr>
            <w:tcW w:w="1758" w:type="dxa"/>
            <w:shd w:val="clear" w:color="auto" w:fill="DEEBF7"/>
          </w:tcPr>
          <w:p w:rsidR="005603EC" w:rsidRDefault="00AB61AC">
            <w:pPr>
              <w:pStyle w:val="Compact"/>
              <w:spacing w:line="240" w:lineRule="auto"/>
              <w:jc w:val="center"/>
            </w:pPr>
            <w:r>
              <w:rPr>
                <w:b/>
                <w:color w:val="FF0000"/>
                <w:sz w:val="22"/>
              </w:rPr>
              <w:t xml:space="preserve">Aloqabank</w:t>
            </w:r>
          </w:p>
        </w:tc>
      </w:tr>
      <w:tr w:rsidR="005603EC" w:rsidTr="005603EC">
        <w:trPr>
          <w:cantSplit/>
        </w:trPr>
        <w:tc>
          <w:tcPr>
            <w:tcW w:w="4082" w:type="dxa"/>
          </w:tcPr>
          <w:p w:rsidR="005603EC" w:rsidRDefault="00AB61AC">
            <w:pPr>
              <w:pStyle w:val="Compact"/>
              <w:spacing w:line="240" w:lineRule="auto"/>
            </w:pPr>
            <w:r>
              <w:rPr>
                <w:color w:val="FF0000"/>
                <w:sz w:val="22"/>
              </w:rPr>
              <w:t xml:space="preserve">K1. CET1 monandligi, %</w:t>
            </w:r>
          </w:p>
        </w:tc>
        <w:tc>
          <w:tcPr>
            <w:tcW w:w="1758" w:type="dxa"/>
          </w:tcPr>
          <w:p w:rsidR="005603EC" w:rsidRDefault="00AB61AC">
            <w:pPr>
              <w:pStyle w:val="Compact"/>
              <w:spacing w:line="240" w:lineRule="auto"/>
              <w:jc w:val="center"/>
            </w:pPr>
            <w:r>
              <w:rPr>
                <w:color w:val="FF0000"/>
                <w:sz w:val="22"/>
              </w:rPr>
              <w:t xml:space="preserve">10,21 (3,88)</w:t>
            </w:r>
          </w:p>
        </w:tc>
        <w:tc>
          <w:tcPr>
            <w:tcW w:w="1758" w:type="dxa"/>
          </w:tcPr>
          <w:p w:rsidR="005603EC" w:rsidRDefault="00AB61AC">
            <w:pPr>
              <w:pStyle w:val="Compact"/>
              <w:spacing w:line="240" w:lineRule="auto"/>
              <w:jc w:val="center"/>
            </w:pPr>
            <w:r>
              <w:rPr>
                <w:color w:val="FF0000"/>
                <w:sz w:val="22"/>
              </w:rPr>
              <w:t xml:space="preserve">16,39 (4,00)</w:t>
            </w:r>
          </w:p>
        </w:tc>
        <w:tc>
          <w:tcPr>
            <w:tcW w:w="1758" w:type="dxa"/>
          </w:tcPr>
          <w:p w:rsidR="005603EC" w:rsidRDefault="00AB61AC">
            <w:pPr>
              <w:pStyle w:val="Compact"/>
              <w:spacing w:line="240" w:lineRule="auto"/>
              <w:jc w:val="center"/>
            </w:pPr>
            <w:r>
              <w:rPr>
                <w:color w:val="FF0000"/>
                <w:sz w:val="22"/>
              </w:rPr>
              <w:t xml:space="preserve">10,09 (3,83)</w:t>
            </w:r>
          </w:p>
        </w:tc>
      </w:tr>
      <w:tr w:rsidR="005603EC" w:rsidTr="005603EC">
        <w:trPr>
          <w:cantSplit/>
        </w:trPr>
        <w:tc>
          <w:tcPr>
            <w:tcW w:w="4082" w:type="dxa"/>
          </w:tcPr>
          <w:p w:rsidR="005603EC" w:rsidRDefault="00AB61AC">
            <w:pPr>
              <w:pStyle w:val="Compact"/>
              <w:spacing w:line="240" w:lineRule="auto"/>
            </w:pPr>
            <w:r>
              <w:rPr>
                <w:color w:val="FF0000"/>
                <w:sz w:val="22"/>
              </w:rPr>
              <w:t xml:space="preserve">K2. Regulyativ kapital monandligi, %</w:t>
            </w:r>
          </w:p>
        </w:tc>
        <w:tc>
          <w:tcPr>
            <w:tcW w:w="1758" w:type="dxa"/>
          </w:tcPr>
          <w:p w:rsidR="005603EC" w:rsidRDefault="00AB61AC">
            <w:pPr>
              <w:pStyle w:val="Compact"/>
              <w:spacing w:line="240" w:lineRule="auto"/>
              <w:jc w:val="center"/>
            </w:pPr>
            <w:r>
              <w:rPr>
                <w:color w:val="FF0000"/>
                <w:sz w:val="22"/>
              </w:rPr>
              <w:t xml:space="preserve">17,02 (4,00)</w:t>
            </w:r>
          </w:p>
        </w:tc>
        <w:tc>
          <w:tcPr>
            <w:tcW w:w="1758" w:type="dxa"/>
          </w:tcPr>
          <w:p w:rsidR="005603EC" w:rsidRDefault="00AB61AC">
            <w:pPr>
              <w:pStyle w:val="Compact"/>
              <w:spacing w:line="240" w:lineRule="auto"/>
              <w:jc w:val="center"/>
            </w:pPr>
            <w:r>
              <w:rPr>
                <w:color w:val="FF0000"/>
                <w:sz w:val="22"/>
              </w:rPr>
              <w:t xml:space="preserve">18,46 (4,00)</w:t>
            </w:r>
          </w:p>
        </w:tc>
        <w:tc>
          <w:tcPr>
            <w:tcW w:w="1758" w:type="dxa"/>
          </w:tcPr>
          <w:p w:rsidR="005603EC" w:rsidRDefault="00AB61AC">
            <w:pPr>
              <w:pStyle w:val="Compact"/>
              <w:spacing w:line="240" w:lineRule="auto"/>
              <w:jc w:val="center"/>
            </w:pPr>
            <w:r>
              <w:rPr>
                <w:color w:val="FF0000"/>
                <w:sz w:val="22"/>
              </w:rPr>
              <w:t xml:space="preserve">14,14 (3,45)</w:t>
            </w:r>
          </w:p>
        </w:tc>
      </w:tr>
      <w:tr w:rsidR="005603EC" w:rsidTr="005603EC">
        <w:trPr>
          <w:cantSplit/>
        </w:trPr>
        <w:tc>
          <w:tcPr>
            <w:tcW w:w="4082" w:type="dxa"/>
          </w:tcPr>
          <w:p w:rsidR="005603EC" w:rsidRDefault="00AB61AC">
            <w:pPr>
              <w:pStyle w:val="Compact"/>
              <w:spacing w:line="240" w:lineRule="auto"/>
            </w:pPr>
            <w:r>
              <w:rPr>
                <w:color w:val="FF0000"/>
                <w:sz w:val="22"/>
              </w:rPr>
              <w:t xml:space="preserve">K3. Kapital / aktivlar, %</w:t>
            </w:r>
          </w:p>
        </w:tc>
        <w:tc>
          <w:tcPr>
            <w:tcW w:w="1758" w:type="dxa"/>
          </w:tcPr>
          <w:p w:rsidR="005603EC" w:rsidRDefault="00AB61AC">
            <w:pPr>
              <w:pStyle w:val="Compact"/>
              <w:spacing w:line="240" w:lineRule="auto"/>
              <w:jc w:val="center"/>
            </w:pPr>
            <w:r>
              <w:rPr>
                <w:color w:val="FF0000"/>
                <w:sz w:val="22"/>
              </w:rPr>
              <w:t xml:space="preserve">11,6 (4,00)</w:t>
            </w:r>
          </w:p>
        </w:tc>
        <w:tc>
          <w:tcPr>
            <w:tcW w:w="1758" w:type="dxa"/>
          </w:tcPr>
          <w:p w:rsidR="005603EC" w:rsidRDefault="00AB61AC">
            <w:pPr>
              <w:pStyle w:val="Compact"/>
              <w:spacing w:line="240" w:lineRule="auto"/>
              <w:jc w:val="center"/>
            </w:pPr>
            <w:r>
              <w:rPr>
                <w:color w:val="FF0000"/>
                <w:sz w:val="22"/>
              </w:rPr>
              <w:t xml:space="preserve">18,7 (4,00)</w:t>
            </w:r>
          </w:p>
        </w:tc>
        <w:tc>
          <w:tcPr>
            <w:tcW w:w="1758" w:type="dxa"/>
          </w:tcPr>
          <w:p w:rsidR="005603EC" w:rsidRDefault="00AB61AC">
            <w:pPr>
              <w:pStyle w:val="Compact"/>
              <w:spacing w:line="240" w:lineRule="auto"/>
              <w:jc w:val="center"/>
            </w:pPr>
            <w:r>
              <w:rPr>
                <w:color w:val="FF0000"/>
                <w:sz w:val="22"/>
              </w:rPr>
              <w:t xml:space="preserve">12,2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A1. Muammoli kreditlar ulushi, %</w:t>
            </w:r>
          </w:p>
        </w:tc>
        <w:tc>
          <w:tcPr>
            <w:tcW w:w="1758" w:type="dxa"/>
          </w:tcPr>
          <w:p w:rsidR="005603EC" w:rsidRDefault="00AB61AC">
            <w:pPr>
              <w:pStyle w:val="Compact"/>
              <w:spacing w:line="240" w:lineRule="auto"/>
              <w:jc w:val="center"/>
            </w:pPr>
            <w:r>
              <w:rPr>
                <w:color w:val="FF0000"/>
                <w:sz w:val="22"/>
              </w:rPr>
              <w:t xml:space="preserve">2,5 (4,00)</w:t>
            </w:r>
          </w:p>
        </w:tc>
        <w:tc>
          <w:tcPr>
            <w:tcW w:w="1758" w:type="dxa"/>
          </w:tcPr>
          <w:p w:rsidR="005603EC" w:rsidRDefault="00AB61AC">
            <w:pPr>
              <w:pStyle w:val="Compact"/>
              <w:spacing w:line="240" w:lineRule="auto"/>
              <w:jc w:val="center"/>
            </w:pPr>
            <w:r>
              <w:rPr>
                <w:color w:val="FF0000"/>
                <w:sz w:val="22"/>
              </w:rPr>
              <w:t xml:space="preserve">4,4 (3,30)</w:t>
            </w:r>
          </w:p>
        </w:tc>
        <w:tc>
          <w:tcPr>
            <w:tcW w:w="1758" w:type="dxa"/>
          </w:tcPr>
          <w:p w:rsidR="005603EC" w:rsidRDefault="00AB61AC">
            <w:pPr>
              <w:pStyle w:val="Compact"/>
              <w:spacing w:line="240" w:lineRule="auto"/>
              <w:jc w:val="center"/>
            </w:pPr>
            <w:r>
              <w:rPr>
                <w:color w:val="FF0000"/>
                <w:sz w:val="22"/>
              </w:rPr>
              <w:t xml:space="preserve">2,5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A2. Substandart kreditlar ulushi, %</w:t>
            </w:r>
          </w:p>
        </w:tc>
        <w:tc>
          <w:tcPr>
            <w:tcW w:w="1758" w:type="dxa"/>
          </w:tcPr>
          <w:p w:rsidR="005603EC" w:rsidRDefault="00AB61AC">
            <w:pPr>
              <w:pStyle w:val="Compact"/>
              <w:spacing w:line="240" w:lineRule="auto"/>
              <w:jc w:val="center"/>
            </w:pPr>
            <w:r>
              <w:rPr>
                <w:color w:val="FF0000"/>
                <w:sz w:val="22"/>
              </w:rPr>
              <w:t xml:space="preserve">18,4 (2,66)</w:t>
            </w:r>
          </w:p>
        </w:tc>
        <w:tc>
          <w:tcPr>
            <w:tcW w:w="1758" w:type="dxa"/>
          </w:tcPr>
          <w:p w:rsidR="005603EC" w:rsidRDefault="00AB61AC">
            <w:pPr>
              <w:pStyle w:val="Compact"/>
              <w:spacing w:line="240" w:lineRule="auto"/>
              <w:jc w:val="center"/>
            </w:pPr>
            <w:r>
              <w:rPr>
                <w:color w:val="FF0000"/>
                <w:sz w:val="22"/>
              </w:rPr>
              <w:t xml:space="preserve">9,0 (4,00)</w:t>
            </w:r>
          </w:p>
        </w:tc>
        <w:tc>
          <w:tcPr>
            <w:tcW w:w="1758" w:type="dxa"/>
          </w:tcPr>
          <w:p w:rsidR="005603EC" w:rsidRDefault="00AB61AC">
            <w:pPr>
              <w:pStyle w:val="Compact"/>
              <w:spacing w:line="240" w:lineRule="auto"/>
              <w:jc w:val="center"/>
            </w:pPr>
            <w:r>
              <w:rPr>
                <w:color w:val="FF0000"/>
                <w:sz w:val="22"/>
              </w:rPr>
              <w:t xml:space="preserve">6,4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A3. Qoplanmagan muammoli kreditlar / kapital, %</w:t>
            </w:r>
          </w:p>
        </w:tc>
        <w:tc>
          <w:tcPr>
            <w:tcW w:w="1758" w:type="dxa"/>
          </w:tcPr>
          <w:p w:rsidR="005603EC" w:rsidRDefault="00AB61AC">
            <w:pPr>
              <w:pStyle w:val="Compact"/>
              <w:spacing w:line="240" w:lineRule="auto"/>
              <w:jc w:val="center"/>
            </w:pPr>
            <w:r>
              <w:rPr>
                <w:color w:val="FF0000"/>
                <w:sz w:val="22"/>
              </w:rPr>
              <w:t xml:space="preserve">−8,1 (4,00)</w:t>
            </w:r>
          </w:p>
        </w:tc>
        <w:tc>
          <w:tcPr>
            <w:tcW w:w="1758" w:type="dxa"/>
          </w:tcPr>
          <w:p w:rsidR="005603EC" w:rsidRDefault="00AB61AC">
            <w:pPr>
              <w:pStyle w:val="Compact"/>
              <w:spacing w:line="240" w:lineRule="auto"/>
              <w:jc w:val="center"/>
            </w:pPr>
            <w:r>
              <w:rPr>
                <w:color w:val="FF0000"/>
                <w:sz w:val="22"/>
              </w:rPr>
              <w:t xml:space="preserve">10,3 (2,97)</w:t>
            </w:r>
          </w:p>
        </w:tc>
        <w:tc>
          <w:tcPr>
            <w:tcW w:w="1758" w:type="dxa"/>
          </w:tcPr>
          <w:p w:rsidR="005603EC" w:rsidRDefault="00AB61AC">
            <w:pPr>
              <w:pStyle w:val="Compact"/>
              <w:spacing w:line="240" w:lineRule="auto"/>
              <w:jc w:val="center"/>
            </w:pPr>
            <w:r>
              <w:rPr>
                <w:color w:val="FF0000"/>
                <w:sz w:val="22"/>
              </w:rPr>
              <w:t xml:space="preserve">5,9 (3,41)</w:t>
            </w:r>
          </w:p>
        </w:tc>
      </w:tr>
      <w:tr w:rsidR="005603EC" w:rsidTr="005603EC">
        <w:trPr>
          <w:cantSplit/>
        </w:trPr>
        <w:tc>
          <w:tcPr>
            <w:tcW w:w="4082" w:type="dxa"/>
          </w:tcPr>
          <w:p w:rsidR="005603EC" w:rsidRDefault="00AB61AC">
            <w:pPr>
              <w:pStyle w:val="Compact"/>
              <w:spacing w:line="240" w:lineRule="auto"/>
            </w:pPr>
            <w:r>
              <w:rPr>
                <w:color w:val="FF0000"/>
                <w:sz w:val="22"/>
              </w:rPr>
              <w:t xml:space="preserve">L1. Yuqori likvid aktivlar / aktivlar, %</w:t>
            </w:r>
          </w:p>
        </w:tc>
        <w:tc>
          <w:tcPr>
            <w:tcW w:w="1758" w:type="dxa"/>
          </w:tcPr>
          <w:p w:rsidR="005603EC" w:rsidRDefault="00AB61AC">
            <w:pPr>
              <w:pStyle w:val="Compact"/>
              <w:spacing w:line="240" w:lineRule="auto"/>
              <w:jc w:val="center"/>
            </w:pPr>
            <w:r>
              <w:rPr>
                <w:color w:val="FF0000"/>
                <w:sz w:val="22"/>
              </w:rPr>
              <w:t xml:space="preserve">18,3 (3,66)</w:t>
            </w:r>
          </w:p>
        </w:tc>
        <w:tc>
          <w:tcPr>
            <w:tcW w:w="1758" w:type="dxa"/>
          </w:tcPr>
          <w:p w:rsidR="005603EC" w:rsidRDefault="00AB61AC">
            <w:pPr>
              <w:pStyle w:val="Compact"/>
              <w:spacing w:line="240" w:lineRule="auto"/>
              <w:jc w:val="center"/>
            </w:pPr>
            <w:r>
              <w:rPr>
                <w:color w:val="FF0000"/>
                <w:sz w:val="22"/>
              </w:rPr>
              <w:t xml:space="preserve">15,5 (3,09)</w:t>
            </w:r>
          </w:p>
        </w:tc>
        <w:tc>
          <w:tcPr>
            <w:tcW w:w="1758" w:type="dxa"/>
          </w:tcPr>
          <w:p w:rsidR="005603EC" w:rsidRDefault="00AB61AC">
            <w:pPr>
              <w:pStyle w:val="Compact"/>
              <w:spacing w:line="240" w:lineRule="auto"/>
              <w:jc w:val="center"/>
            </w:pPr>
            <w:r>
              <w:rPr>
                <w:color w:val="FF0000"/>
                <w:sz w:val="22"/>
              </w:rPr>
              <w:t xml:space="preserve">12,7 (2,54)</w:t>
            </w:r>
          </w:p>
        </w:tc>
      </w:tr>
      <w:tr w:rsidR="005603EC" w:rsidTr="005603EC">
        <w:trPr>
          <w:cantSplit/>
        </w:trPr>
        <w:tc>
          <w:tcPr>
            <w:tcW w:w="4082" w:type="dxa"/>
          </w:tcPr>
          <w:p w:rsidR="005603EC" w:rsidRDefault="00AB61AC">
            <w:pPr>
              <w:pStyle w:val="Compact"/>
              <w:spacing w:line="240" w:lineRule="auto"/>
            </w:pPr>
            <w:r>
              <w:rPr>
                <w:color w:val="FF0000"/>
                <w:sz w:val="22"/>
              </w:rPr>
              <w:t xml:space="preserve">L2. Kreditlar / depozitlar, %</w:t>
            </w:r>
          </w:p>
        </w:tc>
        <w:tc>
          <w:tcPr>
            <w:tcW w:w="1758" w:type="dxa"/>
          </w:tcPr>
          <w:p w:rsidR="005603EC" w:rsidRDefault="00AB61AC">
            <w:pPr>
              <w:pStyle w:val="Compact"/>
              <w:spacing w:line="240" w:lineRule="auto"/>
              <w:jc w:val="center"/>
            </w:pPr>
            <w:r>
              <w:rPr>
                <w:color w:val="FF0000"/>
                <w:sz w:val="22"/>
              </w:rPr>
              <w:t xml:space="preserve">206,5 (1,00)</w:t>
            </w:r>
          </w:p>
        </w:tc>
        <w:tc>
          <w:tcPr>
            <w:tcW w:w="1758" w:type="dxa"/>
          </w:tcPr>
          <w:p w:rsidR="005603EC" w:rsidRDefault="00AB61AC">
            <w:pPr>
              <w:pStyle w:val="Compact"/>
              <w:spacing w:line="240" w:lineRule="auto"/>
              <w:jc w:val="center"/>
            </w:pPr>
            <w:r>
              <w:rPr>
                <w:color w:val="FF0000"/>
                <w:sz w:val="22"/>
              </w:rPr>
              <w:t xml:space="preserve">208,5 (1,00)</w:t>
            </w:r>
          </w:p>
        </w:tc>
        <w:tc>
          <w:tcPr>
            <w:tcW w:w="1758" w:type="dxa"/>
          </w:tcPr>
          <w:p w:rsidR="005603EC" w:rsidRDefault="00AB61AC">
            <w:pPr>
              <w:pStyle w:val="Compact"/>
              <w:spacing w:line="240" w:lineRule="auto"/>
              <w:jc w:val="center"/>
            </w:pPr>
            <w:r>
              <w:rPr>
                <w:color w:val="FF0000"/>
                <w:sz w:val="22"/>
              </w:rPr>
              <w:t xml:space="preserve">121,1 (2,58)</w:t>
            </w:r>
          </w:p>
        </w:tc>
      </w:tr>
      <w:tr w:rsidR="005603EC" w:rsidTr="005603EC">
        <w:trPr>
          <w:cantSplit/>
        </w:trPr>
        <w:tc>
          <w:tcPr>
            <w:tcW w:w="4082" w:type="dxa"/>
          </w:tcPr>
          <w:p w:rsidR="005603EC" w:rsidRDefault="00AB61AC">
            <w:pPr>
              <w:pStyle w:val="Compact"/>
              <w:spacing w:line="240" w:lineRule="auto"/>
            </w:pPr>
            <w:r>
              <w:rPr>
                <w:color w:val="FF0000"/>
                <w:sz w:val="22"/>
              </w:rPr>
              <w:t xml:space="preserve">D1. ROA, %</w:t>
            </w:r>
          </w:p>
        </w:tc>
        <w:tc>
          <w:tcPr>
            <w:tcW w:w="1758" w:type="dxa"/>
          </w:tcPr>
          <w:p w:rsidR="005603EC" w:rsidRDefault="00AB61AC">
            <w:pPr>
              <w:pStyle w:val="Compact"/>
              <w:spacing w:line="240" w:lineRule="auto"/>
              <w:jc w:val="center"/>
            </w:pPr>
            <w:r>
              <w:rPr>
                <w:color w:val="FF0000"/>
                <w:sz w:val="22"/>
              </w:rPr>
              <w:t xml:space="preserve">2,0 (3,96)</w:t>
            </w:r>
          </w:p>
        </w:tc>
        <w:tc>
          <w:tcPr>
            <w:tcW w:w="1758" w:type="dxa"/>
          </w:tcPr>
          <w:p w:rsidR="005603EC" w:rsidRDefault="00AB61AC">
            <w:pPr>
              <w:pStyle w:val="Compact"/>
              <w:spacing w:line="240" w:lineRule="auto"/>
              <w:jc w:val="center"/>
            </w:pPr>
            <w:r>
              <w:rPr>
                <w:color w:val="FF0000"/>
                <w:sz w:val="22"/>
              </w:rPr>
              <w:t xml:space="preserve">0,6 (1,85)</w:t>
            </w:r>
          </w:p>
        </w:tc>
        <w:tc>
          <w:tcPr>
            <w:tcW w:w="1758" w:type="dxa"/>
          </w:tcPr>
          <w:p w:rsidR="005603EC" w:rsidRDefault="00AB61AC">
            <w:pPr>
              <w:pStyle w:val="Compact"/>
              <w:spacing w:line="240" w:lineRule="auto"/>
              <w:jc w:val="center"/>
            </w:pPr>
            <w:r>
              <w:rPr>
                <w:color w:val="FF0000"/>
                <w:sz w:val="22"/>
              </w:rPr>
              <w:t xml:space="preserve">0,9 (2,31)</w:t>
            </w:r>
          </w:p>
        </w:tc>
      </w:tr>
      <w:tr w:rsidR="005603EC" w:rsidTr="005603EC">
        <w:trPr>
          <w:cantSplit/>
        </w:trPr>
        <w:tc>
          <w:tcPr>
            <w:tcW w:w="4082" w:type="dxa"/>
          </w:tcPr>
          <w:p w:rsidR="005603EC" w:rsidRDefault="00AB61AC">
            <w:pPr>
              <w:pStyle w:val="Compact"/>
              <w:spacing w:line="240" w:lineRule="auto"/>
            </w:pPr>
            <w:r>
              <w:rPr>
                <w:color w:val="FF0000"/>
                <w:sz w:val="22"/>
              </w:rPr>
              <w:t xml:space="preserve">D2. ROE, %</w:t>
            </w:r>
          </w:p>
        </w:tc>
        <w:tc>
          <w:tcPr>
            <w:tcW w:w="1758" w:type="dxa"/>
          </w:tcPr>
          <w:p w:rsidR="005603EC" w:rsidRDefault="00AB61AC">
            <w:pPr>
              <w:pStyle w:val="Compact"/>
              <w:spacing w:line="240" w:lineRule="auto"/>
              <w:jc w:val="center"/>
            </w:pPr>
            <w:r>
              <w:rPr>
                <w:color w:val="FF0000"/>
                <w:sz w:val="22"/>
              </w:rPr>
              <w:t xml:space="preserve">17,2 (4,00)</w:t>
            </w:r>
          </w:p>
        </w:tc>
        <w:tc>
          <w:tcPr>
            <w:tcW w:w="1758" w:type="dxa"/>
          </w:tcPr>
          <w:p w:rsidR="005603EC" w:rsidRDefault="00AB61AC">
            <w:pPr>
              <w:pStyle w:val="Compact"/>
              <w:spacing w:line="240" w:lineRule="auto"/>
              <w:jc w:val="center"/>
            </w:pPr>
            <w:r>
              <w:rPr>
                <w:color w:val="FF0000"/>
                <w:sz w:val="22"/>
              </w:rPr>
              <w:t xml:space="preserve">3,5 (1,69)</w:t>
            </w:r>
          </w:p>
        </w:tc>
        <w:tc>
          <w:tcPr>
            <w:tcW w:w="1758" w:type="dxa"/>
          </w:tcPr>
          <w:p w:rsidR="005603EC" w:rsidRDefault="00AB61AC">
            <w:pPr>
              <w:pStyle w:val="Compact"/>
              <w:spacing w:line="240" w:lineRule="auto"/>
              <w:jc w:val="center"/>
            </w:pPr>
            <w:r>
              <w:rPr>
                <w:color w:val="FF0000"/>
                <w:sz w:val="22"/>
              </w:rPr>
              <w:t xml:space="preserve">7,3 (2,45)</w:t>
            </w:r>
          </w:p>
        </w:tc>
      </w:tr>
      <w:tr w:rsidR="005603EC" w:rsidTr="005603EC">
        <w:trPr>
          <w:cantSplit/>
        </w:trPr>
        <w:tc>
          <w:tcPr>
            <w:tcW w:w="4082" w:type="dxa"/>
          </w:tcPr>
          <w:p w:rsidR="005603EC" w:rsidRDefault="00AB61AC">
            <w:pPr>
              <w:pStyle w:val="Compact"/>
              <w:spacing w:line="240" w:lineRule="auto"/>
            </w:pPr>
            <w:r>
              <w:rPr>
                <w:color w:val="FF0000"/>
                <w:sz w:val="22"/>
              </w:rPr>
              <w:t xml:space="preserve">D3. Xarajatlar / daromadlar, %</w:t>
            </w:r>
          </w:p>
        </w:tc>
        <w:tc>
          <w:tcPr>
            <w:tcW w:w="1758" w:type="dxa"/>
          </w:tcPr>
          <w:p w:rsidR="005603EC" w:rsidRDefault="00AB61AC">
            <w:pPr>
              <w:pStyle w:val="Compact"/>
              <w:spacing w:line="240" w:lineRule="auto"/>
              <w:jc w:val="center"/>
            </w:pPr>
            <w:r>
              <w:rPr>
                <w:color w:val="FF0000"/>
                <w:sz w:val="22"/>
              </w:rPr>
              <w:t xml:space="preserve">36,5 (4,00)</w:t>
            </w:r>
          </w:p>
        </w:tc>
        <w:tc>
          <w:tcPr>
            <w:tcW w:w="1758" w:type="dxa"/>
          </w:tcPr>
          <w:p w:rsidR="005603EC" w:rsidRDefault="00AB61AC">
            <w:pPr>
              <w:pStyle w:val="Compact"/>
              <w:spacing w:line="240" w:lineRule="auto"/>
              <w:jc w:val="center"/>
            </w:pPr>
            <w:r>
              <w:rPr>
                <w:color w:val="FF0000"/>
                <w:sz w:val="22"/>
              </w:rPr>
              <w:t xml:space="preserve">65,5 (2,72)</w:t>
            </w:r>
          </w:p>
        </w:tc>
        <w:tc>
          <w:tcPr>
            <w:tcW w:w="1758" w:type="dxa"/>
          </w:tcPr>
          <w:p w:rsidR="005603EC" w:rsidRDefault="00AB61AC">
            <w:pPr>
              <w:pStyle w:val="Compact"/>
              <w:spacing w:line="240" w:lineRule="auto"/>
              <w:jc w:val="center"/>
            </w:pPr>
            <w:r>
              <w:rPr>
                <w:color w:val="FF0000"/>
                <w:sz w:val="22"/>
              </w:rPr>
              <w:t xml:space="preserve">82,2 (1,89)</w:t>
            </w:r>
          </w:p>
        </w:tc>
      </w:tr>
      <w:tr w:rsidR="005603EC" w:rsidTr="005603EC">
        <w:trPr>
          <w:cantSplit/>
        </w:trPr>
        <w:tc>
          <w:tcPr>
            <w:tcW w:w="4082" w:type="dxa"/>
          </w:tcPr>
          <w:p w:rsidR="005603EC" w:rsidRDefault="00AB61AC">
            <w:pPr>
              <w:pStyle w:val="Compact"/>
              <w:spacing w:line="240" w:lineRule="auto"/>
            </w:pPr>
            <w:r>
              <w:rPr>
                <w:color w:val="FF0000"/>
                <w:sz w:val="22"/>
              </w:rPr>
              <w:t xml:space="preserve">V1. Xorijiy valyutadagi kreditlar, %</w:t>
            </w:r>
          </w:p>
        </w:tc>
        <w:tc>
          <w:tcPr>
            <w:tcW w:w="1758" w:type="dxa"/>
          </w:tcPr>
          <w:p w:rsidR="005603EC" w:rsidRDefault="00AB61AC">
            <w:pPr>
              <w:pStyle w:val="Compact"/>
              <w:spacing w:line="240" w:lineRule="auto"/>
              <w:jc w:val="center"/>
            </w:pPr>
            <w:r>
              <w:rPr>
                <w:color w:val="FF0000"/>
                <w:sz w:val="22"/>
              </w:rPr>
              <w:t xml:space="preserve">60,1 (1,33)</w:t>
            </w:r>
          </w:p>
        </w:tc>
        <w:tc>
          <w:tcPr>
            <w:tcW w:w="1758" w:type="dxa"/>
          </w:tcPr>
          <w:p w:rsidR="005603EC" w:rsidRDefault="00AB61AC">
            <w:pPr>
              <w:pStyle w:val="Compact"/>
              <w:spacing w:line="240" w:lineRule="auto"/>
              <w:jc w:val="center"/>
            </w:pPr>
            <w:r>
              <w:rPr>
                <w:color w:val="FF0000"/>
                <w:sz w:val="22"/>
              </w:rPr>
              <w:t xml:space="preserve">18,4 (4,00)</w:t>
            </w:r>
          </w:p>
        </w:tc>
        <w:tc>
          <w:tcPr>
            <w:tcW w:w="1758" w:type="dxa"/>
          </w:tcPr>
          <w:p w:rsidR="005603EC" w:rsidRDefault="00AB61AC">
            <w:pPr>
              <w:pStyle w:val="Compact"/>
              <w:spacing w:line="240" w:lineRule="auto"/>
              <w:jc w:val="center"/>
            </w:pPr>
            <w:r>
              <w:rPr>
                <w:color w:val="FF0000"/>
                <w:sz w:val="22"/>
              </w:rPr>
              <w:t xml:space="preserve">37,0 (2,87)</w:t>
            </w:r>
          </w:p>
        </w:tc>
      </w:tr>
      <w:tr w:rsidR="005603EC" w:rsidTr="005603EC">
        <w:trPr>
          <w:cantSplit/>
        </w:trPr>
        <w:tc>
          <w:tcPr>
            <w:tcW w:w="4082" w:type="dxa"/>
          </w:tcPr>
          <w:p w:rsidR="005603EC" w:rsidRDefault="00AB61AC">
            <w:pPr>
              <w:pStyle w:val="Compact"/>
              <w:spacing w:line="240" w:lineRule="auto"/>
            </w:pPr>
            <w:r>
              <w:rPr>
                <w:color w:val="FF0000"/>
                <w:sz w:val="22"/>
              </w:rPr>
              <w:t xml:space="preserve">V2. Xorijiy valyutadagi majburiyatlar, %</w:t>
            </w:r>
          </w:p>
        </w:tc>
        <w:tc>
          <w:tcPr>
            <w:tcW w:w="1758" w:type="dxa"/>
          </w:tcPr>
          <w:p w:rsidR="005603EC" w:rsidRDefault="00AB61AC">
            <w:pPr>
              <w:pStyle w:val="Compact"/>
              <w:spacing w:line="240" w:lineRule="auto"/>
              <w:jc w:val="center"/>
            </w:pPr>
            <w:r>
              <w:rPr>
                <w:color w:val="FF0000"/>
                <w:sz w:val="22"/>
              </w:rPr>
              <w:t xml:space="preserve">60,9 (1,61)</w:t>
            </w:r>
          </w:p>
        </w:tc>
        <w:tc>
          <w:tcPr>
            <w:tcW w:w="1758" w:type="dxa"/>
          </w:tcPr>
          <w:p w:rsidR="005603EC" w:rsidRDefault="00AB61AC">
            <w:pPr>
              <w:pStyle w:val="Compact"/>
              <w:spacing w:line="240" w:lineRule="auto"/>
              <w:jc w:val="center"/>
            </w:pPr>
            <w:r>
              <w:rPr>
                <w:color w:val="FF0000"/>
                <w:sz w:val="22"/>
              </w:rPr>
              <w:t xml:space="preserve">31,4 (3,57)</w:t>
            </w:r>
          </w:p>
        </w:tc>
        <w:tc>
          <w:tcPr>
            <w:tcW w:w="1758" w:type="dxa"/>
          </w:tcPr>
          <w:p w:rsidR="005603EC" w:rsidRDefault="00AB61AC">
            <w:pPr>
              <w:pStyle w:val="Compact"/>
              <w:spacing w:line="240" w:lineRule="auto"/>
              <w:jc w:val="center"/>
            </w:pPr>
            <w:r>
              <w:rPr>
                <w:color w:val="FF0000"/>
                <w:sz w:val="22"/>
              </w:rPr>
              <w:t xml:space="preserve">31,6 (3,56)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Kapital yetarliligi bloki</w:t>
            </w:r>
          </w:p>
        </w:tc>
        <w:tc>
          <w:tcPr>
            <w:tcW w:w="1758" w:type="dxa"/>
          </w:tcPr>
          <w:p w:rsidR="005603EC" w:rsidRDefault="00AB61AC">
            <w:pPr>
              <w:pStyle w:val="Compact"/>
              <w:spacing w:line="240" w:lineRule="auto"/>
              <w:jc w:val="center"/>
            </w:pPr>
            <w:r>
              <w:rPr>
                <w:b/>
                <w:bCs/>
                <w:color w:val="FF0000"/>
                <w:sz w:val="22"/>
              </w:rPr>
              <w:t xml:space="preserve">3,96</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3,76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Aktivlar sifati bloki</w:t>
            </w:r>
          </w:p>
        </w:tc>
        <w:tc>
          <w:tcPr>
            <w:tcW w:w="1758" w:type="dxa"/>
          </w:tcPr>
          <w:p w:rsidR="005603EC" w:rsidRDefault="00AB61AC">
            <w:pPr>
              <w:pStyle w:val="Compact"/>
              <w:spacing w:line="240" w:lineRule="auto"/>
              <w:jc w:val="center"/>
            </w:pPr>
            <w:r>
              <w:rPr>
                <w:b/>
                <w:bCs/>
                <w:color w:val="FF0000"/>
                <w:sz w:val="22"/>
              </w:rPr>
              <w:t xml:space="preserve">3,55</w:t>
            </w:r>
          </w:p>
        </w:tc>
        <w:tc>
          <w:tcPr>
            <w:tcW w:w="1758" w:type="dxa"/>
          </w:tcPr>
          <w:p w:rsidR="005603EC" w:rsidRDefault="00AB61AC">
            <w:pPr>
              <w:pStyle w:val="Compact"/>
              <w:spacing w:line="240" w:lineRule="auto"/>
              <w:jc w:val="center"/>
            </w:pPr>
            <w:r>
              <w:rPr>
                <w:b/>
                <w:bCs/>
                <w:color w:val="FF0000"/>
                <w:sz w:val="22"/>
              </w:rPr>
              <w:t xml:space="preserve">3,42</w:t>
            </w:r>
          </w:p>
        </w:tc>
        <w:tc>
          <w:tcPr>
            <w:tcW w:w="1758" w:type="dxa"/>
          </w:tcPr>
          <w:p w:rsidR="005603EC" w:rsidRDefault="00AB61AC">
            <w:pPr>
              <w:pStyle w:val="Compact"/>
              <w:spacing w:line="240" w:lineRule="auto"/>
              <w:jc w:val="center"/>
            </w:pPr>
            <w:r>
              <w:rPr>
                <w:b/>
                <w:bCs/>
                <w:color w:val="FF0000"/>
                <w:sz w:val="22"/>
              </w:rPr>
              <w:t xml:space="preserve">3,80</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Likvidlik bloki</w:t>
            </w:r>
          </w:p>
        </w:tc>
        <w:tc>
          <w:tcPr>
            <w:tcW w:w="1758" w:type="dxa"/>
          </w:tcPr>
          <w:p w:rsidR="005603EC" w:rsidRDefault="00AB61AC">
            <w:pPr>
              <w:pStyle w:val="Compact"/>
              <w:spacing w:line="240" w:lineRule="auto"/>
              <w:jc w:val="center"/>
            </w:pPr>
            <w:r>
              <w:rPr>
                <w:b/>
                <w:bCs/>
                <w:color w:val="FF0000"/>
                <w:sz w:val="22"/>
              </w:rPr>
              <w:t xml:space="preserve">2,33</w:t>
            </w:r>
          </w:p>
        </w:tc>
        <w:tc>
          <w:tcPr>
            <w:tcW w:w="1758" w:type="dxa"/>
          </w:tcPr>
          <w:p w:rsidR="005603EC" w:rsidRDefault="00AB61AC">
            <w:pPr>
              <w:pStyle w:val="Compact"/>
              <w:spacing w:line="240" w:lineRule="auto"/>
              <w:jc w:val="center"/>
            </w:pPr>
            <w:r>
              <w:rPr>
                <w:b/>
                <w:bCs/>
                <w:color w:val="FF0000"/>
                <w:sz w:val="22"/>
              </w:rPr>
              <w:t xml:space="preserve">2,05</w:t>
            </w:r>
          </w:p>
        </w:tc>
        <w:tc>
          <w:tcPr>
            <w:tcW w:w="1758" w:type="dxa"/>
          </w:tcPr>
          <w:p w:rsidR="005603EC" w:rsidRDefault="00AB61AC">
            <w:pPr>
              <w:pStyle w:val="Compact"/>
              <w:spacing w:line="240" w:lineRule="auto"/>
              <w:jc w:val="center"/>
            </w:pPr>
            <w:r>
              <w:rPr>
                <w:b/>
                <w:bCs/>
                <w:color w:val="FF0000"/>
                <w:sz w:val="22"/>
              </w:rPr>
              <w:t xml:space="preserve">2,56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Daromadlilik bloki</w:t>
            </w:r>
          </w:p>
        </w:tc>
        <w:tc>
          <w:tcPr>
            <w:tcW w:w="1758" w:type="dxa"/>
          </w:tcPr>
          <w:p w:rsidR="005603EC" w:rsidRDefault="00AB61AC">
            <w:pPr>
              <w:pStyle w:val="Compact"/>
              <w:spacing w:line="240" w:lineRule="auto"/>
              <w:jc w:val="center"/>
            </w:pPr>
            <w:r>
              <w:rPr>
                <w:b/>
                <w:bCs/>
                <w:color w:val="FF0000"/>
                <w:sz w:val="22"/>
              </w:rPr>
              <w:t xml:space="preserve">3,99</w:t>
            </w:r>
          </w:p>
        </w:tc>
        <w:tc>
          <w:tcPr>
            <w:tcW w:w="1758" w:type="dxa"/>
          </w:tcPr>
          <w:p w:rsidR="005603EC" w:rsidRDefault="00AB61AC">
            <w:pPr>
              <w:pStyle w:val="Compact"/>
              <w:spacing w:line="240" w:lineRule="auto"/>
              <w:jc w:val="center"/>
            </w:pPr>
            <w:r>
              <w:rPr>
                <w:b/>
                <w:bCs/>
                <w:color w:val="FF0000"/>
                <w:sz w:val="22"/>
              </w:rPr>
              <w:t xml:space="preserve">2,09</w:t>
            </w:r>
          </w:p>
        </w:tc>
        <w:tc>
          <w:tcPr>
            <w:tcW w:w="1758" w:type="dxa"/>
          </w:tcPr>
          <w:p w:rsidR="005603EC" w:rsidRDefault="00AB61AC">
            <w:pPr>
              <w:pStyle w:val="Compact"/>
              <w:spacing w:line="240" w:lineRule="auto"/>
              <w:jc w:val="center"/>
            </w:pPr>
            <w:r>
              <w:rPr>
                <w:b/>
                <w:bCs/>
                <w:color w:val="FF0000"/>
                <w:sz w:val="22"/>
              </w:rPr>
              <w:t xml:space="preserve">2,22</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Valyuta riskiga sezgirlik bloki</w:t>
            </w:r>
          </w:p>
        </w:tc>
        <w:tc>
          <w:tcPr>
            <w:tcW w:w="1758" w:type="dxa"/>
          </w:tcPr>
          <w:p w:rsidR="005603EC" w:rsidRDefault="00AB61AC">
            <w:pPr>
              <w:pStyle w:val="Compact"/>
              <w:spacing w:line="240" w:lineRule="auto"/>
              <w:jc w:val="center"/>
            </w:pPr>
            <w:r>
              <w:rPr>
                <w:b/>
                <w:bCs/>
                <w:color w:val="FF0000"/>
                <w:sz w:val="22"/>
              </w:rPr>
              <w:t xml:space="preserve">1,47</w:t>
            </w:r>
          </w:p>
        </w:tc>
        <w:tc>
          <w:tcPr>
            <w:tcW w:w="1758" w:type="dxa"/>
          </w:tcPr>
          <w:p w:rsidR="005603EC" w:rsidRDefault="00AB61AC">
            <w:pPr>
              <w:pStyle w:val="Compact"/>
              <w:spacing w:line="240" w:lineRule="auto"/>
              <w:jc w:val="center"/>
            </w:pPr>
            <w:r>
              <w:rPr>
                <w:b/>
                <w:bCs/>
                <w:color w:val="FF0000"/>
                <w:sz w:val="22"/>
              </w:rPr>
              <w:t xml:space="preserve">3,79</w:t>
            </w:r>
          </w:p>
        </w:tc>
        <w:tc>
          <w:tcPr>
            <w:tcW w:w="1758" w:type="dxa"/>
          </w:tcPr>
          <w:p w:rsidR="005603EC" w:rsidRDefault="00AB61AC">
            <w:pPr>
              <w:pStyle w:val="Compact"/>
              <w:spacing w:line="240" w:lineRule="auto"/>
              <w:jc w:val="center"/>
            </w:pPr>
            <w:r>
              <w:rPr>
                <w:b/>
                <w:bCs/>
                <w:color w:val="FF0000"/>
                <w:sz w:val="22"/>
              </w:rPr>
              <w:t xml:space="preserve">3,21</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MBII</w:t>
            </w:r>
          </w:p>
        </w:tc>
        <w:tc>
          <w:tcPr>
            <w:tcW w:w="1758" w:type="dxa"/>
          </w:tcPr>
          <w:p w:rsidR="005603EC" w:rsidRDefault="00AB61AC">
            <w:pPr>
              <w:pStyle w:val="Compact"/>
              <w:spacing w:line="240" w:lineRule="auto"/>
              <w:jc w:val="center"/>
            </w:pPr>
            <w:r>
              <w:rPr>
                <w:b/>
                <w:bCs/>
                <w:color w:val="FF0000"/>
                <w:sz w:val="22"/>
              </w:rPr>
              <w:t xml:space="preserve">3,27</w:t>
            </w:r>
          </w:p>
        </w:tc>
        <w:tc>
          <w:tcPr>
            <w:tcW w:w="1758" w:type="dxa"/>
          </w:tcPr>
          <w:p w:rsidR="005603EC" w:rsidRDefault="00AB61AC">
            <w:pPr>
              <w:pStyle w:val="Compact"/>
              <w:spacing w:line="240" w:lineRule="auto"/>
              <w:jc w:val="center"/>
            </w:pPr>
            <w:r>
              <w:rPr>
                <w:b/>
                <w:bCs/>
                <w:color w:val="FF0000"/>
                <w:sz w:val="22"/>
              </w:rPr>
              <w:t xml:space="preserve">3,13</w:t>
            </w:r>
          </w:p>
        </w:tc>
        <w:tc>
          <w:tcPr>
            <w:tcW w:w="1758" w:type="dxa"/>
          </w:tcPr>
          <w:p w:rsidR="005603EC" w:rsidRDefault="00AB61AC">
            <w:pPr>
              <w:pStyle w:val="Compact"/>
              <w:spacing w:line="240" w:lineRule="auto"/>
              <w:jc w:val="center"/>
            </w:pPr>
            <w:r>
              <w:rPr>
                <w:b/>
                <w:bCs/>
                <w:color w:val="FF0000"/>
                <w:sz w:val="22"/>
              </w:rPr>
              <w:t xml:space="preserve">3,248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Barqarorlik sinfi</w:t>
            </w:r>
          </w:p>
        </w:tc>
        <w:tc>
          <w:tcPr>
            <w:tcW w:w="1758" w:type="dxa"/>
          </w:tcPr>
          <w:p w:rsidR="005603EC" w:rsidRDefault="00AB61AC">
            <w:pPr>
              <w:pStyle w:val="Compact"/>
              <w:spacing w:line="240" w:lineRule="auto"/>
              <w:jc w:val="center"/>
            </w:pPr>
            <w:r>
              <w:rPr>
                <w:b/>
                <w:bCs/>
                <w:color w:val="FF0000"/>
                <w:sz w:val="22"/>
              </w:rPr>
              <w:t xml:space="preserve">I</w:t>
            </w:r>
          </w:p>
        </w:tc>
        <w:tc>
          <w:tcPr>
            <w:tcW w:w="1758" w:type="dxa"/>
          </w:tcPr>
          <w:p w:rsidR="005603EC" w:rsidRDefault="00AB61AC">
            <w:pPr>
              <w:pStyle w:val="Compact"/>
              <w:spacing w:line="240" w:lineRule="auto"/>
              <w:jc w:val="center"/>
            </w:pPr>
            <w:r>
              <w:rPr>
                <w:b/>
                <w:bCs/>
                <w:color w:val="FF0000"/>
                <w:sz w:val="22"/>
              </w:rPr>
              <w:t xml:space="preserve">II</w:t>
            </w:r>
          </w:p>
        </w:tc>
        <w:tc>
          <w:tcPr>
            <w:tcW w:w="1758" w:type="dxa"/>
          </w:tcPr>
          <w:p w:rsidR="005603EC" w:rsidRDefault="00AB61AC">
            <w:pPr>
              <w:pStyle w:val="Compact"/>
              <w:spacing w:line="240" w:lineRule="auto"/>
              <w:jc w:val="center"/>
            </w:pPr>
            <w:r>
              <w:rPr>
                <w:b/>
                <w:bCs/>
                <w:color w:val="FF0000"/>
                <w:sz w:val="22"/>
              </w:rPr>
              <w:t xml:space="preserve">II</w:t>
            </w:r>
          </w:p>
        </w:tc>
      </w:tr>
    </w:tbl>
    <w:p w:rsidR="005603EC" w:rsidRDefault="00AB61AC">
      <w:pPr>
        <w:pStyle w:val="af"/>
        <w:spacing w:after="0" w:line="360" w:lineRule="auto"/>
        <w:ind w:firstLine="709"/>
        <w:jc w:val="both"/>
      </w:pPr>
      <w:r>
        <w:rPr>
          <w:i/>
          <w:iCs/>
          <w:color w:val="FF0000"/>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Milliy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color w:val="FF0000"/>
        </w:rPr>
        <w:t xml:space="preserve">3.1.6-jadval</w:t>
      </w:r>
    </w:p>
    <w:p w:rsidR="005603EC" w:rsidRDefault="00AB61AC">
      <w:pPr>
        <w:pStyle w:val="af"/>
        <w:keepNext/>
        <w:spacing w:line="240" w:lineRule="auto"/>
        <w:jc w:val="center"/>
      </w:pPr>
      <w:r>
        <w:rPr>
          <w:b/>
          <w:bCs/>
          <w:color w:val="FF0000"/>
        </w:rPr>
        <w:t xml:space="preserve">Uch bank bo‘yicha integral indeks ko‘rsatkichlari va ballari: MHXS hisobotlari, 2025-yil yakuni</w:t>
      </w:r>
      <w:r>
        <w:rPr>
          <w:rStyle w:val="aff8"/>
          <w:color w:val="FF0000"/>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color w:val="FF0000"/>
                <w:sz w:val="22"/>
              </w:rPr>
              <w:t xml:space="preserve">Ko‘rsatkich</w:t>
            </w:r>
          </w:p>
        </w:tc>
        <w:tc>
          <w:tcPr>
            <w:tcW w:w="1758" w:type="dxa"/>
            <w:shd w:val="clear" w:color="auto" w:fill="DEEBF7"/>
          </w:tcPr>
          <w:p w:rsidR="005603EC" w:rsidRDefault="00AB61AC">
            <w:pPr>
              <w:pStyle w:val="Compact"/>
              <w:spacing w:line="240" w:lineRule="auto"/>
              <w:jc w:val="center"/>
            </w:pPr>
            <w:r>
              <w:rPr>
                <w:b/>
                <w:color w:val="FF0000"/>
                <w:sz w:val="22"/>
              </w:rPr>
              <w:t xml:space="preserve">SQB</w:t>
            </w:r>
          </w:p>
        </w:tc>
        <w:tc>
          <w:tcPr>
            <w:tcW w:w="1758" w:type="dxa"/>
            <w:shd w:val="clear" w:color="auto" w:fill="DEEBF7"/>
          </w:tcPr>
          <w:p w:rsidR="005603EC" w:rsidRDefault="00AB61AC">
            <w:pPr>
              <w:pStyle w:val="Compact"/>
              <w:spacing w:line="240" w:lineRule="auto"/>
              <w:jc w:val="center"/>
            </w:pPr>
            <w:r>
              <w:rPr>
                <w:b/>
                <w:color w:val="FF0000"/>
                <w:sz w:val="22"/>
              </w:rPr>
              <w:t xml:space="preserve">MKB</w:t>
            </w:r>
          </w:p>
        </w:tc>
        <w:tc>
          <w:tcPr>
            <w:tcW w:w="1758" w:type="dxa"/>
            <w:shd w:val="clear" w:color="auto" w:fill="DEEBF7"/>
          </w:tcPr>
          <w:p w:rsidR="005603EC" w:rsidRDefault="00AB61AC">
            <w:pPr>
              <w:pStyle w:val="Compact"/>
              <w:spacing w:line="240" w:lineRule="auto"/>
              <w:jc w:val="center"/>
            </w:pPr>
            <w:r>
              <w:rPr>
                <w:b/>
                <w:color w:val="FF0000"/>
                <w:sz w:val="22"/>
              </w:rPr>
              <w:t xml:space="preserve">Aloqabank</w:t>
            </w:r>
          </w:p>
        </w:tc>
      </w:tr>
      <w:tr w:rsidR="005603EC" w:rsidTr="005603EC">
        <w:trPr>
          <w:cantSplit/>
        </w:trPr>
        <w:tc>
          <w:tcPr>
            <w:tcW w:w="4082" w:type="dxa"/>
          </w:tcPr>
          <w:p w:rsidR="005603EC" w:rsidRDefault="00AB61AC">
            <w:pPr>
              <w:pStyle w:val="Compact"/>
              <w:spacing w:line="240" w:lineRule="auto"/>
            </w:pPr>
            <w:r>
              <w:rPr>
                <w:color w:val="FF0000"/>
                <w:sz w:val="22"/>
              </w:rPr>
              <w:t xml:space="preserve">K1. CET1 monandligi, %</w:t>
            </w:r>
          </w:p>
        </w:tc>
        <w:tc>
          <w:tcPr>
            <w:tcW w:w="1758" w:type="dxa"/>
          </w:tcPr>
          <w:p w:rsidR="005603EC" w:rsidRDefault="00AB61AC">
            <w:pPr>
              <w:pStyle w:val="Compact"/>
              <w:spacing w:line="240" w:lineRule="auto"/>
              <w:jc w:val="center"/>
            </w:pPr>
            <w:r>
              <w:rPr>
                <w:color w:val="FF0000"/>
                <w:sz w:val="22"/>
              </w:rPr>
              <w:t xml:space="preserve">8,87 (3,35)</w:t>
            </w:r>
          </w:p>
        </w:tc>
        <w:tc>
          <w:tcPr>
            <w:tcW w:w="1758" w:type="dxa"/>
          </w:tcPr>
          <w:p w:rsidR="005603EC" w:rsidRDefault="00AB61AC">
            <w:pPr>
              <w:pStyle w:val="Compact"/>
              <w:spacing w:line="240" w:lineRule="auto"/>
              <w:jc w:val="center"/>
            </w:pPr>
            <w:r>
              <w:rPr>
                <w:color w:val="FF0000"/>
                <w:sz w:val="22"/>
              </w:rPr>
              <w:t xml:space="preserve">18,24 (4,00)</w:t>
            </w:r>
          </w:p>
        </w:tc>
        <w:tc>
          <w:tcPr>
            <w:tcW w:w="1758" w:type="dxa"/>
          </w:tcPr>
          <w:p w:rsidR="005603EC" w:rsidRDefault="00AB61AC">
            <w:pPr>
              <w:pStyle w:val="Compact"/>
              <w:spacing w:line="240" w:lineRule="auto"/>
              <w:jc w:val="center"/>
            </w:pPr>
            <w:r>
              <w:rPr>
                <w:color w:val="FF0000"/>
                <w:sz w:val="22"/>
              </w:rPr>
              <w:t xml:space="preserve">9,76 (3,70)</w:t>
            </w:r>
          </w:p>
        </w:tc>
      </w:tr>
      <w:tr w:rsidR="005603EC" w:rsidTr="005603EC">
        <w:trPr>
          <w:cantSplit/>
        </w:trPr>
        <w:tc>
          <w:tcPr>
            <w:tcW w:w="4082" w:type="dxa"/>
          </w:tcPr>
          <w:p w:rsidR="005603EC" w:rsidRDefault="00AB61AC">
            <w:pPr>
              <w:pStyle w:val="Compact"/>
              <w:spacing w:line="240" w:lineRule="auto"/>
            </w:pPr>
            <w:r>
              <w:rPr>
                <w:color w:val="FF0000"/>
                <w:sz w:val="22"/>
              </w:rPr>
              <w:t xml:space="preserve">K2. Regulyativ kapital monandligi, %</w:t>
            </w:r>
          </w:p>
        </w:tc>
        <w:tc>
          <w:tcPr>
            <w:tcW w:w="1758" w:type="dxa"/>
          </w:tcPr>
          <w:p w:rsidR="005603EC" w:rsidRDefault="00AB61AC">
            <w:pPr>
              <w:pStyle w:val="Compact"/>
              <w:spacing w:line="240" w:lineRule="auto"/>
              <w:jc w:val="center"/>
            </w:pPr>
            <w:r>
              <w:rPr>
                <w:color w:val="FF0000"/>
                <w:sz w:val="22"/>
              </w:rPr>
              <w:t xml:space="preserve">15,32 (3,93)</w:t>
            </w:r>
          </w:p>
        </w:tc>
        <w:tc>
          <w:tcPr>
            <w:tcW w:w="1758" w:type="dxa"/>
          </w:tcPr>
          <w:p w:rsidR="005603EC" w:rsidRDefault="00AB61AC">
            <w:pPr>
              <w:pStyle w:val="Compact"/>
              <w:spacing w:line="240" w:lineRule="auto"/>
              <w:jc w:val="center"/>
            </w:pPr>
            <w:r>
              <w:rPr>
                <w:color w:val="FF0000"/>
                <w:sz w:val="22"/>
              </w:rPr>
              <w:t xml:space="preserve">19,96 (4,00)</w:t>
            </w:r>
          </w:p>
        </w:tc>
        <w:tc>
          <w:tcPr>
            <w:tcW w:w="1758" w:type="dxa"/>
          </w:tcPr>
          <w:p w:rsidR="005603EC" w:rsidRDefault="00AB61AC">
            <w:pPr>
              <w:pStyle w:val="Compact"/>
              <w:spacing w:line="240" w:lineRule="auto"/>
              <w:jc w:val="center"/>
            </w:pPr>
            <w:r>
              <w:rPr>
                <w:color w:val="FF0000"/>
                <w:sz w:val="22"/>
              </w:rPr>
              <w:t xml:space="preserve">13,11 (3,04)</w:t>
            </w:r>
          </w:p>
        </w:tc>
      </w:tr>
      <w:tr w:rsidR="005603EC" w:rsidTr="005603EC">
        <w:trPr>
          <w:cantSplit/>
        </w:trPr>
        <w:tc>
          <w:tcPr>
            <w:tcW w:w="4082" w:type="dxa"/>
          </w:tcPr>
          <w:p w:rsidR="005603EC" w:rsidRDefault="00AB61AC">
            <w:pPr>
              <w:pStyle w:val="Compact"/>
              <w:spacing w:line="240" w:lineRule="auto"/>
            </w:pPr>
            <w:r>
              <w:rPr>
                <w:color w:val="FF0000"/>
                <w:sz w:val="22"/>
              </w:rPr>
              <w:t xml:space="preserve">K3. Kapital / aktivlar, %</w:t>
            </w:r>
          </w:p>
        </w:tc>
        <w:tc>
          <w:tcPr>
            <w:tcW w:w="1758" w:type="dxa"/>
          </w:tcPr>
          <w:p w:rsidR="005603EC" w:rsidRDefault="00AB61AC">
            <w:pPr>
              <w:pStyle w:val="Compact"/>
              <w:spacing w:line="240" w:lineRule="auto"/>
              <w:jc w:val="center"/>
            </w:pPr>
            <w:r>
              <w:rPr>
                <w:color w:val="FF0000"/>
                <w:sz w:val="22"/>
              </w:rPr>
              <w:t xml:space="preserve">10,6 (4,00)</w:t>
            </w:r>
          </w:p>
        </w:tc>
        <w:tc>
          <w:tcPr>
            <w:tcW w:w="1758" w:type="dxa"/>
          </w:tcPr>
          <w:p w:rsidR="005603EC" w:rsidRDefault="00AB61AC">
            <w:pPr>
              <w:pStyle w:val="Compact"/>
              <w:spacing w:line="240" w:lineRule="auto"/>
              <w:jc w:val="center"/>
            </w:pPr>
            <w:r>
              <w:rPr>
                <w:color w:val="FF0000"/>
                <w:sz w:val="22"/>
              </w:rPr>
              <w:t xml:space="preserve">20,2 (4,00)</w:t>
            </w:r>
          </w:p>
        </w:tc>
        <w:tc>
          <w:tcPr>
            <w:tcW w:w="1758" w:type="dxa"/>
          </w:tcPr>
          <w:p w:rsidR="005603EC" w:rsidRDefault="00AB61AC">
            <w:pPr>
              <w:pStyle w:val="Compact"/>
              <w:spacing w:line="240" w:lineRule="auto"/>
              <w:jc w:val="center"/>
            </w:pPr>
            <w:r>
              <w:rPr>
                <w:color w:val="FF0000"/>
                <w:sz w:val="22"/>
              </w:rPr>
              <w:t xml:space="preserve">11,1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A1. 3-bosqich kreditlar ulushi, %</w:t>
            </w:r>
          </w:p>
        </w:tc>
        <w:tc>
          <w:tcPr>
            <w:tcW w:w="1758" w:type="dxa"/>
          </w:tcPr>
          <w:p w:rsidR="005603EC" w:rsidRDefault="00AB61AC">
            <w:pPr>
              <w:pStyle w:val="Compact"/>
              <w:spacing w:line="240" w:lineRule="auto"/>
              <w:jc w:val="center"/>
            </w:pPr>
            <w:r>
              <w:rPr>
                <w:color w:val="FF0000"/>
                <w:sz w:val="22"/>
              </w:rPr>
              <w:t xml:space="preserve">7,5 (2,50)</w:t>
            </w:r>
          </w:p>
        </w:tc>
        <w:tc>
          <w:tcPr>
            <w:tcW w:w="1758" w:type="dxa"/>
          </w:tcPr>
          <w:p w:rsidR="005603EC" w:rsidRDefault="00AB61AC">
            <w:pPr>
              <w:pStyle w:val="Compact"/>
              <w:spacing w:line="240" w:lineRule="auto"/>
              <w:jc w:val="center"/>
            </w:pPr>
            <w:r>
              <w:rPr>
                <w:color w:val="FF0000"/>
                <w:sz w:val="22"/>
              </w:rPr>
              <w:t xml:space="preserve">12,3 (1,53)</w:t>
            </w:r>
          </w:p>
        </w:tc>
        <w:tc>
          <w:tcPr>
            <w:tcW w:w="1758" w:type="dxa"/>
          </w:tcPr>
          <w:p w:rsidR="005603EC" w:rsidRDefault="00AB61AC">
            <w:pPr>
              <w:pStyle w:val="Compact"/>
              <w:spacing w:line="240" w:lineRule="auto"/>
              <w:jc w:val="center"/>
            </w:pPr>
            <w:r>
              <w:rPr>
                <w:color w:val="FF0000"/>
                <w:sz w:val="22"/>
              </w:rPr>
              <w:t xml:space="preserve">7,2 (2,56)</w:t>
            </w:r>
          </w:p>
        </w:tc>
      </w:tr>
      <w:tr w:rsidR="005603EC" w:rsidTr="005603EC">
        <w:trPr>
          <w:cantSplit/>
        </w:trPr>
        <w:tc>
          <w:tcPr>
            <w:tcW w:w="4082" w:type="dxa"/>
          </w:tcPr>
          <w:p w:rsidR="005603EC" w:rsidRDefault="00AB61AC">
            <w:pPr>
              <w:pStyle w:val="Compact"/>
              <w:spacing w:line="240" w:lineRule="auto"/>
            </w:pPr>
            <w:r>
              <w:rPr>
                <w:color w:val="FF0000"/>
                <w:sz w:val="22"/>
              </w:rPr>
              <w:t xml:space="preserve">A2. 2-bosqich kreditlar ulushi, %</w:t>
            </w:r>
          </w:p>
        </w:tc>
        <w:tc>
          <w:tcPr>
            <w:tcW w:w="1758" w:type="dxa"/>
          </w:tcPr>
          <w:p w:rsidR="005603EC" w:rsidRDefault="00AB61AC">
            <w:pPr>
              <w:pStyle w:val="Compact"/>
              <w:spacing w:line="240" w:lineRule="auto"/>
              <w:jc w:val="center"/>
            </w:pPr>
            <w:r>
              <w:rPr>
                <w:color w:val="FF0000"/>
                <w:sz w:val="22"/>
              </w:rPr>
              <w:t xml:space="preserve">35,7 (1,00)</w:t>
            </w:r>
          </w:p>
        </w:tc>
        <w:tc>
          <w:tcPr>
            <w:tcW w:w="1758" w:type="dxa"/>
          </w:tcPr>
          <w:p w:rsidR="005603EC" w:rsidRDefault="00AB61AC">
            <w:pPr>
              <w:pStyle w:val="Compact"/>
              <w:spacing w:line="240" w:lineRule="auto"/>
              <w:jc w:val="center"/>
            </w:pPr>
            <w:r>
              <w:rPr>
                <w:color w:val="FF0000"/>
                <w:sz w:val="22"/>
              </w:rPr>
              <w:t xml:space="preserve">25,3 (1,97)</w:t>
            </w:r>
          </w:p>
        </w:tc>
        <w:tc>
          <w:tcPr>
            <w:tcW w:w="1758" w:type="dxa"/>
          </w:tcPr>
          <w:p w:rsidR="005603EC" w:rsidRDefault="00AB61AC">
            <w:pPr>
              <w:pStyle w:val="Compact"/>
              <w:spacing w:line="240" w:lineRule="auto"/>
              <w:jc w:val="center"/>
            </w:pPr>
            <w:r>
              <w:rPr>
                <w:color w:val="FF0000"/>
                <w:sz w:val="22"/>
              </w:rPr>
              <w:t xml:space="preserve">6,6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A3. Qoplanmagan muammoli kreditlar / kapital, %</w:t>
            </w:r>
          </w:p>
        </w:tc>
        <w:tc>
          <w:tcPr>
            <w:tcW w:w="1758" w:type="dxa"/>
          </w:tcPr>
          <w:p w:rsidR="005603EC" w:rsidRDefault="00AB61AC">
            <w:pPr>
              <w:pStyle w:val="Compact"/>
              <w:spacing w:line="240" w:lineRule="auto"/>
              <w:jc w:val="center"/>
            </w:pPr>
            <w:r>
              <w:rPr>
                <w:color w:val="FF0000"/>
                <w:sz w:val="22"/>
              </w:rPr>
              <w:t xml:space="preserve">6,5 (3,35)</w:t>
            </w:r>
          </w:p>
        </w:tc>
        <w:tc>
          <w:tcPr>
            <w:tcW w:w="1758" w:type="dxa"/>
          </w:tcPr>
          <w:p w:rsidR="005603EC" w:rsidRDefault="00AB61AC">
            <w:pPr>
              <w:pStyle w:val="Compact"/>
              <w:spacing w:line="240" w:lineRule="auto"/>
              <w:jc w:val="center"/>
            </w:pPr>
            <w:r>
              <w:rPr>
                <w:color w:val="FF0000"/>
                <w:sz w:val="22"/>
              </w:rPr>
              <w:t xml:space="preserve">29,1 (1,09)</w:t>
            </w:r>
          </w:p>
        </w:tc>
        <w:tc>
          <w:tcPr>
            <w:tcW w:w="1758" w:type="dxa"/>
          </w:tcPr>
          <w:p w:rsidR="005603EC" w:rsidRDefault="00AB61AC">
            <w:pPr>
              <w:pStyle w:val="Compact"/>
              <w:spacing w:line="240" w:lineRule="auto"/>
              <w:jc w:val="center"/>
            </w:pPr>
            <w:r>
              <w:rPr>
                <w:color w:val="FF0000"/>
                <w:sz w:val="22"/>
              </w:rPr>
              <w:t xml:space="preserve">17,8 (2,22)</w:t>
            </w:r>
          </w:p>
        </w:tc>
      </w:tr>
      <w:tr w:rsidR="005603EC" w:rsidTr="005603EC">
        <w:trPr>
          <w:cantSplit/>
        </w:trPr>
        <w:tc>
          <w:tcPr>
            <w:tcW w:w="4082" w:type="dxa"/>
          </w:tcPr>
          <w:p w:rsidR="005603EC" w:rsidRDefault="00AB61AC">
            <w:pPr>
              <w:pStyle w:val="Compact"/>
              <w:spacing w:line="240" w:lineRule="auto"/>
            </w:pPr>
            <w:r>
              <w:rPr>
                <w:color w:val="FF0000"/>
                <w:sz w:val="22"/>
              </w:rPr>
              <w:t xml:space="preserve">L1. Yuqori likvid aktivlar / aktivlar, %</w:t>
            </w:r>
          </w:p>
        </w:tc>
        <w:tc>
          <w:tcPr>
            <w:tcW w:w="1758" w:type="dxa"/>
          </w:tcPr>
          <w:p w:rsidR="005603EC" w:rsidRDefault="00AB61AC">
            <w:pPr>
              <w:pStyle w:val="Compact"/>
              <w:spacing w:line="240" w:lineRule="auto"/>
              <w:jc w:val="center"/>
            </w:pPr>
            <w:r>
              <w:rPr>
                <w:color w:val="FF0000"/>
                <w:sz w:val="22"/>
              </w:rPr>
              <w:t xml:space="preserve">18,3 (3,66)</w:t>
            </w:r>
          </w:p>
        </w:tc>
        <w:tc>
          <w:tcPr>
            <w:tcW w:w="1758" w:type="dxa"/>
          </w:tcPr>
          <w:p w:rsidR="005603EC" w:rsidRDefault="00AB61AC">
            <w:pPr>
              <w:pStyle w:val="Compact"/>
              <w:spacing w:line="240" w:lineRule="auto"/>
              <w:jc w:val="center"/>
            </w:pPr>
            <w:r>
              <w:rPr>
                <w:color w:val="FF0000"/>
                <w:sz w:val="22"/>
              </w:rPr>
              <w:t xml:space="preserve">15,5 (3,09)</w:t>
            </w:r>
          </w:p>
        </w:tc>
        <w:tc>
          <w:tcPr>
            <w:tcW w:w="1758" w:type="dxa"/>
          </w:tcPr>
          <w:p w:rsidR="005603EC" w:rsidRDefault="00AB61AC">
            <w:pPr>
              <w:pStyle w:val="Compact"/>
              <w:spacing w:line="240" w:lineRule="auto"/>
              <w:jc w:val="center"/>
            </w:pPr>
            <w:r>
              <w:rPr>
                <w:color w:val="FF0000"/>
                <w:sz w:val="22"/>
              </w:rPr>
              <w:t xml:space="preserve">12,7 (2,54)</w:t>
            </w:r>
          </w:p>
        </w:tc>
      </w:tr>
      <w:tr w:rsidR="005603EC" w:rsidTr="005603EC">
        <w:trPr>
          <w:cantSplit/>
        </w:trPr>
        <w:tc>
          <w:tcPr>
            <w:tcW w:w="4082" w:type="dxa"/>
          </w:tcPr>
          <w:p w:rsidR="005603EC" w:rsidRDefault="00AB61AC">
            <w:pPr>
              <w:pStyle w:val="Compact"/>
              <w:spacing w:line="240" w:lineRule="auto"/>
            </w:pPr>
            <w:r>
              <w:rPr>
                <w:color w:val="FF0000"/>
                <w:sz w:val="22"/>
              </w:rPr>
              <w:t xml:space="preserve">L2. Kreditlar / depozitlar, %</w:t>
            </w:r>
          </w:p>
        </w:tc>
        <w:tc>
          <w:tcPr>
            <w:tcW w:w="1758" w:type="dxa"/>
          </w:tcPr>
          <w:p w:rsidR="005603EC" w:rsidRDefault="00AB61AC">
            <w:pPr>
              <w:pStyle w:val="Compact"/>
              <w:spacing w:line="240" w:lineRule="auto"/>
              <w:jc w:val="center"/>
            </w:pPr>
            <w:r>
              <w:rPr>
                <w:color w:val="FF0000"/>
                <w:sz w:val="22"/>
              </w:rPr>
              <w:t xml:space="preserve">221,0 (1,00)</w:t>
            </w:r>
          </w:p>
        </w:tc>
        <w:tc>
          <w:tcPr>
            <w:tcW w:w="1758" w:type="dxa"/>
          </w:tcPr>
          <w:p w:rsidR="005603EC" w:rsidRDefault="00AB61AC">
            <w:pPr>
              <w:pStyle w:val="Compact"/>
              <w:spacing w:line="240" w:lineRule="auto"/>
              <w:jc w:val="center"/>
            </w:pPr>
            <w:r>
              <w:rPr>
                <w:color w:val="FF0000"/>
                <w:sz w:val="22"/>
              </w:rPr>
              <w:t xml:space="preserve">324,5 (1,00)</w:t>
            </w:r>
          </w:p>
        </w:tc>
        <w:tc>
          <w:tcPr>
            <w:tcW w:w="1758" w:type="dxa"/>
          </w:tcPr>
          <w:p w:rsidR="005603EC" w:rsidRDefault="00AB61AC">
            <w:pPr>
              <w:pStyle w:val="Compact"/>
              <w:spacing w:line="240" w:lineRule="auto"/>
              <w:jc w:val="center"/>
            </w:pPr>
            <w:r>
              <w:rPr>
                <w:color w:val="FF0000"/>
                <w:sz w:val="22"/>
              </w:rPr>
              <w:t xml:space="preserve">140,1 (2,20)</w:t>
            </w:r>
          </w:p>
        </w:tc>
      </w:tr>
      <w:tr w:rsidR="005603EC" w:rsidTr="005603EC">
        <w:trPr>
          <w:cantSplit/>
        </w:trPr>
        <w:tc>
          <w:tcPr>
            <w:tcW w:w="4082" w:type="dxa"/>
          </w:tcPr>
          <w:p w:rsidR="005603EC" w:rsidRDefault="00AB61AC">
            <w:pPr>
              <w:pStyle w:val="Compact"/>
              <w:spacing w:line="240" w:lineRule="auto"/>
            </w:pPr>
            <w:r>
              <w:rPr>
                <w:color w:val="FF0000"/>
                <w:sz w:val="22"/>
              </w:rPr>
              <w:t xml:space="preserve">D1. ROA, %</w:t>
            </w:r>
          </w:p>
        </w:tc>
        <w:tc>
          <w:tcPr>
            <w:tcW w:w="1758" w:type="dxa"/>
          </w:tcPr>
          <w:p w:rsidR="005603EC" w:rsidRDefault="00AB61AC">
            <w:pPr>
              <w:pStyle w:val="Compact"/>
              <w:spacing w:line="240" w:lineRule="auto"/>
              <w:jc w:val="center"/>
            </w:pPr>
            <w:r>
              <w:rPr>
                <w:color w:val="FF0000"/>
                <w:sz w:val="22"/>
              </w:rPr>
              <w:t xml:space="preserve">1,7 (3,49)</w:t>
            </w:r>
          </w:p>
        </w:tc>
        <w:tc>
          <w:tcPr>
            <w:tcW w:w="1758" w:type="dxa"/>
          </w:tcPr>
          <w:p w:rsidR="005603EC" w:rsidRDefault="00AB61AC">
            <w:pPr>
              <w:pStyle w:val="Compact"/>
              <w:spacing w:line="240" w:lineRule="auto"/>
              <w:jc w:val="center"/>
            </w:pPr>
            <w:r>
              <w:rPr>
                <w:color w:val="FF0000"/>
                <w:sz w:val="22"/>
              </w:rPr>
              <w:t xml:space="preserve">0,2 (1,22)</w:t>
            </w:r>
          </w:p>
        </w:tc>
        <w:tc>
          <w:tcPr>
            <w:tcW w:w="1758" w:type="dxa"/>
          </w:tcPr>
          <w:p w:rsidR="005603EC" w:rsidRDefault="00AB61AC">
            <w:pPr>
              <w:pStyle w:val="Compact"/>
              <w:spacing w:line="240" w:lineRule="auto"/>
              <w:jc w:val="center"/>
            </w:pPr>
            <w:r>
              <w:rPr>
                <w:color w:val="FF0000"/>
                <w:sz w:val="22"/>
              </w:rPr>
              <w:t xml:space="preserve">−0,7 (1,00)</w:t>
            </w:r>
          </w:p>
        </w:tc>
      </w:tr>
      <w:tr w:rsidR="005603EC" w:rsidTr="005603EC">
        <w:trPr>
          <w:cantSplit/>
        </w:trPr>
        <w:tc>
          <w:tcPr>
            <w:tcW w:w="4082" w:type="dxa"/>
          </w:tcPr>
          <w:p w:rsidR="005603EC" w:rsidRDefault="00AB61AC">
            <w:pPr>
              <w:pStyle w:val="Compact"/>
              <w:spacing w:line="240" w:lineRule="auto"/>
            </w:pPr>
            <w:r>
              <w:rPr>
                <w:color w:val="FF0000"/>
                <w:sz w:val="22"/>
              </w:rPr>
              <w:t xml:space="preserve">D2. ROE, %</w:t>
            </w:r>
          </w:p>
        </w:tc>
        <w:tc>
          <w:tcPr>
            <w:tcW w:w="1758" w:type="dxa"/>
          </w:tcPr>
          <w:p w:rsidR="005603EC" w:rsidRDefault="00AB61AC">
            <w:pPr>
              <w:pStyle w:val="Compact"/>
              <w:spacing w:line="240" w:lineRule="auto"/>
              <w:jc w:val="center"/>
            </w:pPr>
            <w:r>
              <w:rPr>
                <w:color w:val="FF0000"/>
                <w:sz w:val="22"/>
              </w:rPr>
              <w:t xml:space="preserve">15,7 (4,00)</w:t>
            </w:r>
          </w:p>
        </w:tc>
        <w:tc>
          <w:tcPr>
            <w:tcW w:w="1758" w:type="dxa"/>
          </w:tcPr>
          <w:p w:rsidR="005603EC" w:rsidRDefault="00AB61AC">
            <w:pPr>
              <w:pStyle w:val="Compact"/>
              <w:spacing w:line="240" w:lineRule="auto"/>
              <w:jc w:val="center"/>
            </w:pPr>
            <w:r>
              <w:rPr>
                <w:color w:val="FF0000"/>
                <w:sz w:val="22"/>
              </w:rPr>
              <w:t xml:space="preserve">0,8 (1,16)</w:t>
            </w:r>
          </w:p>
        </w:tc>
        <w:tc>
          <w:tcPr>
            <w:tcW w:w="1758" w:type="dxa"/>
          </w:tcPr>
          <w:p w:rsidR="005603EC" w:rsidRDefault="00AB61AC">
            <w:pPr>
              <w:pStyle w:val="Compact"/>
              <w:spacing w:line="240" w:lineRule="auto"/>
              <w:jc w:val="center"/>
            </w:pPr>
            <w:r>
              <w:rPr>
                <w:color w:val="FF0000"/>
                <w:sz w:val="22"/>
              </w:rPr>
              <w:t xml:space="preserve">−5,9 (1,00)</w:t>
            </w:r>
          </w:p>
        </w:tc>
      </w:tr>
      <w:tr w:rsidR="005603EC" w:rsidTr="005603EC">
        <w:trPr>
          <w:cantSplit/>
        </w:trPr>
        <w:tc>
          <w:tcPr>
            <w:tcW w:w="4082" w:type="dxa"/>
          </w:tcPr>
          <w:p w:rsidR="005603EC" w:rsidRDefault="00AB61AC">
            <w:pPr>
              <w:pStyle w:val="Compact"/>
              <w:spacing w:line="240" w:lineRule="auto"/>
            </w:pPr>
            <w:r>
              <w:rPr>
                <w:color w:val="FF0000"/>
                <w:sz w:val="22"/>
              </w:rPr>
              <w:t xml:space="preserve">D3. Xarajatlar / daromadlar, %</w:t>
            </w:r>
          </w:p>
        </w:tc>
        <w:tc>
          <w:tcPr>
            <w:tcW w:w="1758" w:type="dxa"/>
          </w:tcPr>
          <w:p w:rsidR="005603EC" w:rsidRDefault="00AB61AC">
            <w:pPr>
              <w:pStyle w:val="Compact"/>
              <w:spacing w:line="240" w:lineRule="auto"/>
              <w:jc w:val="center"/>
            </w:pPr>
            <w:r>
              <w:rPr>
                <w:color w:val="FF0000"/>
                <w:sz w:val="22"/>
              </w:rPr>
              <w:t xml:space="preserve">41,5 (4,00)</w:t>
            </w:r>
          </w:p>
        </w:tc>
        <w:tc>
          <w:tcPr>
            <w:tcW w:w="1758" w:type="dxa"/>
          </w:tcPr>
          <w:p w:rsidR="005603EC" w:rsidRDefault="00AB61AC">
            <w:pPr>
              <w:pStyle w:val="Compact"/>
              <w:spacing w:line="240" w:lineRule="auto"/>
              <w:jc w:val="center"/>
            </w:pPr>
            <w:r>
              <w:rPr>
                <w:color w:val="FF0000"/>
                <w:sz w:val="22"/>
              </w:rPr>
              <w:t xml:space="preserve">87,6 (1,62)</w:t>
            </w:r>
          </w:p>
        </w:tc>
        <w:tc>
          <w:tcPr>
            <w:tcW w:w="1758" w:type="dxa"/>
          </w:tcPr>
          <w:p w:rsidR="005603EC" w:rsidRDefault="00AB61AC">
            <w:pPr>
              <w:pStyle w:val="Compact"/>
              <w:spacing w:line="240" w:lineRule="auto"/>
              <w:jc w:val="center"/>
            </w:pPr>
            <w:r>
              <w:rPr>
                <w:color w:val="FF0000"/>
                <w:sz w:val="22"/>
              </w:rPr>
              <w:t xml:space="preserve">89,0 (1,55)</w:t>
            </w:r>
          </w:p>
        </w:tc>
      </w:tr>
      <w:tr w:rsidR="005603EC" w:rsidTr="005603EC">
        <w:trPr>
          <w:cantSplit/>
        </w:trPr>
        <w:tc>
          <w:tcPr>
            <w:tcW w:w="4082" w:type="dxa"/>
          </w:tcPr>
          <w:p w:rsidR="005603EC" w:rsidRDefault="00AB61AC">
            <w:pPr>
              <w:pStyle w:val="Compact"/>
              <w:spacing w:line="240" w:lineRule="auto"/>
            </w:pPr>
            <w:r>
              <w:rPr>
                <w:color w:val="FF0000"/>
                <w:sz w:val="22"/>
              </w:rPr>
              <w:t xml:space="preserve">V1. Xorijiy valyutadagi kreditlar, %</w:t>
            </w:r>
          </w:p>
        </w:tc>
        <w:tc>
          <w:tcPr>
            <w:tcW w:w="1758" w:type="dxa"/>
          </w:tcPr>
          <w:p w:rsidR="005603EC" w:rsidRDefault="00AB61AC">
            <w:pPr>
              <w:pStyle w:val="Compact"/>
              <w:spacing w:line="240" w:lineRule="auto"/>
              <w:jc w:val="center"/>
            </w:pPr>
            <w:r>
              <w:rPr>
                <w:color w:val="FF0000"/>
                <w:sz w:val="22"/>
              </w:rPr>
              <w:t xml:space="preserve">61,2 (1,25)</w:t>
            </w:r>
          </w:p>
        </w:tc>
        <w:tc>
          <w:tcPr>
            <w:tcW w:w="1758" w:type="dxa"/>
          </w:tcPr>
          <w:p w:rsidR="005603EC" w:rsidRDefault="00AB61AC">
            <w:pPr>
              <w:pStyle w:val="Compact"/>
              <w:spacing w:line="240" w:lineRule="auto"/>
              <w:jc w:val="center"/>
            </w:pPr>
            <w:r>
              <w:rPr>
                <w:color w:val="FF0000"/>
                <w:sz w:val="22"/>
              </w:rPr>
              <w:t xml:space="preserve">–</w:t>
            </w:r>
          </w:p>
        </w:tc>
        <w:tc>
          <w:tcPr>
            <w:tcW w:w="1758" w:type="dxa"/>
          </w:tcPr>
          <w:p w:rsidR="005603EC" w:rsidRDefault="00AB61AC">
            <w:pPr>
              <w:pStyle w:val="Compact"/>
              <w:spacing w:line="240" w:lineRule="auto"/>
              <w:jc w:val="center"/>
            </w:pPr>
            <w:r>
              <w:rPr>
                <w:color w:val="FF0000"/>
                <w:sz w:val="22"/>
              </w:rPr>
              <w:t xml:space="preserve">–</w:t>
            </w:r>
          </w:p>
        </w:tc>
      </w:tr>
      <w:tr w:rsidR="005603EC" w:rsidTr="005603EC">
        <w:trPr>
          <w:cantSplit/>
        </w:trPr>
        <w:tc>
          <w:tcPr>
            <w:tcW w:w="4082" w:type="dxa"/>
          </w:tcPr>
          <w:p w:rsidR="005603EC" w:rsidRDefault="00AB61AC">
            <w:pPr>
              <w:pStyle w:val="Compact"/>
              <w:spacing w:line="240" w:lineRule="auto"/>
            </w:pPr>
            <w:r>
              <w:rPr>
                <w:color w:val="FF0000"/>
                <w:sz w:val="22"/>
              </w:rPr>
              <w:t xml:space="preserve">V2. Xorijiy valyutadagi majburiyatlar, %</w:t>
            </w:r>
          </w:p>
        </w:tc>
        <w:tc>
          <w:tcPr>
            <w:tcW w:w="1758" w:type="dxa"/>
          </w:tcPr>
          <w:p w:rsidR="005603EC" w:rsidRDefault="00AB61AC">
            <w:pPr>
              <w:pStyle w:val="Compact"/>
              <w:spacing w:line="240" w:lineRule="auto"/>
              <w:jc w:val="center"/>
            </w:pPr>
            <w:r>
              <w:rPr>
                <w:color w:val="FF0000"/>
                <w:sz w:val="22"/>
              </w:rPr>
              <w:t xml:space="preserve">60,4 (1,64)</w:t>
            </w:r>
          </w:p>
        </w:tc>
        <w:tc>
          <w:tcPr>
            <w:tcW w:w="1758" w:type="dxa"/>
          </w:tcPr>
          <w:p w:rsidR="005603EC" w:rsidRDefault="00AB61AC">
            <w:pPr>
              <w:pStyle w:val="Compact"/>
              <w:spacing w:line="240" w:lineRule="auto"/>
              <w:jc w:val="center"/>
            </w:pPr>
            <w:r>
              <w:rPr>
                <w:color w:val="FF0000"/>
                <w:sz w:val="22"/>
              </w:rPr>
              <w:t xml:space="preserve">22,4 (4,00)</w:t>
            </w:r>
          </w:p>
        </w:tc>
        <w:tc>
          <w:tcPr>
            <w:tcW w:w="1758" w:type="dxa"/>
          </w:tcPr>
          <w:p w:rsidR="005603EC" w:rsidRDefault="00AB61AC">
            <w:pPr>
              <w:pStyle w:val="Compact"/>
              <w:spacing w:line="240" w:lineRule="auto"/>
              <w:jc w:val="center"/>
            </w:pPr>
            <w:r>
              <w:rPr>
                <w:color w:val="FF0000"/>
                <w:sz w:val="22"/>
              </w:rPr>
              <w:t xml:space="preserve">31,4 (3,57)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Kapital yetarliligi bloki</w:t>
            </w:r>
          </w:p>
        </w:tc>
        <w:tc>
          <w:tcPr>
            <w:tcW w:w="1758" w:type="dxa"/>
          </w:tcPr>
          <w:p w:rsidR="005603EC" w:rsidRDefault="00AB61AC">
            <w:pPr>
              <w:pStyle w:val="Compact"/>
              <w:spacing w:line="240" w:lineRule="auto"/>
              <w:jc w:val="center"/>
            </w:pPr>
            <w:r>
              <w:rPr>
                <w:b/>
                <w:bCs/>
                <w:color w:val="FF0000"/>
                <w:sz w:val="22"/>
              </w:rPr>
              <w:t xml:space="preserve">3,76</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3,58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Aktivlar sifati bloki</w:t>
            </w:r>
          </w:p>
        </w:tc>
        <w:tc>
          <w:tcPr>
            <w:tcW w:w="1758" w:type="dxa"/>
          </w:tcPr>
          <w:p w:rsidR="005603EC" w:rsidRDefault="00AB61AC">
            <w:pPr>
              <w:pStyle w:val="Compact"/>
              <w:spacing w:line="240" w:lineRule="auto"/>
              <w:jc w:val="center"/>
            </w:pPr>
            <w:r>
              <w:rPr>
                <w:b/>
                <w:bCs/>
                <w:color w:val="FF0000"/>
                <w:sz w:val="22"/>
              </w:rPr>
              <w:t xml:space="preserve">2,28</w:t>
            </w:r>
          </w:p>
        </w:tc>
        <w:tc>
          <w:tcPr>
            <w:tcW w:w="1758" w:type="dxa"/>
          </w:tcPr>
          <w:p w:rsidR="005603EC" w:rsidRDefault="00AB61AC">
            <w:pPr>
              <w:pStyle w:val="Compact"/>
              <w:spacing w:line="240" w:lineRule="auto"/>
              <w:jc w:val="center"/>
            </w:pPr>
            <w:r>
              <w:rPr>
                <w:b/>
                <w:bCs/>
                <w:color w:val="FF0000"/>
                <w:sz w:val="22"/>
              </w:rPr>
              <w:t xml:space="preserve">1,53</w:t>
            </w:r>
          </w:p>
        </w:tc>
        <w:tc>
          <w:tcPr>
            <w:tcW w:w="1758" w:type="dxa"/>
          </w:tcPr>
          <w:p w:rsidR="005603EC" w:rsidRDefault="00AB61AC">
            <w:pPr>
              <w:pStyle w:val="Compact"/>
              <w:spacing w:line="240" w:lineRule="auto"/>
              <w:jc w:val="center"/>
            </w:pPr>
            <w:r>
              <w:rPr>
                <w:b/>
                <w:bCs/>
                <w:color w:val="FF0000"/>
                <w:sz w:val="22"/>
              </w:rPr>
              <w:t xml:space="preserve">2,93</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Likvidlik bloki</w:t>
            </w:r>
          </w:p>
        </w:tc>
        <w:tc>
          <w:tcPr>
            <w:tcW w:w="1758" w:type="dxa"/>
          </w:tcPr>
          <w:p w:rsidR="005603EC" w:rsidRDefault="00AB61AC">
            <w:pPr>
              <w:pStyle w:val="Compact"/>
              <w:spacing w:line="240" w:lineRule="auto"/>
              <w:jc w:val="center"/>
            </w:pPr>
            <w:r>
              <w:rPr>
                <w:b/>
                <w:bCs/>
                <w:color w:val="FF0000"/>
                <w:sz w:val="22"/>
              </w:rPr>
              <w:t xml:space="preserve">2,33</w:t>
            </w:r>
          </w:p>
        </w:tc>
        <w:tc>
          <w:tcPr>
            <w:tcW w:w="1758" w:type="dxa"/>
          </w:tcPr>
          <w:p w:rsidR="005603EC" w:rsidRDefault="00AB61AC">
            <w:pPr>
              <w:pStyle w:val="Compact"/>
              <w:spacing w:line="240" w:lineRule="auto"/>
              <w:jc w:val="center"/>
            </w:pPr>
            <w:r>
              <w:rPr>
                <w:b/>
                <w:bCs/>
                <w:color w:val="FF0000"/>
                <w:sz w:val="22"/>
              </w:rPr>
              <w:t xml:space="preserve">2,05</w:t>
            </w:r>
          </w:p>
        </w:tc>
        <w:tc>
          <w:tcPr>
            <w:tcW w:w="1758" w:type="dxa"/>
          </w:tcPr>
          <w:p w:rsidR="005603EC" w:rsidRDefault="00AB61AC">
            <w:pPr>
              <w:pStyle w:val="Compact"/>
              <w:spacing w:line="240" w:lineRule="auto"/>
              <w:jc w:val="center"/>
            </w:pPr>
            <w:r>
              <w:rPr>
                <w:b/>
                <w:bCs/>
                <w:color w:val="FF0000"/>
                <w:sz w:val="22"/>
              </w:rPr>
              <w:t xml:space="preserve">2,37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Daromadlilik bloki</w:t>
            </w:r>
          </w:p>
        </w:tc>
        <w:tc>
          <w:tcPr>
            <w:tcW w:w="1758" w:type="dxa"/>
          </w:tcPr>
          <w:p w:rsidR="005603EC" w:rsidRDefault="00AB61AC">
            <w:pPr>
              <w:pStyle w:val="Compact"/>
              <w:spacing w:line="240" w:lineRule="auto"/>
              <w:jc w:val="center"/>
            </w:pPr>
            <w:r>
              <w:rPr>
                <w:b/>
                <w:bCs/>
                <w:color w:val="FF0000"/>
                <w:sz w:val="22"/>
              </w:rPr>
              <w:t xml:space="preserve">3,83</w:t>
            </w:r>
          </w:p>
        </w:tc>
        <w:tc>
          <w:tcPr>
            <w:tcW w:w="1758" w:type="dxa"/>
          </w:tcPr>
          <w:p w:rsidR="005603EC" w:rsidRDefault="00AB61AC">
            <w:pPr>
              <w:pStyle w:val="Compact"/>
              <w:spacing w:line="240" w:lineRule="auto"/>
              <w:jc w:val="center"/>
            </w:pPr>
            <w:r>
              <w:rPr>
                <w:b/>
                <w:bCs/>
                <w:color w:val="FF0000"/>
                <w:sz w:val="22"/>
              </w:rPr>
              <w:t xml:space="preserve">1,33</w:t>
            </w:r>
          </w:p>
        </w:tc>
        <w:tc>
          <w:tcPr>
            <w:tcW w:w="1758" w:type="dxa"/>
          </w:tcPr>
          <w:p w:rsidR="005603EC" w:rsidRDefault="00AB61AC">
            <w:pPr>
              <w:pStyle w:val="Compact"/>
              <w:spacing w:line="240" w:lineRule="auto"/>
              <w:jc w:val="center"/>
            </w:pPr>
            <w:r>
              <w:rPr>
                <w:b/>
                <w:bCs/>
                <w:color w:val="FF0000"/>
                <w:sz w:val="22"/>
              </w:rPr>
              <w:t xml:space="preserve">1,18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Valyuta riskiga sezgirlik bloki</w:t>
            </w:r>
          </w:p>
        </w:tc>
        <w:tc>
          <w:tcPr>
            <w:tcW w:w="1758" w:type="dxa"/>
          </w:tcPr>
          <w:p w:rsidR="005603EC" w:rsidRDefault="00AB61AC">
            <w:pPr>
              <w:pStyle w:val="Compact"/>
              <w:spacing w:line="240" w:lineRule="auto"/>
              <w:jc w:val="center"/>
            </w:pPr>
            <w:r>
              <w:rPr>
                <w:b/>
                <w:bCs/>
                <w:color w:val="FF0000"/>
                <w:sz w:val="22"/>
              </w:rPr>
              <w:t xml:space="preserve">1,45</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3,57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MBII</w:t>
            </w:r>
          </w:p>
        </w:tc>
        <w:tc>
          <w:tcPr>
            <w:tcW w:w="1758" w:type="dxa"/>
          </w:tcPr>
          <w:p w:rsidR="005603EC" w:rsidRDefault="00AB61AC">
            <w:pPr>
              <w:pStyle w:val="Compact"/>
              <w:spacing w:line="240" w:lineRule="auto"/>
              <w:jc w:val="center"/>
            </w:pPr>
            <w:r>
              <w:rPr>
                <w:b/>
                <w:bCs/>
                <w:color w:val="FF0000"/>
                <w:sz w:val="22"/>
              </w:rPr>
              <w:t xml:space="preserve">2,81</w:t>
            </w:r>
          </w:p>
        </w:tc>
        <w:tc>
          <w:tcPr>
            <w:tcW w:w="1758" w:type="dxa"/>
          </w:tcPr>
          <w:p w:rsidR="005603EC" w:rsidRDefault="00AB61AC">
            <w:pPr>
              <w:pStyle w:val="Compact"/>
              <w:spacing w:line="240" w:lineRule="auto"/>
              <w:jc w:val="center"/>
            </w:pPr>
            <w:r>
              <w:rPr>
                <w:b/>
                <w:bCs/>
                <w:color w:val="FF0000"/>
                <w:sz w:val="22"/>
              </w:rPr>
              <w:t xml:space="preserve">2,47</w:t>
            </w:r>
          </w:p>
        </w:tc>
        <w:tc>
          <w:tcPr>
            <w:tcW w:w="1758" w:type="dxa"/>
          </w:tcPr>
          <w:p w:rsidR="005603EC" w:rsidRDefault="00AB61AC">
            <w:pPr>
              <w:pStyle w:val="Compact"/>
              <w:spacing w:line="240" w:lineRule="auto"/>
              <w:jc w:val="center"/>
            </w:pPr>
            <w:r>
              <w:rPr>
                <w:b/>
                <w:bCs/>
                <w:color w:val="FF0000"/>
                <w:sz w:val="22"/>
              </w:rPr>
              <w:t xml:space="preserve">2,78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Barqarorlik sinfi</w:t>
            </w:r>
          </w:p>
        </w:tc>
        <w:tc>
          <w:tcPr>
            <w:tcW w:w="1758" w:type="dxa"/>
          </w:tcPr>
          <w:p w:rsidR="005603EC" w:rsidRDefault="00AB61AC">
            <w:pPr>
              <w:pStyle w:val="Compact"/>
              <w:spacing w:line="240" w:lineRule="auto"/>
              <w:jc w:val="center"/>
            </w:pPr>
            <w:r>
              <w:rPr>
                <w:b/>
                <w:bCs/>
                <w:color w:val="FF0000"/>
                <w:sz w:val="22"/>
              </w:rPr>
              <w:t xml:space="preserve">II</w:t>
            </w:r>
          </w:p>
        </w:tc>
        <w:tc>
          <w:tcPr>
            <w:tcW w:w="1758" w:type="dxa"/>
          </w:tcPr>
          <w:p w:rsidR="005603EC" w:rsidRDefault="00AB61AC">
            <w:pPr>
              <w:pStyle w:val="Compact"/>
              <w:spacing w:line="240" w:lineRule="auto"/>
              <w:jc w:val="center"/>
            </w:pPr>
            <w:r>
              <w:rPr>
                <w:b/>
                <w:bCs/>
                <w:color w:val="FF0000"/>
                <w:sz w:val="22"/>
              </w:rPr>
              <w:t xml:space="preserve">III</w:t>
            </w:r>
          </w:p>
        </w:tc>
        <w:tc>
          <w:tcPr>
            <w:tcW w:w="1758" w:type="dxa"/>
          </w:tcPr>
          <w:p w:rsidR="005603EC" w:rsidRDefault="00AB61AC">
            <w:pPr>
              <w:pStyle w:val="Compact"/>
              <w:spacing w:line="240" w:lineRule="auto"/>
              <w:jc w:val="center"/>
            </w:pPr>
            <w:r>
              <w:rPr>
                <w:b/>
                <w:bCs/>
                <w:color w:val="FF0000"/>
                <w:sz w:val="22"/>
              </w:rPr>
              <w:t xml:space="preserve">II</w:t>
            </w:r>
          </w:p>
        </w:tc>
      </w:tr>
    </w:tbl>
    <w:p w:rsidR="005603EC" w:rsidRDefault="00AB61AC">
      <w:pPr>
        <w:pStyle w:val="af"/>
        <w:spacing w:after="0" w:line="360" w:lineRule="auto"/>
        <w:ind w:firstLine="709"/>
        <w:jc w:val="both"/>
      </w:pPr>
      <w:r>
        <w:rPr>
          <w:i/>
          <w:iCs/>
          <w:color w:val="FF0000"/>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MHXS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color w:val="FF0000"/>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color w:val="FF0000"/>
        </w:rPr>
        <w:t xml:space="preserve">3.1.7-jadval</w:t>
      </w:r>
      <w:r>
        <w:t xml:space="preserve">).</w:t>
      </w:r>
    </w:p>
    <w:p w:rsidR="005603EC" w:rsidRDefault="00AB61AC">
      <w:pPr>
        <w:pStyle w:val="af"/>
        <w:keepNext/>
        <w:spacing w:before="120" w:after="0" w:line="360" w:lineRule="auto"/>
        <w:jc w:val="right"/>
      </w:pPr>
      <w:r>
        <w:rPr>
          <w:i/>
        </w:rPr>
        <w:lastRenderedPageBreak/>
      </w:r>
      <w:r>
        <w:rPr>
          <w:i/>
          <w:color w:val="FF0000"/>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color w:val="FF0000"/>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color w:val="FF0000"/>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color w:val="FF0000"/>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color w:val="FF0000"/>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color w:val="FF0000"/>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color w:val="FF0000"/>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color w:val="FF0000"/>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color w:val="FF0000"/>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color w:val="FF0000"/>
        </w:rPr>
        <w:t xml:space="preserve">tayanch vazn</w:t>
      </w:r>
      <w:r>
        <w:rPr/>
        <w:t xml:space="preserve">iga yaqin yoki undan yuqori vazn bergan</w:t>
      </w:r>
      <w:r>
        <w:t xml:space="preserve">: entropiya, variatsiya koeffitsiyenti va bosh komponentlar usullarida u 0,27–0,32 ni tashkil etib, </w:t>
      </w:r>
      <w:r>
        <w:rPr>
          <w:color w:val="FF0000"/>
        </w:rPr>
        <w:t xml:space="preserve">tayanch vazn</w:t>
      </w:r>
      <w:r>
        <w:t xml:space="preserve">iga (0,30) deyarli teng, logit usulida esa 0,57 gacha oshgan. </w:t>
      </w:r>
      <w:r>
        <w:rPr/>
        <w:t xml:space="preserve">Demak, aktivlar sifati blokining </w:t>
      </w:r>
      <w:r>
        <w:rPr>
          <w:color w:val="FF0000"/>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color w:val="FF0000"/>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color w:val="FF0000"/>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color w:val="FF0000"/>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color w:val="FF0000"/>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color w:val="FF0000"/>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color w:val="FF0000"/>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color w:val="FF0000"/>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color w:val="FF0000"/>
        </w:rPr>
        <w:t xml:space="preserve">tayanch vaznlar</w:t>
      </w:r>
      <w:r>
        <w:t xml:space="preserve">dan biroz ustun (AUC 0,864–0,907), biroq farq katta emas, </w:t>
      </w:r>
      <w:r>
        <w:rPr>
          <w:color w:val="FF0000"/>
        </w:rPr>
        <w:t xml:space="preserve">tayanch vaznlar</w:t>
      </w:r>
      <w:r>
        <w:t xml:space="preserve">ning bashorat kuchi esa bosh komponentlar usuli bilan bir xil.</w:t>
      </w:r>
      <w:r>
        <w:rPr/>
        <w:t xml:space="preserve"> Faqat empirik usullar asosidagi o‘rtacha vaznlar bilan indeksning AUC qiymati 0,871 ni tashkil etib, </w:t>
      </w:r>
      <w:r>
        <w:rPr>
          <w:color w:val="FF0000"/>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color w:val="FF0000"/>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color w:val="FF0000"/>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color w:val="FF0000"/>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color w:val="FF0000"/>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color w:val="FF0000"/>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color w:val="FF0000"/>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color w:val="FF0000"/>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color w:val="FF0000"/>
        </w:rPr>
        <w:t xml:space="preserve">, “Aloqabank” ATB niki 3,248 va 2,78 ballni (ikkala variantda II sinf)</w:t>
      </w:r>
      <w:r>
        <w:t xml:space="preserve"> tashkil etadi. </w:t>
      </w:r>
      <w:r>
        <w:rPr>
          <w:color w:val="FF0000"/>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color w:val="FF0000"/>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color w:val="FF0000"/>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color w:val="FF0000"/>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color w:val="FF0000"/>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color w:val="FF0000"/>
        </w:rPr>
        <w:t xml:space="preserve">“Mikrokreditbank” ATB da −0,66, “Aloqabank” ATB da −0,47 ballni tashkil etib, uning 56–86 foizi</w:t>
      </w:r>
      <w:r>
        <w:t xml:space="preserve"> aktivlar sifati blokiga to‘g‘ri keladi, ya’ni milliy hisobot banklar barqarorligini </w:t>
      </w:r>
      <w:r>
        <w:rPr>
          <w:color w:val="FF0000"/>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color w:val="FF0000"/>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color w:val="FF0000"/>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color w:val="FF0000"/>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color w:val="FF0000"/>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