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va tadqiqotning asosiy obyekti bo‘lgan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integral indeks dinamikasi va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«Biznesni rivojlantirish banki» ATB da ham xuddi shunday manzara kuzatilgan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«Biznesni rivojlantirish banki» ATB da integral indeks dinamikasi va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2022-yilda 2,67–2,93 ballni tashkil etgan bo‘lsa (2021-yil IV va 2022-yil IV choraklari bo‘yicha bankning daromad va likvidlik ko‘rsatkichlari ma’lumotlar bazasida mavjud emas, shu sababli bu choraklarda indeks hisoblanmagan), 2023-yil III choragidagi 2,64 balldan 2023-yil IV choragida 2,44 ballgacha va 2024-yil I choragida 2,20 ballgacha pasaygan. Bu signal bankning 2024-yil I choragidagi 394,0 mlrd so‘mlik va IV choragidagi 1 952,0 mlrd so‘mlik zararlaridan oldin berilgan. Zarar va qayta kapitallashtirishdan keyin indeks 2025-yilda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6" name="4.1.5-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4.1.5-rasm. «O‘zsanoatqurilishbank» ATB da milliy hisobot va MHXS hisoboti asosidagi integral indeks hamda erta ogohlantirish chegaralari, 2021–2025-yillar</w:t>
      </w:r>
      <w:r>
        <w:rPr>
          <w:rStyle w:val="FootnoteReference"/>
        </w:rPr>
        <w:footnoteReference w:id="4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6">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7">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6D8B87"/>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0B0FA6D"/>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0B6876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12"/>
              <c:delete val="1"/>
            </c:dLbl>
            <c:dLbl>
              <c:idx val="13"/>
              <c:delete val="1"/>
            </c:dLbl>
            <c:dLbl>
              <c:idx val="14"/>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2"/>
              <c:delete val="1"/>
            </c:dLbl>
            <c:dLbl>
              <c:idx val="4"/>
              <c:delete val="1"/>
            </c:dLbl>
            <c:dLbl>
              <c:idx val="5"/>
              <c:delete val="1"/>
            </c:dLbl>
            <c:dLbl>
              <c:idx val="6"/>
              <c:delete val="1"/>
            </c:dLbl>
            <c:dLbl>
              <c:idx val="10"/>
              <c:delete val="1"/>
            </c:dLbl>
            <c:dLbl>
              <c:idx val="11"/>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