
<file path=[Content_Types].xml><?xml version="1.0" encoding="utf-8"?>
<Types xmlns="http://schemas.openxmlformats.org/package/2006/content-types">
  <Default Extension="jpeg" ContentType="image/jpeg"/>
  <Default Extension="rels" ContentType="application/vnd.openxmlformats-package.relationships+xml"/>
  <Default Extension="xlsx" ContentType="application/vnd.openxmlformats-officedocument.spreadsheetml.sheet"/>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jc w:val="center"/>
      </w:pPr>
      <w:r>
        <w:rPr>
          <w:b/>
          <w:i w:val="0"/>
          <w:sz w:val="28"/>
        </w:rPr>
        <w:t>KREDIT RISKINI TAN OLISHDA MILLIY TASNIF VA MHXS 9 BOSQICHLARI O‘RTASIDAGI TAFOVUT: “O‘ZSANOATQURILISHBANK” ATB MISOLIDA</w:t>
      </w:r>
    </w:p>
    <w:p>
      <w:pPr>
        <w:ind w:firstLine="0"/>
        <w:jc w:val="center"/>
      </w:pPr>
      <w:r>
        <w:rPr>
          <w:b/>
          <w:i w:val="0"/>
          <w:sz w:val="26"/>
        </w:rPr>
        <w:t>Maxmudov Omon Tuxtayevich</w:t>
      </w:r>
    </w:p>
    <w:p>
      <w:pPr>
        <w:ind w:firstLine="567"/>
        <w:jc w:val="both"/>
      </w:pPr>
      <w:r>
        <w:rPr>
          <w:b w:val="0"/>
          <w:i/>
          <w:sz w:val="24"/>
        </w:rPr>
        <w:t>Annotatsiya. Maqolada “O‘zsanoatqurilishbank” ATB ning 2021–2025-yillardagi auditdan o‘tgan konsolidatsiyalangan moliyaviy hisobotlarida oshkor qilingan kesishma jadvallar asosida kredit portfelining Markaziy bank tasnifi toifalari va MHXS 9 bosqichlari bo‘yicha taqsimoti, bosqichlararo o‘tishlar va ularni belgilash mezonlari tahlil qilingan. Aniqlanishicha, milliy tasnif bo‘yicha muammoli kreditlar MHXS 9 bo‘yicha qadrsizlangan kreditlarning faqat 43–71 foizini qamraydi, 2025-yilda esa 3-bosqich kreditlarining 57,2 foizi milliy hisobotda “standart” yoki “substandart” toifasida bo‘lgan. Kredit riski sezilarli oshgan 2-bosqich kreditlari ulushi 2023–2025-yillarda 15,8 foizdan 35,7 foizga ko‘tarilgan, biroq ularning birortasi ham milliy hisobotda muammoli kredit sifatida aks etmagan. Tafovutning asosiy manbalari – restrukturizatsiya qilingan kreditlarni tasniflash qoidalari va yaxshilanish uchun sinov muddatining yo‘qligi.</w:t>
      </w:r>
    </w:p>
    <w:p>
      <w:pPr>
        <w:ind w:firstLine="567"/>
        <w:jc w:val="both"/>
      </w:pPr>
      <w:r>
        <w:rPr>
          <w:b w:val="0"/>
          <w:i/>
          <w:sz w:val="24"/>
        </w:rPr>
        <w:t>Kalit so‘zlar: kredit riski, MHXS 9, kutilgan kredit zararlari, aktivlarni tasniflash, muammoli kreditlar, restrukturizatsiya, yashirin kredit riski.</w:t>
      </w:r>
    </w:p>
    <w:p>
      <w:pPr>
        <w:ind w:firstLine="0"/>
        <w:jc w:val="left"/>
      </w:pPr>
      <w:r>
        <w:rPr>
          <w:b/>
          <w:i w:val="0"/>
          <w:sz w:val="26"/>
        </w:rPr>
        <w:t>Kirish</w:t>
      </w:r>
    </w:p>
    <w:p>
      <w:pPr>
        <w:ind w:firstLine="567"/>
        <w:jc w:val="both"/>
      </w:pPr>
      <w:r>
        <w:rPr>
          <w:b w:val="0"/>
          <w:i w:val="0"/>
          <w:sz w:val="26"/>
        </w:rPr>
        <w:t>Tijorat banklarining moliyaviy barqarorligini baholashda aktivlar sifati ko‘rsatkichlari markaziy o‘rinni egallaydi, biroq ularning qiymati kredit riskini qaysi mezonlar bo‘yicha tan olishga bog‘liq. O‘zbekistonda prudensial nazorat Markaziy bankning aktivlarni tasniflash qoidalariga asoslangan milliy hisobot bo‘yicha amalga oshiriladi, banklarning moliyaviy hisobotlari esa 2021-yildan Moliyaviy hisobotning xalqaro standartlari (MHXS) bo‘yicha tuziladi. Natijada bir bankning kredit portfeli bir vaqtning o‘zida ikki xil tasnifga ega bo‘ladi. Xalqaro valyuta jamg‘armasining moliya sektorini baholash dasturi doirasida qayd etilishicha, O‘zbekistonda restrukturizatsiya qilingan kreditlarning asosiy qismi “standart” toifada qoladi, 6 oygacha imtiyozli davr tasnifga ta’sir qilmaydi va muammoli toifadan chiqarish uchun sinov muddati belgilanmagan [5]. Maqolaning maqsadi – bu tafovutning ko‘lami, dinamikasi va sabablarini bitta yirik bank misolida miqdoriy baholash.</w:t>
      </w:r>
    </w:p>
    <w:p>
      <w:pPr>
        <w:ind w:firstLine="0"/>
        <w:jc w:val="left"/>
      </w:pPr>
      <w:r>
        <w:rPr>
          <w:b/>
          <w:i w:val="0"/>
          <w:sz w:val="26"/>
        </w:rPr>
        <w:t>Adabiyotlar sharhi</w:t>
      </w:r>
    </w:p>
    <w:p>
      <w:pPr>
        <w:ind w:firstLine="567"/>
        <w:jc w:val="both"/>
      </w:pPr>
      <w:r>
        <w:rPr>
          <w:b w:val="0"/>
          <w:i w:val="0"/>
          <w:sz w:val="26"/>
        </w:rPr>
        <w:t>Bazel qo‘mitasi kutilgan kredit zararlari bo‘yicha yo‘riqnomada buxgalteriya talablari va kredit riskini boshqarish amaliyotini uyg‘unlashtirishni tavsiya etgan [1], keyinchalik esa kutilgan zararlar modeliga o‘tishning regulyativ kapitalga ta’sirini bosqichma-bosqich hisobga olish qoidalarini qabul qilgan [2]. D. Bholat va hammualliflar muammoli kreditlarning buxgalteriya va nazorat ta’riflari mamlakatlar bo‘yicha turlicha ekanini va MHXS 9 bu ta’riflarni yaqinlashtirish imkonini berishini ko‘rsatgan [3]. J. Abad va J. Suarez kutilgan kredit zararlari modeli zaxiralarni iqtisodiy pasayish boshlanishida ertaroq oshirishini isbotlagan [4]. H. Huizinga va L. Laeven esa buxgalteriya hisobidagi erkinlik banklarga kapital ko‘rsatkichlarini yaxshiroq ko‘rsatish imkonini berishini aniqlagan [6]. Biroq O‘zbekiston banklari bo‘yicha ikki tasnif o‘rtasidagi tafovut bank darajasidagi kesishma ma’lumotlar asosida hali tizimli o‘rganilmagan.</w:t>
      </w:r>
    </w:p>
    <w:p>
      <w:pPr>
        <w:ind w:firstLine="0"/>
        <w:jc w:val="left"/>
      </w:pPr>
      <w:r>
        <w:rPr>
          <w:b/>
          <w:i w:val="0"/>
          <w:sz w:val="26"/>
        </w:rPr>
        <w:t>Ma’lumotlar va metodologiya</w:t>
      </w:r>
    </w:p>
    <w:p>
      <w:pPr>
        <w:ind w:firstLine="567"/>
        <w:jc w:val="both"/>
      </w:pPr>
      <w:r>
        <w:rPr>
          <w:b w:val="0"/>
          <w:i w:val="0"/>
          <w:sz w:val="26"/>
        </w:rPr>
        <w:t>Tadqiqotda “O‘zsanoatqurilishbank” ATB ning 2023-yil (2021–2023-yillar ma’lumotlari bilan) va 2025-yil (2024–2025-yillar) uchun auditdan o‘tgan konsolidatsiyalangan moliyaviy hisobotlari [7; 8] hamda bankning milliy hisobot ma’lumotlari [9] qo‘llandi. Hisobotlarda amortizatsiyalangan qiymatda baholanadigan mijozlarga kreditlar uch segment (korporativ, davlat va munitsipal tashkilotlar, jismoniy shaxslar) bo‘yicha MHXS 9 bosqichlari va Markaziy bank tasnifi toifalari kesimida (kesishma jadval), shuningdek bosqichlararo o‘tishlar bilan oshkor qilingan. Segmentlar ma’lumotlari yig‘ilib, bank bo‘yicha jami ko‘rsatkichlar hisoblandi. Bosqichlarni belgilash mezonlari bankning hisob siyosatidan, milliy tasnif mezonlari Markaziy bank nizomi [10] va toifalar ta’riflaridan olindi.</w:t>
      </w:r>
    </w:p>
    <w:p>
      <w:pPr>
        <w:ind w:firstLine="0"/>
        <w:jc w:val="left"/>
      </w:pPr>
      <w:r>
        <w:rPr>
          <w:b/>
          <w:i w:val="0"/>
          <w:sz w:val="26"/>
        </w:rPr>
        <w:t>Tahlil va natijalar</w:t>
      </w:r>
    </w:p>
    <w:p>
      <w:pPr>
        <w:ind w:firstLine="567"/>
        <w:jc w:val="both"/>
      </w:pPr>
      <w:r>
        <w:rPr>
          <w:b w:val="0"/>
          <w:i w:val="0"/>
          <w:sz w:val="26"/>
        </w:rPr>
        <w:t>1. Ikki hisobotda kredit portfeli hajmi. Milliy hisobot va MHXS bo‘yicha kreditlar hajmi farq qiladi (1-jadval). Farqning asosiy qismi hisoblangan foizlar bilan izohlanadi: MHXS bo‘yicha ular kreditning yalpi qiymatiga kiradi, milliy hisobotda esa alohida moddada yuritiladi. Ular qo‘shilganda farq 2021, 2023 va 2024-yillarda 0,1–0,6 foizgacha qisqaradi, qolgan qismi konsolidatsiya doirasi va boshqa aktivlar bo‘yicha hisoblangan foizlar bilan bog‘liq.</w:t>
      </w:r>
    </w:p>
    <w:p>
      <w:pPr>
        <w:ind w:firstLine="0"/>
        <w:jc w:val="right"/>
      </w:pPr>
      <w:r>
        <w:rPr>
          <w:b w:val="0"/>
          <w:i/>
          <w:sz w:val="24"/>
        </w:rPr>
        <w:t>1-jadval</w:t>
      </w:r>
    </w:p>
    <w:p>
      <w:pPr>
        <w:spacing w:line="240" w:lineRule="auto"/>
        <w:ind w:firstLine="0"/>
        <w:jc w:val="center"/>
      </w:pPr>
      <w:r>
        <w:rPr>
          <w:b/>
          <w:i w:val="0"/>
          <w:sz w:val="24"/>
        </w:rPr>
        <w:t>Kreditlar hajmi: milliy hisobot va MHXS, mlrd so‘m</w:t>
      </w:r>
    </w:p>
    <w:tbl>
      <w:tblPr>
        <w:tblStyle w:val="TableGrid"/>
        <w:tblW w:type="auto" w:w="0"/>
        <w:jc w:val="center"/>
        <w:tblLayout w:type="fixed"/>
        <w:tblLook w:firstColumn="1" w:firstRow="1" w:lastColumn="0" w:lastRow="0" w:noHBand="0" w:noVBand="1" w:val="04A0"/>
      </w:tblPr>
      <w:tblGrid>
        <w:gridCol w:w="737"/>
        <w:gridCol w:w="1474"/>
        <w:gridCol w:w="1361"/>
        <w:gridCol w:w="1417"/>
        <w:gridCol w:w="1474"/>
        <w:gridCol w:w="1474"/>
        <w:gridCol w:w="1474"/>
      </w:tblGrid>
      <w:tr>
        <w:tc>
          <w:tcPr>
            <w:tcW w:type="dxa" w:w="737"/>
            <w:vAlign w:val="center"/>
            <w:shd w:val="clear" w:fill="DEEBF7"/>
          </w:tcPr>
          <w:p>
            <w:pPr>
              <w:spacing w:line="240" w:lineRule="auto" w:after="0"/>
              <w:jc w:val="center"/>
            </w:pPr>
            <w:r>
              <w:rPr>
                <w:b/>
                <w:sz w:val="21"/>
              </w:rPr>
              <w:t>Yil</w:t>
            </w:r>
          </w:p>
        </w:tc>
        <w:tc>
          <w:tcPr>
            <w:tcW w:type="dxa" w:w="1474"/>
            <w:vAlign w:val="center"/>
            <w:shd w:val="clear" w:fill="DEEBF7"/>
          </w:tcPr>
          <w:p>
            <w:pPr>
              <w:spacing w:line="240" w:lineRule="auto" w:after="0"/>
              <w:jc w:val="center"/>
            </w:pPr>
            <w:r>
              <w:rPr>
                <w:b/>
                <w:sz w:val="21"/>
              </w:rPr>
              <w:t>Milliy hisobot (brutto)</w:t>
            </w:r>
          </w:p>
        </w:tc>
        <w:tc>
          <w:tcPr>
            <w:tcW w:type="dxa" w:w="1361"/>
            <w:vAlign w:val="center"/>
            <w:shd w:val="clear" w:fill="DEEBF7"/>
          </w:tcPr>
          <w:p>
            <w:pPr>
              <w:spacing w:line="240" w:lineRule="auto" w:after="0"/>
              <w:jc w:val="center"/>
            </w:pPr>
            <w:r>
              <w:rPr>
                <w:b/>
                <w:sz w:val="21"/>
              </w:rPr>
              <w:t>Hisoblangan foizlar</w:t>
            </w:r>
          </w:p>
        </w:tc>
        <w:tc>
          <w:tcPr>
            <w:tcW w:type="dxa" w:w="1417"/>
            <w:vAlign w:val="center"/>
            <w:shd w:val="clear" w:fill="DEEBF7"/>
          </w:tcPr>
          <w:p>
            <w:pPr>
              <w:spacing w:line="240" w:lineRule="auto" w:after="0"/>
              <w:jc w:val="center"/>
            </w:pPr>
            <w:r>
              <w:rPr>
                <w:b/>
                <w:sz w:val="21"/>
              </w:rPr>
              <w:t>Milliy + foizlar</w:t>
            </w:r>
          </w:p>
        </w:tc>
        <w:tc>
          <w:tcPr>
            <w:tcW w:type="dxa" w:w="1474"/>
            <w:vAlign w:val="center"/>
            <w:shd w:val="clear" w:fill="DEEBF7"/>
          </w:tcPr>
          <w:p>
            <w:pPr>
              <w:spacing w:line="240" w:lineRule="auto" w:after="0"/>
              <w:jc w:val="center"/>
            </w:pPr>
            <w:r>
              <w:rPr>
                <w:b/>
                <w:sz w:val="21"/>
              </w:rPr>
              <w:t>MHXS (yalpi qiymat)</w:t>
            </w:r>
          </w:p>
        </w:tc>
        <w:tc>
          <w:tcPr>
            <w:tcW w:type="dxa" w:w="1474"/>
            <w:vAlign w:val="center"/>
            <w:shd w:val="clear" w:fill="DEEBF7"/>
          </w:tcPr>
          <w:p>
            <w:pPr>
              <w:spacing w:line="240" w:lineRule="auto" w:after="0"/>
              <w:jc w:val="center"/>
            </w:pPr>
            <w:r>
              <w:rPr>
                <w:b/>
                <w:sz w:val="21"/>
              </w:rPr>
              <w:t>Farq (MHXS − milliy), %</w:t>
            </w:r>
          </w:p>
        </w:tc>
        <w:tc>
          <w:tcPr>
            <w:tcW w:type="dxa" w:w="1474"/>
            <w:vAlign w:val="center"/>
            <w:shd w:val="clear" w:fill="DEEBF7"/>
          </w:tcPr>
          <w:p>
            <w:pPr>
              <w:spacing w:line="240" w:lineRule="auto" w:after="0"/>
              <w:jc w:val="center"/>
            </w:pPr>
            <w:r>
              <w:rPr>
                <w:b/>
                <w:sz w:val="21"/>
              </w:rPr>
              <w:t>Farq (foizlar bilan), %</w:t>
            </w:r>
          </w:p>
        </w:tc>
      </w:tr>
      <w:tr>
        <w:tc>
          <w:tcPr>
            <w:tcW w:type="dxa" w:w="737"/>
            <w:vAlign w:val="center"/>
          </w:tcPr>
          <w:p>
            <w:pPr>
              <w:spacing w:line="240" w:lineRule="auto" w:after="0"/>
              <w:jc w:val="left"/>
            </w:pPr>
            <w:r>
              <w:rPr>
                <w:b w:val="0"/>
                <w:sz w:val="21"/>
              </w:rPr>
              <w:t>2021</w:t>
            </w:r>
          </w:p>
        </w:tc>
        <w:tc>
          <w:tcPr>
            <w:tcW w:type="dxa" w:w="1474"/>
            <w:vAlign w:val="center"/>
          </w:tcPr>
          <w:p>
            <w:pPr>
              <w:spacing w:line="240" w:lineRule="auto" w:after="0"/>
              <w:jc w:val="center"/>
            </w:pPr>
            <w:r>
              <w:rPr>
                <w:b w:val="0"/>
                <w:sz w:val="21"/>
              </w:rPr>
              <w:t>43 147,8</w:t>
            </w:r>
          </w:p>
        </w:tc>
        <w:tc>
          <w:tcPr>
            <w:tcW w:type="dxa" w:w="1361"/>
            <w:vAlign w:val="center"/>
          </w:tcPr>
          <w:p>
            <w:pPr>
              <w:spacing w:line="240" w:lineRule="auto" w:after="0"/>
              <w:jc w:val="center"/>
            </w:pPr>
            <w:r>
              <w:rPr>
                <w:b w:val="0"/>
                <w:sz w:val="21"/>
              </w:rPr>
              <w:t>1 320,2</w:t>
            </w:r>
          </w:p>
        </w:tc>
        <w:tc>
          <w:tcPr>
            <w:tcW w:type="dxa" w:w="1417"/>
            <w:vAlign w:val="center"/>
          </w:tcPr>
          <w:p>
            <w:pPr>
              <w:spacing w:line="240" w:lineRule="auto" w:after="0"/>
              <w:jc w:val="center"/>
            </w:pPr>
            <w:r>
              <w:rPr>
                <w:b w:val="0"/>
                <w:sz w:val="21"/>
              </w:rPr>
              <w:t>44 468,0</w:t>
            </w:r>
          </w:p>
        </w:tc>
        <w:tc>
          <w:tcPr>
            <w:tcW w:type="dxa" w:w="1474"/>
            <w:vAlign w:val="center"/>
          </w:tcPr>
          <w:p>
            <w:pPr>
              <w:spacing w:line="240" w:lineRule="auto" w:after="0"/>
              <w:jc w:val="center"/>
            </w:pPr>
            <w:r>
              <w:rPr>
                <w:b w:val="0"/>
                <w:sz w:val="21"/>
              </w:rPr>
              <w:t>44 529,8</w:t>
            </w:r>
          </w:p>
        </w:tc>
        <w:tc>
          <w:tcPr>
            <w:tcW w:type="dxa" w:w="1474"/>
            <w:vAlign w:val="center"/>
          </w:tcPr>
          <w:p>
            <w:pPr>
              <w:spacing w:line="240" w:lineRule="auto" w:after="0"/>
              <w:jc w:val="center"/>
            </w:pPr>
            <w:r>
              <w:rPr>
                <w:b w:val="0"/>
                <w:sz w:val="21"/>
              </w:rPr>
              <w:t>3,2</w:t>
            </w:r>
          </w:p>
        </w:tc>
        <w:tc>
          <w:tcPr>
            <w:tcW w:type="dxa" w:w="1474"/>
            <w:vAlign w:val="center"/>
          </w:tcPr>
          <w:p>
            <w:pPr>
              <w:spacing w:line="240" w:lineRule="auto" w:after="0"/>
              <w:jc w:val="center"/>
            </w:pPr>
            <w:r>
              <w:rPr>
                <w:b w:val="0"/>
                <w:sz w:val="21"/>
              </w:rPr>
              <w:t>0,1</w:t>
            </w:r>
          </w:p>
        </w:tc>
      </w:tr>
      <w:tr>
        <w:tc>
          <w:tcPr>
            <w:tcW w:type="dxa" w:w="737"/>
            <w:vAlign w:val="center"/>
          </w:tcPr>
          <w:p>
            <w:pPr>
              <w:spacing w:line="240" w:lineRule="auto" w:after="0"/>
              <w:jc w:val="left"/>
            </w:pPr>
            <w:r>
              <w:rPr>
                <w:b w:val="0"/>
                <w:sz w:val="21"/>
              </w:rPr>
              <w:t>2022</w:t>
            </w:r>
          </w:p>
        </w:tc>
        <w:tc>
          <w:tcPr>
            <w:tcW w:type="dxa" w:w="1474"/>
            <w:vAlign w:val="center"/>
          </w:tcPr>
          <w:p>
            <w:pPr>
              <w:spacing w:line="240" w:lineRule="auto" w:after="0"/>
              <w:jc w:val="center"/>
            </w:pPr>
            <w:r>
              <w:rPr>
                <w:b w:val="0"/>
                <w:sz w:val="21"/>
              </w:rPr>
              <w:t>48 075,9</w:t>
            </w:r>
          </w:p>
        </w:tc>
        <w:tc>
          <w:tcPr>
            <w:tcW w:type="dxa" w:w="1361"/>
            <w:vAlign w:val="center"/>
          </w:tcPr>
          <w:p>
            <w:pPr>
              <w:spacing w:line="240" w:lineRule="auto" w:after="0"/>
              <w:jc w:val="center"/>
            </w:pPr>
            <w:r>
              <w:rPr>
                <w:b w:val="0"/>
                <w:sz w:val="21"/>
              </w:rPr>
              <w:t>1 933,0</w:t>
            </w:r>
          </w:p>
        </w:tc>
        <w:tc>
          <w:tcPr>
            <w:tcW w:type="dxa" w:w="1417"/>
            <w:vAlign w:val="center"/>
          </w:tcPr>
          <w:p>
            <w:pPr>
              <w:spacing w:line="240" w:lineRule="auto" w:after="0"/>
              <w:jc w:val="center"/>
            </w:pPr>
            <w:r>
              <w:rPr>
                <w:b w:val="0"/>
                <w:sz w:val="21"/>
              </w:rPr>
              <w:t>50 008,9</w:t>
            </w:r>
          </w:p>
        </w:tc>
        <w:tc>
          <w:tcPr>
            <w:tcW w:type="dxa" w:w="1474"/>
            <w:vAlign w:val="center"/>
          </w:tcPr>
          <w:p>
            <w:pPr>
              <w:spacing w:line="240" w:lineRule="auto" w:after="0"/>
              <w:jc w:val="center"/>
            </w:pPr>
            <w:r>
              <w:rPr>
                <w:b w:val="0"/>
                <w:sz w:val="21"/>
              </w:rPr>
              <w:t>51 298,4</w:t>
            </w:r>
          </w:p>
        </w:tc>
        <w:tc>
          <w:tcPr>
            <w:tcW w:type="dxa" w:w="1474"/>
            <w:vAlign w:val="center"/>
          </w:tcPr>
          <w:p>
            <w:pPr>
              <w:spacing w:line="240" w:lineRule="auto" w:after="0"/>
              <w:jc w:val="center"/>
            </w:pPr>
            <w:r>
              <w:rPr>
                <w:b w:val="0"/>
                <w:sz w:val="21"/>
              </w:rPr>
              <w:t>6,7</w:t>
            </w:r>
          </w:p>
        </w:tc>
        <w:tc>
          <w:tcPr>
            <w:tcW w:type="dxa" w:w="1474"/>
            <w:vAlign w:val="center"/>
          </w:tcPr>
          <w:p>
            <w:pPr>
              <w:spacing w:line="240" w:lineRule="auto" w:after="0"/>
              <w:jc w:val="center"/>
            </w:pPr>
            <w:r>
              <w:rPr>
                <w:b w:val="0"/>
                <w:sz w:val="21"/>
              </w:rPr>
              <w:t>2,6</w:t>
            </w:r>
          </w:p>
        </w:tc>
      </w:tr>
      <w:tr>
        <w:tc>
          <w:tcPr>
            <w:tcW w:type="dxa" w:w="737"/>
            <w:vAlign w:val="center"/>
          </w:tcPr>
          <w:p>
            <w:pPr>
              <w:spacing w:line="240" w:lineRule="auto" w:after="0"/>
              <w:jc w:val="left"/>
            </w:pPr>
            <w:r>
              <w:rPr>
                <w:b w:val="0"/>
                <w:sz w:val="21"/>
              </w:rPr>
              <w:t>2023</w:t>
            </w:r>
          </w:p>
        </w:tc>
        <w:tc>
          <w:tcPr>
            <w:tcW w:type="dxa" w:w="1474"/>
            <w:vAlign w:val="center"/>
          </w:tcPr>
          <w:p>
            <w:pPr>
              <w:spacing w:line="240" w:lineRule="auto" w:after="0"/>
              <w:jc w:val="center"/>
            </w:pPr>
            <w:r>
              <w:rPr>
                <w:b w:val="0"/>
                <w:sz w:val="21"/>
              </w:rPr>
              <w:t>57 124,4</w:t>
            </w:r>
          </w:p>
        </w:tc>
        <w:tc>
          <w:tcPr>
            <w:tcW w:type="dxa" w:w="1361"/>
            <w:vAlign w:val="center"/>
          </w:tcPr>
          <w:p>
            <w:pPr>
              <w:spacing w:line="240" w:lineRule="auto" w:after="0"/>
              <w:jc w:val="center"/>
            </w:pPr>
            <w:r>
              <w:rPr>
                <w:b w:val="0"/>
                <w:sz w:val="21"/>
              </w:rPr>
              <w:t>2 908,2</w:t>
            </w:r>
          </w:p>
        </w:tc>
        <w:tc>
          <w:tcPr>
            <w:tcW w:type="dxa" w:w="1417"/>
            <w:vAlign w:val="center"/>
          </w:tcPr>
          <w:p>
            <w:pPr>
              <w:spacing w:line="240" w:lineRule="auto" w:after="0"/>
              <w:jc w:val="center"/>
            </w:pPr>
            <w:r>
              <w:rPr>
                <w:b w:val="0"/>
                <w:sz w:val="21"/>
              </w:rPr>
              <w:t>60 032,6</w:t>
            </w:r>
          </w:p>
        </w:tc>
        <w:tc>
          <w:tcPr>
            <w:tcW w:type="dxa" w:w="1474"/>
            <w:vAlign w:val="center"/>
          </w:tcPr>
          <w:p>
            <w:pPr>
              <w:spacing w:line="240" w:lineRule="auto" w:after="0"/>
              <w:jc w:val="center"/>
            </w:pPr>
            <w:r>
              <w:rPr>
                <w:b w:val="0"/>
                <w:sz w:val="21"/>
              </w:rPr>
              <w:t>60 407,8</w:t>
            </w:r>
          </w:p>
        </w:tc>
        <w:tc>
          <w:tcPr>
            <w:tcW w:type="dxa" w:w="1474"/>
            <w:vAlign w:val="center"/>
          </w:tcPr>
          <w:p>
            <w:pPr>
              <w:spacing w:line="240" w:lineRule="auto" w:after="0"/>
              <w:jc w:val="center"/>
            </w:pPr>
            <w:r>
              <w:rPr>
                <w:b w:val="0"/>
                <w:sz w:val="21"/>
              </w:rPr>
              <w:t>5,7</w:t>
            </w:r>
          </w:p>
        </w:tc>
        <w:tc>
          <w:tcPr>
            <w:tcW w:type="dxa" w:w="1474"/>
            <w:vAlign w:val="center"/>
          </w:tcPr>
          <w:p>
            <w:pPr>
              <w:spacing w:line="240" w:lineRule="auto" w:after="0"/>
              <w:jc w:val="center"/>
            </w:pPr>
            <w:r>
              <w:rPr>
                <w:b w:val="0"/>
                <w:sz w:val="21"/>
              </w:rPr>
              <w:t>0,6</w:t>
            </w:r>
          </w:p>
        </w:tc>
      </w:tr>
      <w:tr>
        <w:tc>
          <w:tcPr>
            <w:tcW w:type="dxa" w:w="737"/>
            <w:vAlign w:val="center"/>
          </w:tcPr>
          <w:p>
            <w:pPr>
              <w:spacing w:line="240" w:lineRule="auto" w:after="0"/>
              <w:jc w:val="left"/>
            </w:pPr>
            <w:r>
              <w:rPr>
                <w:b w:val="0"/>
                <w:sz w:val="21"/>
              </w:rPr>
              <w:t>2024</w:t>
            </w:r>
          </w:p>
        </w:tc>
        <w:tc>
          <w:tcPr>
            <w:tcW w:type="dxa" w:w="1474"/>
            <w:vAlign w:val="center"/>
          </w:tcPr>
          <w:p>
            <w:pPr>
              <w:spacing w:line="240" w:lineRule="auto" w:after="0"/>
              <w:jc w:val="center"/>
            </w:pPr>
            <w:r>
              <w:rPr>
                <w:b w:val="0"/>
                <w:sz w:val="21"/>
              </w:rPr>
              <w:t>65 498,4</w:t>
            </w:r>
          </w:p>
        </w:tc>
        <w:tc>
          <w:tcPr>
            <w:tcW w:type="dxa" w:w="1361"/>
            <w:vAlign w:val="center"/>
          </w:tcPr>
          <w:p>
            <w:pPr>
              <w:spacing w:line="240" w:lineRule="auto" w:after="0"/>
              <w:jc w:val="center"/>
            </w:pPr>
            <w:r>
              <w:rPr>
                <w:b w:val="0"/>
                <w:sz w:val="21"/>
              </w:rPr>
              <w:t>3 894,5</w:t>
            </w:r>
          </w:p>
        </w:tc>
        <w:tc>
          <w:tcPr>
            <w:tcW w:type="dxa" w:w="1417"/>
            <w:vAlign w:val="center"/>
          </w:tcPr>
          <w:p>
            <w:pPr>
              <w:spacing w:line="240" w:lineRule="auto" w:after="0"/>
              <w:jc w:val="center"/>
            </w:pPr>
            <w:r>
              <w:rPr>
                <w:b w:val="0"/>
                <w:sz w:val="21"/>
              </w:rPr>
              <w:t>69 392,9</w:t>
            </w:r>
          </w:p>
        </w:tc>
        <w:tc>
          <w:tcPr>
            <w:tcW w:type="dxa" w:w="1474"/>
            <w:vAlign w:val="center"/>
          </w:tcPr>
          <w:p>
            <w:pPr>
              <w:spacing w:line="240" w:lineRule="auto" w:after="0"/>
              <w:jc w:val="center"/>
            </w:pPr>
            <w:r>
              <w:rPr>
                <w:b w:val="0"/>
                <w:sz w:val="21"/>
              </w:rPr>
              <w:t>69 772,0</w:t>
            </w:r>
          </w:p>
        </w:tc>
        <w:tc>
          <w:tcPr>
            <w:tcW w:type="dxa" w:w="1474"/>
            <w:vAlign w:val="center"/>
          </w:tcPr>
          <w:p>
            <w:pPr>
              <w:spacing w:line="240" w:lineRule="auto" w:after="0"/>
              <w:jc w:val="center"/>
            </w:pPr>
            <w:r>
              <w:rPr>
                <w:b w:val="0"/>
                <w:sz w:val="21"/>
              </w:rPr>
              <w:t>6,5</w:t>
            </w:r>
          </w:p>
        </w:tc>
        <w:tc>
          <w:tcPr>
            <w:tcW w:type="dxa" w:w="1474"/>
            <w:vAlign w:val="center"/>
          </w:tcPr>
          <w:p>
            <w:pPr>
              <w:spacing w:line="240" w:lineRule="auto" w:after="0"/>
              <w:jc w:val="center"/>
            </w:pPr>
            <w:r>
              <w:rPr>
                <w:b w:val="0"/>
                <w:sz w:val="21"/>
              </w:rPr>
              <w:t>0,5</w:t>
            </w:r>
          </w:p>
        </w:tc>
      </w:tr>
      <w:tr>
        <w:tc>
          <w:tcPr>
            <w:tcW w:type="dxa" w:w="737"/>
            <w:vAlign w:val="center"/>
          </w:tcPr>
          <w:p>
            <w:pPr>
              <w:spacing w:line="240" w:lineRule="auto" w:after="0"/>
              <w:jc w:val="left"/>
            </w:pPr>
            <w:r>
              <w:rPr>
                <w:b w:val="0"/>
                <w:sz w:val="21"/>
              </w:rPr>
              <w:t>2025</w:t>
            </w:r>
          </w:p>
        </w:tc>
        <w:tc>
          <w:tcPr>
            <w:tcW w:type="dxa" w:w="1474"/>
            <w:vAlign w:val="center"/>
          </w:tcPr>
          <w:p>
            <w:pPr>
              <w:spacing w:line="240" w:lineRule="auto" w:after="0"/>
              <w:jc w:val="center"/>
            </w:pPr>
            <w:r>
              <w:rPr>
                <w:b w:val="0"/>
                <w:sz w:val="21"/>
              </w:rPr>
              <w:t>64 935,6</w:t>
            </w:r>
          </w:p>
        </w:tc>
        <w:tc>
          <w:tcPr>
            <w:tcW w:type="dxa" w:w="1361"/>
            <w:vAlign w:val="center"/>
          </w:tcPr>
          <w:p>
            <w:pPr>
              <w:spacing w:line="240" w:lineRule="auto" w:after="0"/>
              <w:jc w:val="center"/>
            </w:pPr>
            <w:r>
              <w:rPr>
                <w:b w:val="0"/>
                <w:sz w:val="21"/>
              </w:rPr>
              <w:t>6 711,8</w:t>
            </w:r>
          </w:p>
        </w:tc>
        <w:tc>
          <w:tcPr>
            <w:tcW w:type="dxa" w:w="1417"/>
            <w:vAlign w:val="center"/>
          </w:tcPr>
          <w:p>
            <w:pPr>
              <w:spacing w:line="240" w:lineRule="auto" w:after="0"/>
              <w:jc w:val="center"/>
            </w:pPr>
            <w:r>
              <w:rPr>
                <w:b w:val="0"/>
                <w:sz w:val="21"/>
              </w:rPr>
              <w:t>71 647,4</w:t>
            </w:r>
          </w:p>
        </w:tc>
        <w:tc>
          <w:tcPr>
            <w:tcW w:type="dxa" w:w="1474"/>
            <w:vAlign w:val="center"/>
          </w:tcPr>
          <w:p>
            <w:pPr>
              <w:spacing w:line="240" w:lineRule="auto" w:after="0"/>
              <w:jc w:val="center"/>
            </w:pPr>
            <w:r>
              <w:rPr>
                <w:b w:val="0"/>
                <w:sz w:val="21"/>
              </w:rPr>
              <w:t>71 008,8</w:t>
            </w:r>
          </w:p>
        </w:tc>
        <w:tc>
          <w:tcPr>
            <w:tcW w:type="dxa" w:w="1474"/>
            <w:vAlign w:val="center"/>
          </w:tcPr>
          <w:p>
            <w:pPr>
              <w:spacing w:line="240" w:lineRule="auto" w:after="0"/>
              <w:jc w:val="center"/>
            </w:pPr>
            <w:r>
              <w:rPr>
                <w:b w:val="0"/>
                <w:sz w:val="21"/>
              </w:rPr>
              <w:t>9,4</w:t>
            </w:r>
          </w:p>
        </w:tc>
        <w:tc>
          <w:tcPr>
            <w:tcW w:type="dxa" w:w="1474"/>
            <w:vAlign w:val="center"/>
          </w:tcPr>
          <w:p>
            <w:pPr>
              <w:spacing w:line="240" w:lineRule="auto" w:after="0"/>
              <w:jc w:val="center"/>
            </w:pPr>
            <w:r>
              <w:rPr>
                <w:b w:val="0"/>
                <w:sz w:val="21"/>
              </w:rPr>
              <w:t>-0,9</w:t>
            </w:r>
          </w:p>
        </w:tc>
      </w:tr>
    </w:tbl>
    <w:p>
      <w:pPr>
        <w:spacing w:line="240" w:lineRule="auto"/>
        <w:ind w:firstLine="0"/>
        <w:jc w:val="both"/>
      </w:pPr>
      <w:r>
        <w:rPr>
          <w:b w:val="0"/>
          <w:i/>
          <w:sz w:val="21"/>
        </w:rPr>
        <w:t>Manba: [7; 8; 9] asosida muallif hisobi.</w:t>
      </w:r>
    </w:p>
    <w:p>
      <w:pPr>
        <w:ind w:firstLine="567"/>
        <w:jc w:val="both"/>
      </w:pPr>
      <w:r>
        <w:rPr>
          <w:b w:val="0"/>
          <w:i w:val="0"/>
          <w:sz w:val="26"/>
        </w:rPr>
        <w:t>2. Bosqichlarni belgilash mezonlari. Bankning hisob siyosatiga ko‘ra, MHXS 9 bosqichlari milliy toifalarni quyi chegara sifatida qo‘llaydi: “substandart” kredit kamida 2-bosqichga, “qoniqarsiz”, “shubhali” va “umidsiz” kreditlar esa 3-bosqichga kiritiladi. Bunga qo‘shimcha ravishda restrukturizatsiya, boshqa banklardagi qarzdorlik, tashqi reyting, garov qiymati, moliyaviy ko‘rsatkichlar va huquqiy holat hisobga olinadi, yaxshilanish uchun esa sinov muddati talab qilinadi (2-jadval).</w:t>
      </w:r>
    </w:p>
    <w:p>
      <w:pPr>
        <w:ind w:firstLine="0"/>
        <w:jc w:val="right"/>
      </w:pPr>
      <w:r>
        <w:rPr>
          <w:b w:val="0"/>
          <w:i/>
          <w:sz w:val="24"/>
        </w:rPr>
        <w:t>2-jadval</w:t>
      </w:r>
    </w:p>
    <w:p>
      <w:pPr>
        <w:spacing w:line="240" w:lineRule="auto"/>
        <w:ind w:firstLine="0"/>
        <w:jc w:val="center"/>
      </w:pPr>
      <w:r>
        <w:rPr>
          <w:b/>
          <w:i w:val="0"/>
          <w:sz w:val="24"/>
        </w:rPr>
        <w:t>Kreditlarni milliy tasnif va MHXS 9 bosqichlari bo‘yicha tasniflash mezonlari</w:t>
      </w:r>
    </w:p>
    <w:tbl>
      <w:tblPr>
        <w:tblStyle w:val="TableGrid"/>
        <w:tblW w:type="auto" w:w="0"/>
        <w:jc w:val="center"/>
        <w:tblLayout w:type="fixed"/>
        <w:tblLook w:firstColumn="1" w:firstRow="1" w:lastColumn="0" w:lastRow="0" w:noHBand="0" w:noVBand="1" w:val="04A0"/>
      </w:tblPr>
      <w:tblGrid>
        <w:gridCol w:w="1928"/>
        <w:gridCol w:w="3572"/>
        <w:gridCol w:w="3912"/>
      </w:tblGrid>
      <w:tr>
        <w:tc>
          <w:tcPr>
            <w:tcW w:type="dxa" w:w="1928"/>
            <w:vAlign w:val="center"/>
            <w:shd w:val="clear" w:fill="DEEBF7"/>
          </w:tcPr>
          <w:p>
            <w:pPr>
              <w:spacing w:line="240" w:lineRule="auto" w:after="0"/>
              <w:jc w:val="center"/>
            </w:pPr>
            <w:r>
              <w:rPr>
                <w:b/>
                <w:sz w:val="20"/>
              </w:rPr>
              <w:t>Mezon</w:t>
            </w:r>
          </w:p>
        </w:tc>
        <w:tc>
          <w:tcPr>
            <w:tcW w:type="dxa" w:w="3572"/>
            <w:vAlign w:val="center"/>
            <w:shd w:val="clear" w:fill="DEEBF7"/>
          </w:tcPr>
          <w:p>
            <w:pPr>
              <w:spacing w:line="240" w:lineRule="auto" w:after="0"/>
              <w:jc w:val="center"/>
            </w:pPr>
            <w:r>
              <w:rPr>
                <w:b/>
                <w:sz w:val="20"/>
              </w:rPr>
              <w:t>Milliy tasnif (Markaziy bank)</w:t>
            </w:r>
          </w:p>
        </w:tc>
        <w:tc>
          <w:tcPr>
            <w:tcW w:type="dxa" w:w="3912"/>
            <w:vAlign w:val="center"/>
            <w:shd w:val="clear" w:fill="DEEBF7"/>
          </w:tcPr>
          <w:p>
            <w:pPr>
              <w:spacing w:line="240" w:lineRule="auto" w:after="0"/>
              <w:jc w:val="center"/>
            </w:pPr>
            <w:r>
              <w:rPr>
                <w:b/>
                <w:sz w:val="20"/>
              </w:rPr>
              <w:t>MHXS 9 bosqichlari (bank siyosati)</w:t>
            </w:r>
          </w:p>
        </w:tc>
      </w:tr>
      <w:tr>
        <w:tc>
          <w:tcPr>
            <w:tcW w:type="dxa" w:w="1928"/>
            <w:vAlign w:val="center"/>
          </w:tcPr>
          <w:p>
            <w:pPr>
              <w:spacing w:line="240" w:lineRule="auto" w:after="0"/>
              <w:jc w:val="left"/>
            </w:pPr>
            <w:r>
              <w:rPr>
                <w:b w:val="0"/>
                <w:sz w:val="20"/>
              </w:rPr>
              <w:t>Tuzilishi</w:t>
            </w:r>
          </w:p>
        </w:tc>
        <w:tc>
          <w:tcPr>
            <w:tcW w:type="dxa" w:w="3572"/>
            <w:vAlign w:val="center"/>
          </w:tcPr>
          <w:p>
            <w:pPr>
              <w:spacing w:line="240" w:lineRule="auto" w:after="0"/>
              <w:jc w:val="left"/>
            </w:pPr>
            <w:r>
              <w:rPr>
                <w:b w:val="0"/>
                <w:sz w:val="20"/>
              </w:rPr>
              <w:t>Besh toifa: standart, substandart, qoniqarsiz, shubhali, umidsiz</w:t>
            </w:r>
          </w:p>
        </w:tc>
        <w:tc>
          <w:tcPr>
            <w:tcW w:type="dxa" w:w="3912"/>
            <w:vAlign w:val="center"/>
          </w:tcPr>
          <w:p>
            <w:pPr>
              <w:spacing w:line="240" w:lineRule="auto" w:after="0"/>
              <w:jc w:val="left"/>
            </w:pPr>
            <w:r>
              <w:rPr>
                <w:b w:val="0"/>
                <w:sz w:val="20"/>
              </w:rPr>
              <w:t>Uch bosqich; bankda besh ichki guruh: 1–2-guruh – 1-bosqich, 3–4-guruh – 2-bosqich, 5-guruh – 3-bosqich</w:t>
            </w:r>
          </w:p>
        </w:tc>
      </w:tr>
      <w:tr>
        <w:tc>
          <w:tcPr>
            <w:tcW w:type="dxa" w:w="1928"/>
            <w:vAlign w:val="center"/>
          </w:tcPr>
          <w:p>
            <w:pPr>
              <w:spacing w:line="240" w:lineRule="auto" w:after="0"/>
              <w:jc w:val="left"/>
            </w:pPr>
            <w:r>
              <w:rPr>
                <w:b w:val="0"/>
                <w:sz w:val="20"/>
              </w:rPr>
              <w:t>Asosiy yondashuv</w:t>
            </w:r>
          </w:p>
        </w:tc>
        <w:tc>
          <w:tcPr>
            <w:tcW w:type="dxa" w:w="3572"/>
            <w:vAlign w:val="center"/>
          </w:tcPr>
          <w:p>
            <w:pPr>
              <w:spacing w:line="240" w:lineRule="auto" w:after="0"/>
              <w:jc w:val="left"/>
            </w:pPr>
            <w:r>
              <w:rPr>
                <w:b w:val="0"/>
                <w:sz w:val="20"/>
              </w:rPr>
              <w:t>Kreditning joriy holati; hal qiluvchi belgi – to‘lov intizomi va muddati o‘tgan kunlar soni</w:t>
            </w:r>
          </w:p>
        </w:tc>
        <w:tc>
          <w:tcPr>
            <w:tcW w:type="dxa" w:w="3912"/>
            <w:vAlign w:val="center"/>
          </w:tcPr>
          <w:p>
            <w:pPr>
              <w:spacing w:line="240" w:lineRule="auto" w:after="0"/>
              <w:jc w:val="left"/>
            </w:pPr>
            <w:r>
              <w:rPr>
                <w:b w:val="0"/>
                <w:sz w:val="20"/>
              </w:rPr>
              <w:t>Kredit riskining dastlabki tan olingan sanaga nisbatan o‘zgarishi; kelajakka yo‘naltirilgan ma’lumotlar ham hisobga olinadi</w:t>
            </w:r>
          </w:p>
        </w:tc>
      </w:tr>
      <w:tr>
        <w:tc>
          <w:tcPr>
            <w:tcW w:type="dxa" w:w="1928"/>
            <w:vAlign w:val="center"/>
          </w:tcPr>
          <w:p>
            <w:pPr>
              <w:spacing w:line="240" w:lineRule="auto" w:after="0"/>
              <w:jc w:val="left"/>
            </w:pPr>
            <w:r>
              <w:rPr>
                <w:b w:val="0"/>
                <w:sz w:val="20"/>
              </w:rPr>
              <w:t>Muddati o‘tgan qarzdorlik</w:t>
            </w:r>
          </w:p>
        </w:tc>
        <w:tc>
          <w:tcPr>
            <w:tcW w:type="dxa" w:w="3572"/>
            <w:vAlign w:val="center"/>
          </w:tcPr>
          <w:p>
            <w:pPr>
              <w:spacing w:line="240" w:lineRule="auto" w:after="0"/>
              <w:jc w:val="left"/>
            </w:pPr>
            <w:r>
              <w:rPr>
                <w:b w:val="0"/>
                <w:sz w:val="20"/>
              </w:rPr>
              <w:t>Toifa asosan muddati o‘tgan kunlar soni bo‘yicha belgilanadi</w:t>
            </w:r>
          </w:p>
        </w:tc>
        <w:tc>
          <w:tcPr>
            <w:tcW w:type="dxa" w:w="3912"/>
            <w:vAlign w:val="center"/>
          </w:tcPr>
          <w:p>
            <w:pPr>
              <w:spacing w:line="240" w:lineRule="auto" w:after="0"/>
              <w:jc w:val="left"/>
            </w:pPr>
            <w:r>
              <w:rPr>
                <w:b w:val="0"/>
                <w:sz w:val="20"/>
              </w:rPr>
              <w:t>16–30 kun – 1-bosqich (2-guruh); 31–90 kun – 2-bosqich; 90 kundan ortiq – 3-bosqich</w:t>
            </w:r>
          </w:p>
        </w:tc>
      </w:tr>
      <w:tr>
        <w:tc>
          <w:tcPr>
            <w:tcW w:type="dxa" w:w="1928"/>
            <w:vAlign w:val="center"/>
          </w:tcPr>
          <w:p>
            <w:pPr>
              <w:spacing w:line="240" w:lineRule="auto" w:after="0"/>
              <w:jc w:val="left"/>
            </w:pPr>
            <w:r>
              <w:rPr>
                <w:b w:val="0"/>
                <w:sz w:val="20"/>
              </w:rPr>
              <w:t>Milliy toifa bilan bog‘liqlik</w:t>
            </w:r>
          </w:p>
        </w:tc>
        <w:tc>
          <w:tcPr>
            <w:tcW w:type="dxa" w:w="3572"/>
            <w:vAlign w:val="center"/>
          </w:tcPr>
          <w:p>
            <w:pPr>
              <w:spacing w:line="240" w:lineRule="auto" w:after="0"/>
              <w:jc w:val="left"/>
            </w:pPr>
            <w:r>
              <w:rPr>
                <w:b w:val="0"/>
                <w:sz w:val="20"/>
              </w:rPr>
              <w:t>–</w:t>
            </w:r>
          </w:p>
        </w:tc>
        <w:tc>
          <w:tcPr>
            <w:tcW w:type="dxa" w:w="3912"/>
            <w:vAlign w:val="center"/>
          </w:tcPr>
          <w:p>
            <w:pPr>
              <w:spacing w:line="240" w:lineRule="auto" w:after="0"/>
              <w:jc w:val="left"/>
            </w:pPr>
            <w:r>
              <w:rPr>
                <w:b w:val="0"/>
                <w:sz w:val="20"/>
              </w:rPr>
              <w:t>“Substandart” – kamida 2-bosqich; “qoniqarsiz”, “shubhali”, “umidsiz” – 3-bosqich</w:t>
            </w:r>
          </w:p>
        </w:tc>
      </w:tr>
      <w:tr>
        <w:tc>
          <w:tcPr>
            <w:tcW w:type="dxa" w:w="1928"/>
            <w:vAlign w:val="center"/>
          </w:tcPr>
          <w:p>
            <w:pPr>
              <w:spacing w:line="240" w:lineRule="auto" w:after="0"/>
              <w:jc w:val="left"/>
            </w:pPr>
            <w:r>
              <w:rPr>
                <w:b w:val="0"/>
                <w:sz w:val="20"/>
              </w:rPr>
              <w:t>Qarz oluvchining moliyaviy holati</w:t>
            </w:r>
          </w:p>
        </w:tc>
        <w:tc>
          <w:tcPr>
            <w:tcW w:type="dxa" w:w="3572"/>
            <w:vAlign w:val="center"/>
          </w:tcPr>
          <w:p>
            <w:pPr>
              <w:spacing w:line="240" w:lineRule="auto" w:after="0"/>
              <w:jc w:val="left"/>
            </w:pPr>
            <w:r>
              <w:rPr>
                <w:b w:val="0"/>
                <w:sz w:val="20"/>
              </w:rPr>
              <w:t>Toifa ta’riflarida umumiy baho: barqaror holat, noqulay tendensiyalar, aniq kamchiliklar</w:t>
            </w:r>
          </w:p>
        </w:tc>
        <w:tc>
          <w:tcPr>
            <w:tcW w:type="dxa" w:w="3912"/>
            <w:vAlign w:val="center"/>
          </w:tcPr>
          <w:p>
            <w:pPr>
              <w:spacing w:line="240" w:lineRule="auto" w:after="0"/>
              <w:jc w:val="left"/>
            </w:pPr>
            <w:r>
              <w:rPr>
                <w:b w:val="0"/>
                <w:sz w:val="20"/>
              </w:rPr>
              <w:t>Tushum 60 foizdan yoki marja 40 foizdan ko‘p kamaysa – 3-bosqich; auditorlik xulosasida faoliyat uzluksizligiga shubha bo‘lsa – 2-bosqich</w:t>
            </w:r>
          </w:p>
        </w:tc>
      </w:tr>
      <w:tr>
        <w:tc>
          <w:tcPr>
            <w:tcW w:type="dxa" w:w="1928"/>
            <w:vAlign w:val="center"/>
          </w:tcPr>
          <w:p>
            <w:pPr>
              <w:spacing w:line="240" w:lineRule="auto" w:after="0"/>
              <w:jc w:val="left"/>
            </w:pPr>
            <w:r>
              <w:rPr>
                <w:b w:val="0"/>
                <w:sz w:val="20"/>
              </w:rPr>
              <w:t>Garov</w:t>
            </w:r>
          </w:p>
        </w:tc>
        <w:tc>
          <w:tcPr>
            <w:tcW w:type="dxa" w:w="3572"/>
            <w:vAlign w:val="center"/>
          </w:tcPr>
          <w:p>
            <w:pPr>
              <w:spacing w:line="240" w:lineRule="auto" w:after="0"/>
              <w:jc w:val="left"/>
            </w:pPr>
            <w:r>
              <w:rPr>
                <w:b w:val="0"/>
                <w:sz w:val="20"/>
              </w:rPr>
              <w:t>“Substandart” – ishonchli ikkilamchi manba (garov, kafillik) bilan ta’minlangan; “qoniqarsiz” – qaytarish uchun garovni sotish zarur</w:t>
            </w:r>
          </w:p>
        </w:tc>
        <w:tc>
          <w:tcPr>
            <w:tcW w:type="dxa" w:w="3912"/>
            <w:vAlign w:val="center"/>
          </w:tcPr>
          <w:p>
            <w:pPr>
              <w:spacing w:line="240" w:lineRule="auto" w:after="0"/>
              <w:jc w:val="left"/>
            </w:pPr>
            <w:r>
              <w:rPr>
                <w:b w:val="0"/>
                <w:sz w:val="20"/>
              </w:rPr>
              <w:t>Yirik kredit bo‘yicha garov qiymati 50 foizdan ko‘p tushsa – 2-bosqich</w:t>
            </w:r>
          </w:p>
        </w:tc>
      </w:tr>
      <w:tr>
        <w:tc>
          <w:tcPr>
            <w:tcW w:type="dxa" w:w="1928"/>
            <w:vAlign w:val="center"/>
          </w:tcPr>
          <w:p>
            <w:pPr>
              <w:spacing w:line="240" w:lineRule="auto" w:after="0"/>
              <w:jc w:val="left"/>
            </w:pPr>
            <w:r>
              <w:rPr>
                <w:b w:val="0"/>
                <w:sz w:val="20"/>
              </w:rPr>
              <w:t>Restrukturizatsiya</w:t>
            </w:r>
          </w:p>
        </w:tc>
        <w:tc>
          <w:tcPr>
            <w:tcW w:type="dxa" w:w="3572"/>
            <w:vAlign w:val="center"/>
          </w:tcPr>
          <w:p>
            <w:pPr>
              <w:spacing w:line="240" w:lineRule="auto" w:after="0"/>
              <w:jc w:val="left"/>
            </w:pPr>
            <w:r>
              <w:rPr>
                <w:b w:val="0"/>
                <w:sz w:val="20"/>
              </w:rPr>
              <w:t>6 oygacha imtiyozli davr tasnifga ta’sir qilmaydi; yashovchanlik bahosi o‘tkazilmaydi</w:t>
            </w:r>
          </w:p>
        </w:tc>
        <w:tc>
          <w:tcPr>
            <w:tcW w:type="dxa" w:w="3912"/>
            <w:vAlign w:val="center"/>
          </w:tcPr>
          <w:p>
            <w:pPr>
              <w:spacing w:line="240" w:lineRule="auto" w:after="0"/>
              <w:jc w:val="left"/>
            </w:pPr>
            <w:r>
              <w:rPr>
                <w:b w:val="0"/>
                <w:sz w:val="20"/>
              </w:rPr>
              <w:t>Bir martadan ortiq, oxirgisi so‘nggi 6 oyda bo‘lsa – 2-bosqich; yangi shartlardagi pul oqimlarining joriy qiymati 10 foizdan ko‘p o‘zgarsa – 3-bosqich</w:t>
            </w:r>
          </w:p>
        </w:tc>
      </w:tr>
      <w:tr>
        <w:tc>
          <w:tcPr>
            <w:tcW w:type="dxa" w:w="1928"/>
            <w:vAlign w:val="center"/>
          </w:tcPr>
          <w:p>
            <w:pPr>
              <w:spacing w:line="240" w:lineRule="auto" w:after="0"/>
              <w:jc w:val="left"/>
            </w:pPr>
            <w:r>
              <w:rPr>
                <w:b w:val="0"/>
                <w:sz w:val="20"/>
              </w:rPr>
              <w:t>Tashqi kredit reytingi</w:t>
            </w:r>
          </w:p>
        </w:tc>
        <w:tc>
          <w:tcPr>
            <w:tcW w:type="dxa" w:w="3572"/>
            <w:vAlign w:val="center"/>
          </w:tcPr>
          <w:p>
            <w:pPr>
              <w:spacing w:line="240" w:lineRule="auto" w:after="0"/>
              <w:jc w:val="left"/>
            </w:pPr>
            <w:r>
              <w:rPr>
                <w:b w:val="0"/>
                <w:sz w:val="20"/>
              </w:rPr>
              <w:t>Toifa ta’riflarida hisobga olinmaydi</w:t>
            </w:r>
          </w:p>
        </w:tc>
        <w:tc>
          <w:tcPr>
            <w:tcW w:type="dxa" w:w="3912"/>
            <w:vAlign w:val="center"/>
          </w:tcPr>
          <w:p>
            <w:pPr>
              <w:spacing w:line="240" w:lineRule="auto" w:after="0"/>
              <w:jc w:val="left"/>
            </w:pPr>
            <w:r>
              <w:rPr>
                <w:b w:val="0"/>
                <w:sz w:val="20"/>
              </w:rPr>
              <w:t>2 va undan ortiq pog‘ona pasaysa – 2-bosqich; “CC” va undan past bo‘lsa – 3-bosqich</w:t>
            </w:r>
          </w:p>
        </w:tc>
      </w:tr>
      <w:tr>
        <w:tc>
          <w:tcPr>
            <w:tcW w:type="dxa" w:w="1928"/>
            <w:vAlign w:val="center"/>
          </w:tcPr>
          <w:p>
            <w:pPr>
              <w:spacing w:line="240" w:lineRule="auto" w:after="0"/>
              <w:jc w:val="left"/>
            </w:pPr>
            <w:r>
              <w:rPr>
                <w:b w:val="0"/>
                <w:sz w:val="20"/>
              </w:rPr>
              <w:t>Boshqa banklardagi qarzdorlik va kross-defolt</w:t>
            </w:r>
          </w:p>
        </w:tc>
        <w:tc>
          <w:tcPr>
            <w:tcW w:type="dxa" w:w="3572"/>
            <w:vAlign w:val="center"/>
          </w:tcPr>
          <w:p>
            <w:pPr>
              <w:spacing w:line="240" w:lineRule="auto" w:after="0"/>
              <w:jc w:val="left"/>
            </w:pPr>
            <w:r>
              <w:rPr>
                <w:b w:val="0"/>
                <w:sz w:val="20"/>
              </w:rPr>
              <w:t>Toifa ta’riflarida alohida ko‘rsatilmagan</w:t>
            </w:r>
          </w:p>
        </w:tc>
        <w:tc>
          <w:tcPr>
            <w:tcW w:type="dxa" w:w="3912"/>
            <w:vAlign w:val="center"/>
          </w:tcPr>
          <w:p>
            <w:pPr>
              <w:spacing w:line="240" w:lineRule="auto" w:after="0"/>
              <w:jc w:val="left"/>
            </w:pPr>
            <w:r>
              <w:rPr>
                <w:b w:val="0"/>
                <w:sz w:val="20"/>
              </w:rPr>
              <w:t>Boshqa banklarda 31–90 kunlik muddati o‘tgan qarz – 2-bosqich; 90 kundan ortiq yoki boshqa majburiyat bo‘yicha defolt – 3-bosqich</w:t>
            </w:r>
          </w:p>
        </w:tc>
      </w:tr>
      <w:tr>
        <w:tc>
          <w:tcPr>
            <w:tcW w:type="dxa" w:w="1928"/>
            <w:vAlign w:val="center"/>
          </w:tcPr>
          <w:p>
            <w:pPr>
              <w:spacing w:line="240" w:lineRule="auto" w:after="0"/>
              <w:jc w:val="left"/>
            </w:pPr>
            <w:r>
              <w:rPr>
                <w:b w:val="0"/>
                <w:sz w:val="20"/>
              </w:rPr>
              <w:t>Huquqiy holat</w:t>
            </w:r>
          </w:p>
        </w:tc>
        <w:tc>
          <w:tcPr>
            <w:tcW w:type="dxa" w:w="3572"/>
            <w:vAlign w:val="center"/>
          </w:tcPr>
          <w:p>
            <w:pPr>
              <w:spacing w:line="240" w:lineRule="auto" w:after="0"/>
              <w:jc w:val="left"/>
            </w:pPr>
            <w:r>
              <w:rPr>
                <w:b w:val="0"/>
                <w:sz w:val="20"/>
              </w:rPr>
              <w:t>Toifa ta’riflarida alohida ko‘rsatilmagan</w:t>
            </w:r>
          </w:p>
        </w:tc>
        <w:tc>
          <w:tcPr>
            <w:tcW w:type="dxa" w:w="3912"/>
            <w:vAlign w:val="center"/>
          </w:tcPr>
          <w:p>
            <w:pPr>
              <w:spacing w:line="240" w:lineRule="auto" w:after="0"/>
              <w:jc w:val="left"/>
            </w:pPr>
            <w:r>
              <w:rPr>
                <w:b w:val="0"/>
                <w:sz w:val="20"/>
              </w:rPr>
              <w:t>Moliyaviy holatni yomonlashtiruvchi sud jarayoni – 2-bosqich; bankrotlik, litsenziyaning bekor qilinishi, 12 oy davomida aloqa yo‘qligi – 3-bosqich</w:t>
            </w:r>
          </w:p>
        </w:tc>
      </w:tr>
      <w:tr>
        <w:tc>
          <w:tcPr>
            <w:tcW w:type="dxa" w:w="1928"/>
            <w:vAlign w:val="center"/>
          </w:tcPr>
          <w:p>
            <w:pPr>
              <w:spacing w:line="240" w:lineRule="auto" w:after="0"/>
              <w:jc w:val="left"/>
            </w:pPr>
            <w:r>
              <w:rPr>
                <w:b w:val="0"/>
                <w:sz w:val="20"/>
              </w:rPr>
              <w:t>Yaxshilanish (qayta tasniflash)</w:t>
            </w:r>
          </w:p>
        </w:tc>
        <w:tc>
          <w:tcPr>
            <w:tcW w:type="dxa" w:w="3572"/>
            <w:vAlign w:val="center"/>
          </w:tcPr>
          <w:p>
            <w:pPr>
              <w:spacing w:line="240" w:lineRule="auto" w:after="0"/>
              <w:jc w:val="left"/>
            </w:pPr>
            <w:r>
              <w:rPr>
                <w:b w:val="0"/>
                <w:sz w:val="20"/>
              </w:rPr>
              <w:t>Sinov muddati yo‘q: to‘lov tiklansa, kredit yuqori toifaga qaytariladi</w:t>
            </w:r>
          </w:p>
        </w:tc>
        <w:tc>
          <w:tcPr>
            <w:tcW w:type="dxa" w:w="3912"/>
            <w:vAlign w:val="center"/>
          </w:tcPr>
          <w:p>
            <w:pPr>
              <w:spacing w:line="240" w:lineRule="auto" w:after="0"/>
              <w:jc w:val="left"/>
            </w:pPr>
            <w:r>
              <w:rPr>
                <w:b w:val="0"/>
                <w:sz w:val="20"/>
              </w:rPr>
              <w:t>2-bosqichdan 1-bosqichga – bir chorak davomida yomonlashuv belgilari bo‘lmasa; restrukturizatsiya qilingan kreditlar 3-bosqichdan – 6 oylik barqaror to‘lovdan keyin</w:t>
            </w:r>
          </w:p>
        </w:tc>
      </w:tr>
      <w:tr>
        <w:tc>
          <w:tcPr>
            <w:tcW w:type="dxa" w:w="1928"/>
            <w:vAlign w:val="center"/>
          </w:tcPr>
          <w:p>
            <w:pPr>
              <w:spacing w:line="240" w:lineRule="auto" w:after="0"/>
              <w:jc w:val="left"/>
            </w:pPr>
            <w:r>
              <w:rPr>
                <w:b w:val="0"/>
                <w:sz w:val="20"/>
              </w:rPr>
              <w:t>Zaxira</w:t>
            </w:r>
          </w:p>
        </w:tc>
        <w:tc>
          <w:tcPr>
            <w:tcW w:type="dxa" w:w="3572"/>
            <w:vAlign w:val="center"/>
          </w:tcPr>
          <w:p>
            <w:pPr>
              <w:spacing w:line="240" w:lineRule="auto" w:after="0"/>
              <w:jc w:val="left"/>
            </w:pPr>
            <w:r>
              <w:rPr>
                <w:b w:val="0"/>
                <w:sz w:val="20"/>
              </w:rPr>
              <w:t>Toifa bo‘yicha qat’iy stavkalar: 1, 10, 25, 50, 100 foiz</w:t>
            </w:r>
          </w:p>
        </w:tc>
        <w:tc>
          <w:tcPr>
            <w:tcW w:type="dxa" w:w="3912"/>
            <w:vAlign w:val="center"/>
          </w:tcPr>
          <w:p>
            <w:pPr>
              <w:spacing w:line="240" w:lineRule="auto" w:after="0"/>
              <w:jc w:val="left"/>
            </w:pPr>
            <w:r>
              <w:rPr>
                <w:b w:val="0"/>
                <w:sz w:val="20"/>
              </w:rPr>
              <w:t>1-bosqich – 12 oylik kutilgan kredit zararlari; 2 va 3-bosqich – butun muddat uchun kutilgan kredit zararlari</w:t>
            </w:r>
          </w:p>
        </w:tc>
      </w:tr>
    </w:tbl>
    <w:p>
      <w:pPr>
        <w:spacing w:line="240" w:lineRule="auto"/>
        <w:ind w:firstLine="0"/>
        <w:jc w:val="both"/>
      </w:pPr>
      <w:r>
        <w:rPr>
          <w:b w:val="0"/>
          <w:i/>
          <w:sz w:val="21"/>
        </w:rPr>
        <w:t>Manba: [5; 8; 10] asosida muallif tomonidan ishlab chiqildi.</w:t>
      </w:r>
    </w:p>
    <w:p>
      <w:pPr>
        <w:ind w:firstLine="567"/>
        <w:jc w:val="both"/>
      </w:pPr>
      <w:r>
        <w:rPr>
          <w:b w:val="0"/>
          <w:i w:val="0"/>
          <w:sz w:val="26"/>
        </w:rPr>
        <w:t>3. Kredit portfelining bosqichlar va toifalar bo‘yicha tarkibi. 3-jadvaldan ko‘rinadiki, 1-bosqich kreditlarining ulushi 2023-yildagi 79,4 foizdan 2025-yilda 56,9 foizgacha qisqargan, 2-bosqich kreditlarining ulushi esa 15,8 foizdan 35,7 foizgacha, ya’ni 2,3 barobar oshgan. 2-bosqich kreditlarining barchasi milliy hisobotda “standart” yoki “substandart” toifasida bo‘lib, 2025-yilda ularning 51,2 foizi “standart” deb tasniflangan. Milliy tasnif bo‘yicha muammoli deb tan olingan kreditlarning barchasi 3-bosqichda bo‘lsa-da, ular 3-bosqich kreditlarining faqat 42,8–71,0 foizini tashkil etgan.</w:t>
      </w:r>
    </w:p>
    <w:p>
      <w:pPr>
        <w:ind w:firstLine="0"/>
        <w:jc w:val="right"/>
      </w:pPr>
      <w:r>
        <w:rPr>
          <w:b w:val="0"/>
          <w:i/>
          <w:sz w:val="24"/>
        </w:rPr>
        <w:t>3-jadval</w:t>
      </w:r>
    </w:p>
    <w:p>
      <w:pPr>
        <w:spacing w:line="240" w:lineRule="auto"/>
        <w:ind w:firstLine="0"/>
        <w:jc w:val="center"/>
      </w:pPr>
      <w:r>
        <w:rPr>
          <w:b/>
          <w:i w:val="0"/>
          <w:sz w:val="24"/>
        </w:rPr>
        <w:t>Kredit portfelining MHXS 9 bosqichlari va milliy tasnif toifalari bo‘yicha tarkibi, mlrd so‘m (qavsda – %)</w:t>
      </w:r>
    </w:p>
    <w:tbl>
      <w:tblPr>
        <w:tblStyle w:val="TableGrid"/>
        <w:tblW w:type="auto" w:w="0"/>
        <w:jc w:val="center"/>
        <w:tblLayout w:type="fixed"/>
        <w:tblLook w:firstColumn="1" w:firstRow="1" w:lastColumn="0" w:lastRow="0" w:noHBand="0" w:noVBand="1" w:val="04A0"/>
      </w:tblPr>
      <w:tblGrid>
        <w:gridCol w:w="624"/>
        <w:gridCol w:w="1077"/>
        <w:gridCol w:w="1134"/>
        <w:gridCol w:w="1134"/>
        <w:gridCol w:w="1077"/>
        <w:gridCol w:w="1077"/>
        <w:gridCol w:w="1077"/>
        <w:gridCol w:w="1134"/>
        <w:gridCol w:w="1077"/>
      </w:tblGrid>
      <w:tr>
        <w:tc>
          <w:tcPr>
            <w:tcW w:type="dxa" w:w="624"/>
            <w:vAlign w:val="center"/>
            <w:shd w:val="clear" w:fill="DEEBF7"/>
          </w:tcPr>
          <w:p>
            <w:pPr>
              <w:spacing w:line="240" w:lineRule="auto" w:after="0"/>
              <w:jc w:val="center"/>
            </w:pPr>
            <w:r>
              <w:rPr>
                <w:b/>
                <w:sz w:val="18"/>
              </w:rPr>
              <w:t>Yil</w:t>
            </w:r>
          </w:p>
        </w:tc>
        <w:tc>
          <w:tcPr>
            <w:tcW w:type="dxa" w:w="1077"/>
            <w:vAlign w:val="center"/>
            <w:shd w:val="clear" w:fill="DEEBF7"/>
          </w:tcPr>
          <w:p>
            <w:pPr>
              <w:spacing w:line="240" w:lineRule="auto" w:after="0"/>
              <w:jc w:val="center"/>
            </w:pPr>
            <w:r>
              <w:rPr>
                <w:b/>
                <w:sz w:val="18"/>
              </w:rPr>
              <w:t>Jami kreditlar</w:t>
            </w:r>
          </w:p>
        </w:tc>
        <w:tc>
          <w:tcPr>
            <w:tcW w:type="dxa" w:w="1134"/>
            <w:vAlign w:val="center"/>
            <w:shd w:val="clear" w:fill="DEEBF7"/>
          </w:tcPr>
          <w:p>
            <w:pPr>
              <w:spacing w:line="240" w:lineRule="auto" w:after="0"/>
              <w:jc w:val="center"/>
            </w:pPr>
            <w:r>
              <w:rPr>
                <w:b/>
                <w:sz w:val="18"/>
              </w:rPr>
              <w:t>1-bosqich (standart)</w:t>
            </w:r>
          </w:p>
        </w:tc>
        <w:tc>
          <w:tcPr>
            <w:tcW w:type="dxa" w:w="1134"/>
            <w:vAlign w:val="center"/>
            <w:shd w:val="clear" w:fill="DEEBF7"/>
          </w:tcPr>
          <w:p>
            <w:pPr>
              <w:spacing w:line="240" w:lineRule="auto" w:after="0"/>
              <w:jc w:val="center"/>
            </w:pPr>
            <w:r>
              <w:rPr>
                <w:b/>
                <w:sz w:val="18"/>
              </w:rPr>
              <w:t>2-bosqich, jami</w:t>
            </w:r>
          </w:p>
        </w:tc>
        <w:tc>
          <w:tcPr>
            <w:tcW w:type="dxa" w:w="1077"/>
            <w:vAlign w:val="center"/>
            <w:shd w:val="clear" w:fill="DEEBF7"/>
          </w:tcPr>
          <w:p>
            <w:pPr>
              <w:spacing w:line="240" w:lineRule="auto" w:after="0"/>
              <w:jc w:val="center"/>
            </w:pPr>
            <w:r>
              <w:rPr>
                <w:b/>
                <w:sz w:val="18"/>
              </w:rPr>
              <w:t>2-b.: standart</w:t>
            </w:r>
          </w:p>
        </w:tc>
        <w:tc>
          <w:tcPr>
            <w:tcW w:type="dxa" w:w="1077"/>
            <w:vAlign w:val="center"/>
            <w:shd w:val="clear" w:fill="DEEBF7"/>
          </w:tcPr>
          <w:p>
            <w:pPr>
              <w:spacing w:line="240" w:lineRule="auto" w:after="0"/>
              <w:jc w:val="center"/>
            </w:pPr>
            <w:r>
              <w:rPr>
                <w:b/>
                <w:sz w:val="18"/>
              </w:rPr>
              <w:t>2-b.: substandart</w:t>
            </w:r>
          </w:p>
        </w:tc>
        <w:tc>
          <w:tcPr>
            <w:tcW w:type="dxa" w:w="1077"/>
            <w:vAlign w:val="center"/>
            <w:shd w:val="clear" w:fill="DEEBF7"/>
          </w:tcPr>
          <w:p>
            <w:pPr>
              <w:spacing w:line="240" w:lineRule="auto" w:after="0"/>
              <w:jc w:val="center"/>
            </w:pPr>
            <w:r>
              <w:rPr>
                <w:b/>
                <w:sz w:val="18"/>
              </w:rPr>
              <w:t>3-bosqich, jami</w:t>
            </w:r>
          </w:p>
        </w:tc>
        <w:tc>
          <w:tcPr>
            <w:tcW w:type="dxa" w:w="1134"/>
            <w:vAlign w:val="center"/>
            <w:shd w:val="clear" w:fill="DEEBF7"/>
          </w:tcPr>
          <w:p>
            <w:pPr>
              <w:spacing w:line="240" w:lineRule="auto" w:after="0"/>
              <w:jc w:val="center"/>
            </w:pPr>
            <w:r>
              <w:rPr>
                <w:b/>
                <w:sz w:val="18"/>
              </w:rPr>
              <w:t>3-b.: standart va substandart</w:t>
            </w:r>
          </w:p>
        </w:tc>
        <w:tc>
          <w:tcPr>
            <w:tcW w:type="dxa" w:w="1077"/>
            <w:vAlign w:val="center"/>
            <w:shd w:val="clear" w:fill="DEEBF7"/>
          </w:tcPr>
          <w:p>
            <w:pPr>
              <w:spacing w:line="240" w:lineRule="auto" w:after="0"/>
              <w:jc w:val="center"/>
            </w:pPr>
            <w:r>
              <w:rPr>
                <w:b/>
                <w:sz w:val="18"/>
              </w:rPr>
              <w:t>3-b.: muammoli</w:t>
            </w:r>
          </w:p>
        </w:tc>
      </w:tr>
      <w:tr>
        <w:tc>
          <w:tcPr>
            <w:tcW w:type="dxa" w:w="624"/>
            <w:vAlign w:val="center"/>
          </w:tcPr>
          <w:p>
            <w:pPr>
              <w:spacing w:line="240" w:lineRule="auto" w:after="0"/>
              <w:jc w:val="left"/>
            </w:pPr>
            <w:r>
              <w:rPr>
                <w:b w:val="0"/>
                <w:sz w:val="18"/>
              </w:rPr>
              <w:t>2021</w:t>
            </w:r>
          </w:p>
        </w:tc>
        <w:tc>
          <w:tcPr>
            <w:tcW w:type="dxa" w:w="1077"/>
            <w:vAlign w:val="center"/>
          </w:tcPr>
          <w:p>
            <w:pPr>
              <w:spacing w:line="240" w:lineRule="auto" w:after="0"/>
              <w:jc w:val="center"/>
            </w:pPr>
            <w:r>
              <w:rPr>
                <w:b w:val="0"/>
                <w:sz w:val="18"/>
              </w:rPr>
              <w:t>44 529,8</w:t>
            </w:r>
          </w:p>
        </w:tc>
        <w:tc>
          <w:tcPr>
            <w:tcW w:type="dxa" w:w="1134"/>
            <w:vAlign w:val="center"/>
          </w:tcPr>
          <w:p>
            <w:pPr>
              <w:spacing w:line="240" w:lineRule="auto" w:after="0"/>
              <w:jc w:val="center"/>
            </w:pPr>
            <w:r>
              <w:rPr>
                <w:b w:val="0"/>
                <w:sz w:val="18"/>
              </w:rPr>
              <w:t>32 680,5 (73,4)</w:t>
            </w:r>
          </w:p>
        </w:tc>
        <w:tc>
          <w:tcPr>
            <w:tcW w:type="dxa" w:w="1134"/>
            <w:vAlign w:val="center"/>
          </w:tcPr>
          <w:p>
            <w:pPr>
              <w:spacing w:line="240" w:lineRule="auto" w:after="0"/>
              <w:jc w:val="center"/>
            </w:pPr>
            <w:r>
              <w:rPr>
                <w:b w:val="0"/>
                <w:sz w:val="18"/>
              </w:rPr>
              <w:t>9 071,3 (20,4)</w:t>
            </w:r>
          </w:p>
        </w:tc>
        <w:tc>
          <w:tcPr>
            <w:tcW w:type="dxa" w:w="1077"/>
            <w:vAlign w:val="center"/>
          </w:tcPr>
          <w:p>
            <w:pPr>
              <w:spacing w:line="240" w:lineRule="auto" w:after="0"/>
              <w:jc w:val="center"/>
            </w:pPr>
            <w:r>
              <w:rPr>
                <w:b w:val="0"/>
                <w:sz w:val="18"/>
              </w:rPr>
              <w:t>7 091,5 (78,2)</w:t>
            </w:r>
          </w:p>
        </w:tc>
        <w:tc>
          <w:tcPr>
            <w:tcW w:type="dxa" w:w="1077"/>
            <w:vAlign w:val="center"/>
          </w:tcPr>
          <w:p>
            <w:pPr>
              <w:spacing w:line="240" w:lineRule="auto" w:after="0"/>
              <w:jc w:val="center"/>
            </w:pPr>
            <w:r>
              <w:rPr>
                <w:b w:val="0"/>
                <w:sz w:val="18"/>
              </w:rPr>
              <w:t>1 979,8 (21,8)</w:t>
            </w:r>
          </w:p>
        </w:tc>
        <w:tc>
          <w:tcPr>
            <w:tcW w:type="dxa" w:w="1077"/>
            <w:vAlign w:val="center"/>
          </w:tcPr>
          <w:p>
            <w:pPr>
              <w:spacing w:line="240" w:lineRule="auto" w:after="0"/>
              <w:jc w:val="center"/>
            </w:pPr>
            <w:r>
              <w:rPr>
                <w:b w:val="0"/>
                <w:sz w:val="18"/>
              </w:rPr>
              <w:t>2 777,9 (6,2)</w:t>
            </w:r>
          </w:p>
        </w:tc>
        <w:tc>
          <w:tcPr>
            <w:tcW w:type="dxa" w:w="1134"/>
            <w:vAlign w:val="center"/>
          </w:tcPr>
          <w:p>
            <w:pPr>
              <w:spacing w:line="240" w:lineRule="auto" w:after="0"/>
              <w:jc w:val="center"/>
            </w:pPr>
            <w:r>
              <w:rPr>
                <w:b w:val="0"/>
                <w:sz w:val="18"/>
              </w:rPr>
              <w:t>990,1 (35,6)</w:t>
            </w:r>
          </w:p>
        </w:tc>
        <w:tc>
          <w:tcPr>
            <w:tcW w:type="dxa" w:w="1077"/>
            <w:vAlign w:val="center"/>
          </w:tcPr>
          <w:p>
            <w:pPr>
              <w:spacing w:line="240" w:lineRule="auto" w:after="0"/>
              <w:jc w:val="center"/>
            </w:pPr>
            <w:r>
              <w:rPr>
                <w:b w:val="0"/>
                <w:sz w:val="18"/>
              </w:rPr>
              <w:t>1 787,8 (64,4)</w:t>
            </w:r>
          </w:p>
        </w:tc>
      </w:tr>
      <w:tr>
        <w:tc>
          <w:tcPr>
            <w:tcW w:type="dxa" w:w="624"/>
            <w:vAlign w:val="center"/>
          </w:tcPr>
          <w:p>
            <w:pPr>
              <w:spacing w:line="240" w:lineRule="auto" w:after="0"/>
              <w:jc w:val="left"/>
            </w:pPr>
            <w:r>
              <w:rPr>
                <w:b w:val="0"/>
                <w:sz w:val="18"/>
              </w:rPr>
              <w:t>2022</w:t>
            </w:r>
          </w:p>
        </w:tc>
        <w:tc>
          <w:tcPr>
            <w:tcW w:type="dxa" w:w="1077"/>
            <w:vAlign w:val="center"/>
          </w:tcPr>
          <w:p>
            <w:pPr>
              <w:spacing w:line="240" w:lineRule="auto" w:after="0"/>
              <w:jc w:val="center"/>
            </w:pPr>
            <w:r>
              <w:rPr>
                <w:b w:val="0"/>
                <w:sz w:val="18"/>
              </w:rPr>
              <w:t>51 298,4</w:t>
            </w:r>
          </w:p>
        </w:tc>
        <w:tc>
          <w:tcPr>
            <w:tcW w:type="dxa" w:w="1134"/>
            <w:vAlign w:val="center"/>
          </w:tcPr>
          <w:p>
            <w:pPr>
              <w:spacing w:line="240" w:lineRule="auto" w:after="0"/>
              <w:jc w:val="center"/>
            </w:pPr>
            <w:r>
              <w:rPr>
                <w:b w:val="0"/>
                <w:sz w:val="18"/>
              </w:rPr>
              <w:t>39 971,9 (77,9)</w:t>
            </w:r>
          </w:p>
        </w:tc>
        <w:tc>
          <w:tcPr>
            <w:tcW w:type="dxa" w:w="1134"/>
            <w:vAlign w:val="center"/>
          </w:tcPr>
          <w:p>
            <w:pPr>
              <w:spacing w:line="240" w:lineRule="auto" w:after="0"/>
              <w:jc w:val="center"/>
            </w:pPr>
            <w:r>
              <w:rPr>
                <w:b w:val="0"/>
                <w:sz w:val="18"/>
              </w:rPr>
              <w:t>7 542,4 (14,7)</w:t>
            </w:r>
          </w:p>
        </w:tc>
        <w:tc>
          <w:tcPr>
            <w:tcW w:type="dxa" w:w="1077"/>
            <w:vAlign w:val="center"/>
          </w:tcPr>
          <w:p>
            <w:pPr>
              <w:spacing w:line="240" w:lineRule="auto" w:after="0"/>
              <w:jc w:val="center"/>
            </w:pPr>
            <w:r>
              <w:rPr>
                <w:b w:val="0"/>
                <w:sz w:val="18"/>
              </w:rPr>
              <w:t>5 732,3 (76,0)</w:t>
            </w:r>
          </w:p>
        </w:tc>
        <w:tc>
          <w:tcPr>
            <w:tcW w:type="dxa" w:w="1077"/>
            <w:vAlign w:val="center"/>
          </w:tcPr>
          <w:p>
            <w:pPr>
              <w:spacing w:line="240" w:lineRule="auto" w:after="0"/>
              <w:jc w:val="center"/>
            </w:pPr>
            <w:r>
              <w:rPr>
                <w:b w:val="0"/>
                <w:sz w:val="18"/>
              </w:rPr>
              <w:t>1 810,1 (24,0)</w:t>
            </w:r>
          </w:p>
        </w:tc>
        <w:tc>
          <w:tcPr>
            <w:tcW w:type="dxa" w:w="1077"/>
            <w:vAlign w:val="center"/>
          </w:tcPr>
          <w:p>
            <w:pPr>
              <w:spacing w:line="240" w:lineRule="auto" w:after="0"/>
              <w:jc w:val="center"/>
            </w:pPr>
            <w:r>
              <w:rPr>
                <w:b w:val="0"/>
                <w:sz w:val="18"/>
              </w:rPr>
              <w:t>3 784,0 (7,4)</w:t>
            </w:r>
          </w:p>
        </w:tc>
        <w:tc>
          <w:tcPr>
            <w:tcW w:type="dxa" w:w="1134"/>
            <w:vAlign w:val="center"/>
          </w:tcPr>
          <w:p>
            <w:pPr>
              <w:spacing w:line="240" w:lineRule="auto" w:after="0"/>
              <w:jc w:val="center"/>
            </w:pPr>
            <w:r>
              <w:rPr>
                <w:b w:val="0"/>
                <w:sz w:val="18"/>
              </w:rPr>
              <w:t>1 098,4 (29,0)</w:t>
            </w:r>
          </w:p>
        </w:tc>
        <w:tc>
          <w:tcPr>
            <w:tcW w:type="dxa" w:w="1077"/>
            <w:vAlign w:val="center"/>
          </w:tcPr>
          <w:p>
            <w:pPr>
              <w:spacing w:line="240" w:lineRule="auto" w:after="0"/>
              <w:jc w:val="center"/>
            </w:pPr>
            <w:r>
              <w:rPr>
                <w:b w:val="0"/>
                <w:sz w:val="18"/>
              </w:rPr>
              <w:t>2 685,7 (71,0)</w:t>
            </w:r>
          </w:p>
        </w:tc>
      </w:tr>
      <w:tr>
        <w:tc>
          <w:tcPr>
            <w:tcW w:type="dxa" w:w="624"/>
            <w:vAlign w:val="center"/>
          </w:tcPr>
          <w:p>
            <w:pPr>
              <w:spacing w:line="240" w:lineRule="auto" w:after="0"/>
              <w:jc w:val="left"/>
            </w:pPr>
            <w:r>
              <w:rPr>
                <w:b w:val="0"/>
                <w:sz w:val="18"/>
              </w:rPr>
              <w:t>2023</w:t>
            </w:r>
          </w:p>
        </w:tc>
        <w:tc>
          <w:tcPr>
            <w:tcW w:type="dxa" w:w="1077"/>
            <w:vAlign w:val="center"/>
          </w:tcPr>
          <w:p>
            <w:pPr>
              <w:spacing w:line="240" w:lineRule="auto" w:after="0"/>
              <w:jc w:val="center"/>
            </w:pPr>
            <w:r>
              <w:rPr>
                <w:b w:val="0"/>
                <w:sz w:val="18"/>
              </w:rPr>
              <w:t>60 407,8</w:t>
            </w:r>
          </w:p>
        </w:tc>
        <w:tc>
          <w:tcPr>
            <w:tcW w:type="dxa" w:w="1134"/>
            <w:vAlign w:val="center"/>
          </w:tcPr>
          <w:p>
            <w:pPr>
              <w:spacing w:line="240" w:lineRule="auto" w:after="0"/>
              <w:jc w:val="center"/>
            </w:pPr>
            <w:r>
              <w:rPr>
                <w:b w:val="0"/>
                <w:sz w:val="18"/>
              </w:rPr>
              <w:t>47 967,4 (79,4)</w:t>
            </w:r>
          </w:p>
        </w:tc>
        <w:tc>
          <w:tcPr>
            <w:tcW w:type="dxa" w:w="1134"/>
            <w:vAlign w:val="center"/>
          </w:tcPr>
          <w:p>
            <w:pPr>
              <w:spacing w:line="240" w:lineRule="auto" w:after="0"/>
              <w:jc w:val="center"/>
            </w:pPr>
            <w:r>
              <w:rPr>
                <w:b w:val="0"/>
                <w:sz w:val="18"/>
              </w:rPr>
              <w:t>9 536,1 (15,8)</w:t>
            </w:r>
          </w:p>
        </w:tc>
        <w:tc>
          <w:tcPr>
            <w:tcW w:type="dxa" w:w="1077"/>
            <w:vAlign w:val="center"/>
          </w:tcPr>
          <w:p>
            <w:pPr>
              <w:spacing w:line="240" w:lineRule="auto" w:after="0"/>
              <w:jc w:val="center"/>
            </w:pPr>
            <w:r>
              <w:rPr>
                <w:b w:val="0"/>
                <w:sz w:val="18"/>
              </w:rPr>
              <w:t>2 964,7 (31,1)</w:t>
            </w:r>
          </w:p>
        </w:tc>
        <w:tc>
          <w:tcPr>
            <w:tcW w:type="dxa" w:w="1077"/>
            <w:vAlign w:val="center"/>
          </w:tcPr>
          <w:p>
            <w:pPr>
              <w:spacing w:line="240" w:lineRule="auto" w:after="0"/>
              <w:jc w:val="center"/>
            </w:pPr>
            <w:r>
              <w:rPr>
                <w:b w:val="0"/>
                <w:sz w:val="18"/>
              </w:rPr>
              <w:t>6 571,3 (68,9)</w:t>
            </w:r>
          </w:p>
        </w:tc>
        <w:tc>
          <w:tcPr>
            <w:tcW w:type="dxa" w:w="1077"/>
            <w:vAlign w:val="center"/>
          </w:tcPr>
          <w:p>
            <w:pPr>
              <w:spacing w:line="240" w:lineRule="auto" w:after="0"/>
              <w:jc w:val="center"/>
            </w:pPr>
            <w:r>
              <w:rPr>
                <w:b w:val="0"/>
                <w:sz w:val="18"/>
              </w:rPr>
              <w:t>2 904,4 (4,8)</w:t>
            </w:r>
          </w:p>
        </w:tc>
        <w:tc>
          <w:tcPr>
            <w:tcW w:type="dxa" w:w="1134"/>
            <w:vAlign w:val="center"/>
          </w:tcPr>
          <w:p>
            <w:pPr>
              <w:spacing w:line="240" w:lineRule="auto" w:after="0"/>
              <w:jc w:val="center"/>
            </w:pPr>
            <w:r>
              <w:rPr>
                <w:b w:val="0"/>
                <w:sz w:val="18"/>
              </w:rPr>
              <w:t>1 367,4 (47,1)</w:t>
            </w:r>
          </w:p>
        </w:tc>
        <w:tc>
          <w:tcPr>
            <w:tcW w:type="dxa" w:w="1077"/>
            <w:vAlign w:val="center"/>
          </w:tcPr>
          <w:p>
            <w:pPr>
              <w:spacing w:line="240" w:lineRule="auto" w:after="0"/>
              <w:jc w:val="center"/>
            </w:pPr>
            <w:r>
              <w:rPr>
                <w:b w:val="0"/>
                <w:sz w:val="18"/>
              </w:rPr>
              <w:t>1 537,0 (52,9)</w:t>
            </w:r>
          </w:p>
        </w:tc>
      </w:tr>
      <w:tr>
        <w:tc>
          <w:tcPr>
            <w:tcW w:type="dxa" w:w="624"/>
            <w:vAlign w:val="center"/>
          </w:tcPr>
          <w:p>
            <w:pPr>
              <w:spacing w:line="240" w:lineRule="auto" w:after="0"/>
              <w:jc w:val="left"/>
            </w:pPr>
            <w:r>
              <w:rPr>
                <w:b w:val="0"/>
                <w:sz w:val="18"/>
              </w:rPr>
              <w:t>2024</w:t>
            </w:r>
          </w:p>
        </w:tc>
        <w:tc>
          <w:tcPr>
            <w:tcW w:type="dxa" w:w="1077"/>
            <w:vAlign w:val="center"/>
          </w:tcPr>
          <w:p>
            <w:pPr>
              <w:spacing w:line="240" w:lineRule="auto" w:after="0"/>
              <w:jc w:val="center"/>
            </w:pPr>
            <w:r>
              <w:rPr>
                <w:b w:val="0"/>
                <w:sz w:val="18"/>
              </w:rPr>
              <w:t>69 772,0</w:t>
            </w:r>
          </w:p>
        </w:tc>
        <w:tc>
          <w:tcPr>
            <w:tcW w:type="dxa" w:w="1134"/>
            <w:vAlign w:val="center"/>
          </w:tcPr>
          <w:p>
            <w:pPr>
              <w:spacing w:line="240" w:lineRule="auto" w:after="0"/>
              <w:jc w:val="center"/>
            </w:pPr>
            <w:r>
              <w:rPr>
                <w:b w:val="0"/>
                <w:sz w:val="18"/>
              </w:rPr>
              <w:t>46 779,4 (67,0)</w:t>
            </w:r>
          </w:p>
        </w:tc>
        <w:tc>
          <w:tcPr>
            <w:tcW w:type="dxa" w:w="1134"/>
            <w:vAlign w:val="center"/>
          </w:tcPr>
          <w:p>
            <w:pPr>
              <w:spacing w:line="240" w:lineRule="auto" w:after="0"/>
              <w:jc w:val="center"/>
            </w:pPr>
            <w:r>
              <w:rPr>
                <w:b w:val="0"/>
                <w:sz w:val="18"/>
              </w:rPr>
              <w:t>18 907,0 (27,1)</w:t>
            </w:r>
          </w:p>
        </w:tc>
        <w:tc>
          <w:tcPr>
            <w:tcW w:type="dxa" w:w="1077"/>
            <w:vAlign w:val="center"/>
          </w:tcPr>
          <w:p>
            <w:pPr>
              <w:spacing w:line="240" w:lineRule="auto" w:after="0"/>
              <w:jc w:val="center"/>
            </w:pPr>
            <w:r>
              <w:rPr>
                <w:b w:val="0"/>
                <w:sz w:val="18"/>
              </w:rPr>
              <w:t>8 064,0 (42,7)</w:t>
            </w:r>
          </w:p>
        </w:tc>
        <w:tc>
          <w:tcPr>
            <w:tcW w:type="dxa" w:w="1077"/>
            <w:vAlign w:val="center"/>
          </w:tcPr>
          <w:p>
            <w:pPr>
              <w:spacing w:line="240" w:lineRule="auto" w:after="0"/>
              <w:jc w:val="center"/>
            </w:pPr>
            <w:r>
              <w:rPr>
                <w:b w:val="0"/>
                <w:sz w:val="18"/>
              </w:rPr>
              <w:t>10 843,0 (57,3)</w:t>
            </w:r>
          </w:p>
        </w:tc>
        <w:tc>
          <w:tcPr>
            <w:tcW w:type="dxa" w:w="1077"/>
            <w:vAlign w:val="center"/>
          </w:tcPr>
          <w:p>
            <w:pPr>
              <w:spacing w:line="240" w:lineRule="auto" w:after="0"/>
              <w:jc w:val="center"/>
            </w:pPr>
            <w:r>
              <w:rPr>
                <w:b w:val="0"/>
                <w:sz w:val="18"/>
              </w:rPr>
              <w:t>4 085,6 (5,9)</w:t>
            </w:r>
          </w:p>
        </w:tc>
        <w:tc>
          <w:tcPr>
            <w:tcW w:type="dxa" w:w="1134"/>
            <w:vAlign w:val="center"/>
          </w:tcPr>
          <w:p>
            <w:pPr>
              <w:spacing w:line="240" w:lineRule="auto" w:after="0"/>
              <w:jc w:val="center"/>
            </w:pPr>
            <w:r>
              <w:rPr>
                <w:b w:val="0"/>
                <w:sz w:val="18"/>
              </w:rPr>
              <w:t>1 591,1 (38,9)</w:t>
            </w:r>
          </w:p>
        </w:tc>
        <w:tc>
          <w:tcPr>
            <w:tcW w:type="dxa" w:w="1077"/>
            <w:vAlign w:val="center"/>
          </w:tcPr>
          <w:p>
            <w:pPr>
              <w:spacing w:line="240" w:lineRule="auto" w:after="0"/>
              <w:jc w:val="center"/>
            </w:pPr>
            <w:r>
              <w:rPr>
                <w:b w:val="0"/>
                <w:sz w:val="18"/>
              </w:rPr>
              <w:t>2 494,5 (61,1)</w:t>
            </w:r>
          </w:p>
        </w:tc>
      </w:tr>
      <w:tr>
        <w:tc>
          <w:tcPr>
            <w:tcW w:type="dxa" w:w="624"/>
            <w:vAlign w:val="center"/>
          </w:tcPr>
          <w:p>
            <w:pPr>
              <w:spacing w:line="240" w:lineRule="auto" w:after="0"/>
              <w:jc w:val="left"/>
            </w:pPr>
            <w:r>
              <w:rPr>
                <w:b w:val="0"/>
                <w:sz w:val="18"/>
              </w:rPr>
              <w:t>2025</w:t>
            </w:r>
          </w:p>
        </w:tc>
        <w:tc>
          <w:tcPr>
            <w:tcW w:type="dxa" w:w="1077"/>
            <w:vAlign w:val="center"/>
          </w:tcPr>
          <w:p>
            <w:pPr>
              <w:spacing w:line="240" w:lineRule="auto" w:after="0"/>
              <w:jc w:val="center"/>
            </w:pPr>
            <w:r>
              <w:rPr>
                <w:b w:val="0"/>
                <w:sz w:val="18"/>
              </w:rPr>
              <w:t>71 008,8</w:t>
            </w:r>
          </w:p>
        </w:tc>
        <w:tc>
          <w:tcPr>
            <w:tcW w:type="dxa" w:w="1134"/>
            <w:vAlign w:val="center"/>
          </w:tcPr>
          <w:p>
            <w:pPr>
              <w:spacing w:line="240" w:lineRule="auto" w:after="0"/>
              <w:jc w:val="center"/>
            </w:pPr>
            <w:r>
              <w:rPr>
                <w:b w:val="0"/>
                <w:sz w:val="18"/>
              </w:rPr>
              <w:t>40 378,2 (56,9)</w:t>
            </w:r>
          </w:p>
        </w:tc>
        <w:tc>
          <w:tcPr>
            <w:tcW w:type="dxa" w:w="1134"/>
            <w:vAlign w:val="center"/>
          </w:tcPr>
          <w:p>
            <w:pPr>
              <w:spacing w:line="240" w:lineRule="auto" w:after="0"/>
              <w:jc w:val="center"/>
            </w:pPr>
            <w:r>
              <w:rPr>
                <w:b w:val="0"/>
                <w:sz w:val="18"/>
              </w:rPr>
              <w:t>25 320,4 (35,7)</w:t>
            </w:r>
          </w:p>
        </w:tc>
        <w:tc>
          <w:tcPr>
            <w:tcW w:type="dxa" w:w="1077"/>
            <w:vAlign w:val="center"/>
          </w:tcPr>
          <w:p>
            <w:pPr>
              <w:spacing w:line="240" w:lineRule="auto" w:after="0"/>
              <w:jc w:val="center"/>
            </w:pPr>
            <w:r>
              <w:rPr>
                <w:b w:val="0"/>
                <w:sz w:val="18"/>
              </w:rPr>
              <w:t>12 956,2 (51,2)</w:t>
            </w:r>
          </w:p>
        </w:tc>
        <w:tc>
          <w:tcPr>
            <w:tcW w:type="dxa" w:w="1077"/>
            <w:vAlign w:val="center"/>
          </w:tcPr>
          <w:p>
            <w:pPr>
              <w:spacing w:line="240" w:lineRule="auto" w:after="0"/>
              <w:jc w:val="center"/>
            </w:pPr>
            <w:r>
              <w:rPr>
                <w:b w:val="0"/>
                <w:sz w:val="18"/>
              </w:rPr>
              <w:t>12 364,3 (48,8)</w:t>
            </w:r>
          </w:p>
        </w:tc>
        <w:tc>
          <w:tcPr>
            <w:tcW w:type="dxa" w:w="1077"/>
            <w:vAlign w:val="center"/>
          </w:tcPr>
          <w:p>
            <w:pPr>
              <w:spacing w:line="240" w:lineRule="auto" w:after="0"/>
              <w:jc w:val="center"/>
            </w:pPr>
            <w:r>
              <w:rPr>
                <w:b w:val="0"/>
                <w:sz w:val="18"/>
              </w:rPr>
              <w:t>5 310,2 (7,5)</w:t>
            </w:r>
          </w:p>
        </w:tc>
        <w:tc>
          <w:tcPr>
            <w:tcW w:type="dxa" w:w="1134"/>
            <w:vAlign w:val="center"/>
          </w:tcPr>
          <w:p>
            <w:pPr>
              <w:spacing w:line="240" w:lineRule="auto" w:after="0"/>
              <w:jc w:val="center"/>
            </w:pPr>
            <w:r>
              <w:rPr>
                <w:b w:val="0"/>
                <w:sz w:val="18"/>
              </w:rPr>
              <w:t>3 037,3 (57,2)</w:t>
            </w:r>
          </w:p>
        </w:tc>
        <w:tc>
          <w:tcPr>
            <w:tcW w:type="dxa" w:w="1077"/>
            <w:vAlign w:val="center"/>
          </w:tcPr>
          <w:p>
            <w:pPr>
              <w:spacing w:line="240" w:lineRule="auto" w:after="0"/>
              <w:jc w:val="center"/>
            </w:pPr>
            <w:r>
              <w:rPr>
                <w:b w:val="0"/>
                <w:sz w:val="18"/>
              </w:rPr>
              <w:t>2 272,9 (42,8)</w:t>
            </w:r>
          </w:p>
        </w:tc>
      </w:tr>
    </w:tbl>
    <w:p>
      <w:pPr>
        <w:spacing w:line="240" w:lineRule="auto"/>
        <w:ind w:firstLine="0"/>
        <w:jc w:val="both"/>
      </w:pPr>
      <w:r>
        <w:rPr>
          <w:b w:val="0"/>
          <w:i/>
          <w:sz w:val="21"/>
        </w:rPr>
        <w:t>Manba: [7; 8] asosida muallif hisobi. Izoh: bosqichlar uchun – jami kreditlardagi, toifalar uchun – tegishli bosqichdagi ulush.</w:t>
      </w:r>
    </w:p>
    <w:p>
      <w:pPr>
        <w:ind w:firstLine="567"/>
        <w:jc w:val="both"/>
      </w:pPr>
      <w:r>
        <w:rPr>
          <w:b w:val="0"/>
          <w:i w:val="0"/>
          <w:sz w:val="26"/>
        </w:rPr>
        <w:t>4. Qadrsizlangan kreditlarning milliy tasnifdagi aksi. 1-rasm 3-bosqich kreditlarining milliy toifalar bo‘yicha tarkibini ko‘rsatadi. Milliy hisobotda muammoli hisoblanmagan qism 2021-yilda 35,6 foiz, 2022-yilda 29,0 foiz, 2023-yilda 47,1 foiz, 2024-yilda 38,9 foiz va 2025-yilda 57,2 foizni tashkil etgan. 3-bosqich kreditlarining milliy muammoli kreditlarga nisbati (yashirin kredit riski koeffitsiyenti) mos ravishda 1,55; 1,41; 1,89; 1,64 va 2,34 ga teng bo‘lgan, ya’ni 2025-yilda milliy ko‘rsatkich qadrsizlangan kreditlarning yarmidan kamini aks ettirgan.</w:t>
      </w:r>
    </w:p>
    <w:p>
      <w:pPr>
        <w:jc w:val="center"/>
      </w:pPr>
      <w:r xmlns:a="http://schemas.openxmlformats.org/drawingml/2006/main" xmlns:c="http://schemas.openxmlformats.org/drawingml/2006/chart">
        <w:rPr>
          <w:noProof/>
        </w:rPr>
        <w:drawing>
          <wp:inline distT="0" distB="0" distL="0" distR="0">
            <wp:extent cx="5400000" cy="2700000"/>
            <wp:effectExtent l="0" t="0" r="0" b="0"/>
            <wp:docPr id="1001" name="1-rasm"/>
            <wp:cNvGraphicFramePr/>
            <a:graphic>
              <a:graphicData uri="http://schemas.openxmlformats.org/drawingml/2006/chart">
                <c:chart r:id="rId9"/>
              </a:graphicData>
            </a:graphic>
          </wp:inline>
        </w:drawing>
      </w:r>
    </w:p>
    <w:p>
      <w:pPr>
        <w:spacing w:line="240" w:lineRule="auto"/>
        <w:ind w:firstLine="0"/>
        <w:jc w:val="center"/>
      </w:pPr>
      <w:r>
        <w:rPr>
          <w:b/>
          <w:i w:val="0"/>
          <w:sz w:val="24"/>
        </w:rPr>
        <w:t>1-rasm. 3-bosqich kreditlarining milliy tasnif toifalari bo‘yicha tarkibi, 2021–2025-yillar, % (ustunlar ustida – jami, mlrd so‘m)</w:t>
      </w:r>
    </w:p>
    <w:p>
      <w:pPr>
        <w:spacing w:line="240" w:lineRule="auto"/>
        <w:ind w:firstLine="0"/>
        <w:jc w:val="both"/>
      </w:pPr>
      <w:r>
        <w:rPr>
          <w:b w:val="0"/>
          <w:i/>
          <w:sz w:val="21"/>
        </w:rPr>
        <w:t>Manba: [7; 8] asosida muallif hisobi.</w:t>
      </w:r>
    </w:p>
    <w:p>
      <w:pPr>
        <w:ind w:firstLine="567"/>
        <w:jc w:val="both"/>
      </w:pPr>
      <w:r>
        <w:rPr>
          <w:b w:val="0"/>
          <w:i w:val="0"/>
          <w:sz w:val="26"/>
        </w:rPr>
        <w:t>5. 2025-yil holati. 4-jadval 2025-yil yakunidagi to‘liq kesishma jadvalni beradi. Milliy tasnif bo‘yicha muammoli kreditlar 2 272,9 mlrd so‘mni (3,2 foiz) tashkil etgan bo‘lsa, 3-bosqich kreditlari 5 310,2 mlrd so‘m (7,5 foiz) bo‘lgan. Milliy tasnifda “standart” deb ko‘rsatilgan 54 080,8 mlrd so‘mlik kreditlarning 24,0 foizi 2-bosqichda, 1,4 foizi esa 3-bosqichda bo‘lgan. Kutilgan kredit zararlari bo‘yicha zaxira 4 250,9 mlrd so‘mni tashkil etib, uning 47,1 foizi 3-bosqich, 40,3 foizi 2-bosqich kreditlariga to‘g‘ri kelgan; 3-bosqich kreditlarining zaxira bilan qoplanishi 37,7 foiz bo‘lgan.</w:t>
      </w:r>
    </w:p>
    <w:p>
      <w:pPr>
        <w:ind w:firstLine="0"/>
        <w:jc w:val="right"/>
      </w:pPr>
      <w:r>
        <w:rPr>
          <w:b w:val="0"/>
          <w:i/>
          <w:sz w:val="24"/>
        </w:rPr>
        <w:t>4-jadval</w:t>
      </w:r>
    </w:p>
    <w:p>
      <w:pPr>
        <w:spacing w:line="240" w:lineRule="auto"/>
        <w:ind w:firstLine="0"/>
        <w:jc w:val="center"/>
      </w:pPr>
      <w:r>
        <w:rPr>
          <w:b/>
          <w:i w:val="0"/>
          <w:sz w:val="24"/>
        </w:rPr>
        <w:t>Kreditlarning milliy tasnif toifalari va MHXS 9 bosqichlari bo‘yicha taqsimoti, 2025-yil 31-dekabr, mlrd so‘m</w:t>
      </w:r>
    </w:p>
    <w:tbl>
      <w:tblPr>
        <w:tblStyle w:val="TableGrid"/>
        <w:tblW w:type="auto" w:w="0"/>
        <w:jc w:val="center"/>
        <w:tblLayout w:type="fixed"/>
        <w:tblLook w:firstColumn="1" w:firstRow="1" w:lastColumn="0" w:lastRow="0" w:noHBand="0" w:noVBand="1" w:val="04A0"/>
      </w:tblPr>
      <w:tblGrid>
        <w:gridCol w:w="2835"/>
        <w:gridCol w:w="1361"/>
        <w:gridCol w:w="1361"/>
        <w:gridCol w:w="1361"/>
        <w:gridCol w:w="1417"/>
        <w:gridCol w:w="1134"/>
      </w:tblGrid>
      <w:tr>
        <w:tc>
          <w:tcPr>
            <w:tcW w:type="dxa" w:w="2835"/>
            <w:vAlign w:val="center"/>
            <w:shd w:val="clear" w:fill="DEEBF7"/>
          </w:tcPr>
          <w:p>
            <w:pPr>
              <w:spacing w:line="240" w:lineRule="auto" w:after="0"/>
              <w:jc w:val="center"/>
            </w:pPr>
            <w:r>
              <w:rPr>
                <w:b/>
                <w:sz w:val="21"/>
              </w:rPr>
              <w:t>Milliy toifa</w:t>
            </w:r>
          </w:p>
        </w:tc>
        <w:tc>
          <w:tcPr>
            <w:tcW w:type="dxa" w:w="1361"/>
            <w:vAlign w:val="center"/>
            <w:shd w:val="clear" w:fill="DEEBF7"/>
          </w:tcPr>
          <w:p>
            <w:pPr>
              <w:spacing w:line="240" w:lineRule="auto" w:after="0"/>
              <w:jc w:val="center"/>
            </w:pPr>
            <w:r>
              <w:rPr>
                <w:b/>
                <w:sz w:val="21"/>
              </w:rPr>
              <w:t>1-bosqich</w:t>
            </w:r>
          </w:p>
        </w:tc>
        <w:tc>
          <w:tcPr>
            <w:tcW w:type="dxa" w:w="1361"/>
            <w:vAlign w:val="center"/>
            <w:shd w:val="clear" w:fill="DEEBF7"/>
          </w:tcPr>
          <w:p>
            <w:pPr>
              <w:spacing w:line="240" w:lineRule="auto" w:after="0"/>
              <w:jc w:val="center"/>
            </w:pPr>
            <w:r>
              <w:rPr>
                <w:b/>
                <w:sz w:val="21"/>
              </w:rPr>
              <w:t>2-bosqich</w:t>
            </w:r>
          </w:p>
        </w:tc>
        <w:tc>
          <w:tcPr>
            <w:tcW w:type="dxa" w:w="1361"/>
            <w:vAlign w:val="center"/>
            <w:shd w:val="clear" w:fill="DEEBF7"/>
          </w:tcPr>
          <w:p>
            <w:pPr>
              <w:spacing w:line="240" w:lineRule="auto" w:after="0"/>
              <w:jc w:val="center"/>
            </w:pPr>
            <w:r>
              <w:rPr>
                <w:b/>
                <w:sz w:val="21"/>
              </w:rPr>
              <w:t>3-bosqich</w:t>
            </w:r>
          </w:p>
        </w:tc>
        <w:tc>
          <w:tcPr>
            <w:tcW w:type="dxa" w:w="1417"/>
            <w:vAlign w:val="center"/>
            <w:shd w:val="clear" w:fill="DEEBF7"/>
          </w:tcPr>
          <w:p>
            <w:pPr>
              <w:spacing w:line="240" w:lineRule="auto" w:after="0"/>
              <w:jc w:val="center"/>
            </w:pPr>
            <w:r>
              <w:rPr>
                <w:b/>
                <w:sz w:val="21"/>
              </w:rPr>
              <w:t>Jami</w:t>
            </w:r>
          </w:p>
        </w:tc>
        <w:tc>
          <w:tcPr>
            <w:tcW w:type="dxa" w:w="1134"/>
            <w:vAlign w:val="center"/>
            <w:shd w:val="clear" w:fill="DEEBF7"/>
          </w:tcPr>
          <w:p>
            <w:pPr>
              <w:spacing w:line="240" w:lineRule="auto" w:after="0"/>
              <w:jc w:val="center"/>
            </w:pPr>
            <w:r>
              <w:rPr>
                <w:b/>
                <w:sz w:val="21"/>
              </w:rPr>
              <w:t>Ulushi, %</w:t>
            </w:r>
          </w:p>
        </w:tc>
      </w:tr>
      <w:tr>
        <w:tc>
          <w:tcPr>
            <w:tcW w:type="dxa" w:w="2835"/>
            <w:vAlign w:val="center"/>
          </w:tcPr>
          <w:p>
            <w:pPr>
              <w:spacing w:line="240" w:lineRule="auto" w:after="0"/>
              <w:jc w:val="left"/>
            </w:pPr>
            <w:r>
              <w:rPr>
                <w:b w:val="0"/>
                <w:sz w:val="21"/>
              </w:rPr>
              <w:t>Standart</w:t>
            </w:r>
          </w:p>
        </w:tc>
        <w:tc>
          <w:tcPr>
            <w:tcW w:type="dxa" w:w="1361"/>
            <w:vAlign w:val="center"/>
          </w:tcPr>
          <w:p>
            <w:pPr>
              <w:spacing w:line="240" w:lineRule="auto" w:after="0"/>
              <w:jc w:val="center"/>
            </w:pPr>
            <w:r>
              <w:rPr>
                <w:b w:val="0"/>
                <w:sz w:val="21"/>
              </w:rPr>
              <w:t>40 378,2</w:t>
            </w:r>
          </w:p>
        </w:tc>
        <w:tc>
          <w:tcPr>
            <w:tcW w:type="dxa" w:w="1361"/>
            <w:vAlign w:val="center"/>
          </w:tcPr>
          <w:p>
            <w:pPr>
              <w:spacing w:line="240" w:lineRule="auto" w:after="0"/>
              <w:jc w:val="center"/>
            </w:pPr>
            <w:r>
              <w:rPr>
                <w:b w:val="0"/>
                <w:sz w:val="21"/>
              </w:rPr>
              <w:t>12 956,2</w:t>
            </w:r>
          </w:p>
        </w:tc>
        <w:tc>
          <w:tcPr>
            <w:tcW w:type="dxa" w:w="1361"/>
            <w:vAlign w:val="center"/>
          </w:tcPr>
          <w:p>
            <w:pPr>
              <w:spacing w:line="240" w:lineRule="auto" w:after="0"/>
              <w:jc w:val="center"/>
            </w:pPr>
            <w:r>
              <w:rPr>
                <w:b w:val="0"/>
                <w:sz w:val="21"/>
              </w:rPr>
              <w:t>746,4</w:t>
            </w:r>
          </w:p>
        </w:tc>
        <w:tc>
          <w:tcPr>
            <w:tcW w:type="dxa" w:w="1417"/>
            <w:vAlign w:val="center"/>
          </w:tcPr>
          <w:p>
            <w:pPr>
              <w:spacing w:line="240" w:lineRule="auto" w:after="0"/>
              <w:jc w:val="center"/>
            </w:pPr>
            <w:r>
              <w:rPr>
                <w:b w:val="0"/>
                <w:sz w:val="21"/>
              </w:rPr>
              <w:t>54 080,8</w:t>
            </w:r>
          </w:p>
        </w:tc>
        <w:tc>
          <w:tcPr>
            <w:tcW w:type="dxa" w:w="1134"/>
            <w:vAlign w:val="center"/>
          </w:tcPr>
          <w:p>
            <w:pPr>
              <w:spacing w:line="240" w:lineRule="auto" w:after="0"/>
              <w:jc w:val="center"/>
            </w:pPr>
            <w:r>
              <w:rPr>
                <w:b w:val="0"/>
                <w:sz w:val="21"/>
              </w:rPr>
              <w:t>76,2</w:t>
            </w:r>
          </w:p>
        </w:tc>
      </w:tr>
      <w:tr>
        <w:tc>
          <w:tcPr>
            <w:tcW w:type="dxa" w:w="2835"/>
            <w:vAlign w:val="center"/>
          </w:tcPr>
          <w:p>
            <w:pPr>
              <w:spacing w:line="240" w:lineRule="auto" w:after="0"/>
              <w:jc w:val="left"/>
            </w:pPr>
            <w:r>
              <w:rPr>
                <w:b w:val="0"/>
                <w:sz w:val="21"/>
              </w:rPr>
              <w:t>Substandart</w:t>
            </w:r>
          </w:p>
        </w:tc>
        <w:tc>
          <w:tcPr>
            <w:tcW w:type="dxa" w:w="1361"/>
            <w:vAlign w:val="center"/>
          </w:tcPr>
          <w:p>
            <w:pPr>
              <w:spacing w:line="240" w:lineRule="auto" w:after="0"/>
              <w:jc w:val="center"/>
            </w:pPr>
            <w:r>
              <w:rPr>
                <w:b w:val="0"/>
                <w:sz w:val="21"/>
              </w:rPr>
              <w:t>–</w:t>
            </w:r>
          </w:p>
        </w:tc>
        <w:tc>
          <w:tcPr>
            <w:tcW w:type="dxa" w:w="1361"/>
            <w:vAlign w:val="center"/>
          </w:tcPr>
          <w:p>
            <w:pPr>
              <w:spacing w:line="240" w:lineRule="auto" w:after="0"/>
              <w:jc w:val="center"/>
            </w:pPr>
            <w:r>
              <w:rPr>
                <w:b w:val="0"/>
                <w:sz w:val="21"/>
              </w:rPr>
              <w:t>12 364,3</w:t>
            </w:r>
          </w:p>
        </w:tc>
        <w:tc>
          <w:tcPr>
            <w:tcW w:type="dxa" w:w="1361"/>
            <w:vAlign w:val="center"/>
          </w:tcPr>
          <w:p>
            <w:pPr>
              <w:spacing w:line="240" w:lineRule="auto" w:after="0"/>
              <w:jc w:val="center"/>
            </w:pPr>
            <w:r>
              <w:rPr>
                <w:b w:val="0"/>
                <w:sz w:val="21"/>
              </w:rPr>
              <w:t>2 290,9</w:t>
            </w:r>
          </w:p>
        </w:tc>
        <w:tc>
          <w:tcPr>
            <w:tcW w:type="dxa" w:w="1417"/>
            <w:vAlign w:val="center"/>
          </w:tcPr>
          <w:p>
            <w:pPr>
              <w:spacing w:line="240" w:lineRule="auto" w:after="0"/>
              <w:jc w:val="center"/>
            </w:pPr>
            <w:r>
              <w:rPr>
                <w:b w:val="0"/>
                <w:sz w:val="21"/>
              </w:rPr>
              <w:t>14 655,2</w:t>
            </w:r>
          </w:p>
        </w:tc>
        <w:tc>
          <w:tcPr>
            <w:tcW w:type="dxa" w:w="1134"/>
            <w:vAlign w:val="center"/>
          </w:tcPr>
          <w:p>
            <w:pPr>
              <w:spacing w:line="240" w:lineRule="auto" w:after="0"/>
              <w:jc w:val="center"/>
            </w:pPr>
            <w:r>
              <w:rPr>
                <w:b w:val="0"/>
                <w:sz w:val="21"/>
              </w:rPr>
              <w:t>20,6</w:t>
            </w:r>
          </w:p>
        </w:tc>
      </w:tr>
      <w:tr>
        <w:tc>
          <w:tcPr>
            <w:tcW w:type="dxa" w:w="2835"/>
            <w:vAlign w:val="center"/>
          </w:tcPr>
          <w:p>
            <w:pPr>
              <w:spacing w:line="240" w:lineRule="auto" w:after="0"/>
              <w:jc w:val="left"/>
            </w:pPr>
            <w:r>
              <w:rPr>
                <w:b w:val="0"/>
                <w:sz w:val="21"/>
              </w:rPr>
              <w:t>Qoniqarsiz</w:t>
            </w:r>
          </w:p>
        </w:tc>
        <w:tc>
          <w:tcPr>
            <w:tcW w:type="dxa" w:w="1361"/>
            <w:vAlign w:val="center"/>
          </w:tcPr>
          <w:p>
            <w:pPr>
              <w:spacing w:line="240" w:lineRule="auto" w:after="0"/>
              <w:jc w:val="center"/>
            </w:pPr>
            <w:r>
              <w:rPr>
                <w:b w:val="0"/>
                <w:sz w:val="21"/>
              </w:rPr>
              <w:t>–</w:t>
            </w:r>
          </w:p>
        </w:tc>
        <w:tc>
          <w:tcPr>
            <w:tcW w:type="dxa" w:w="1361"/>
            <w:vAlign w:val="center"/>
          </w:tcPr>
          <w:p>
            <w:pPr>
              <w:spacing w:line="240" w:lineRule="auto" w:after="0"/>
              <w:jc w:val="center"/>
            </w:pPr>
            <w:r>
              <w:rPr>
                <w:b w:val="0"/>
                <w:sz w:val="21"/>
              </w:rPr>
              <w:t>–</w:t>
            </w:r>
          </w:p>
        </w:tc>
        <w:tc>
          <w:tcPr>
            <w:tcW w:type="dxa" w:w="1361"/>
            <w:vAlign w:val="center"/>
          </w:tcPr>
          <w:p>
            <w:pPr>
              <w:spacing w:line="240" w:lineRule="auto" w:after="0"/>
              <w:jc w:val="center"/>
            </w:pPr>
            <w:r>
              <w:rPr>
                <w:b w:val="0"/>
                <w:sz w:val="21"/>
              </w:rPr>
              <w:t>243,9</w:t>
            </w:r>
          </w:p>
        </w:tc>
        <w:tc>
          <w:tcPr>
            <w:tcW w:type="dxa" w:w="1417"/>
            <w:vAlign w:val="center"/>
          </w:tcPr>
          <w:p>
            <w:pPr>
              <w:spacing w:line="240" w:lineRule="auto" w:after="0"/>
              <w:jc w:val="center"/>
            </w:pPr>
            <w:r>
              <w:rPr>
                <w:b w:val="0"/>
                <w:sz w:val="21"/>
              </w:rPr>
              <w:t>243,9</w:t>
            </w:r>
          </w:p>
        </w:tc>
        <w:tc>
          <w:tcPr>
            <w:tcW w:type="dxa" w:w="1134"/>
            <w:vAlign w:val="center"/>
          </w:tcPr>
          <w:p>
            <w:pPr>
              <w:spacing w:line="240" w:lineRule="auto" w:after="0"/>
              <w:jc w:val="center"/>
            </w:pPr>
            <w:r>
              <w:rPr>
                <w:b w:val="0"/>
                <w:sz w:val="21"/>
              </w:rPr>
              <w:t>0,3</w:t>
            </w:r>
          </w:p>
        </w:tc>
      </w:tr>
      <w:tr>
        <w:tc>
          <w:tcPr>
            <w:tcW w:type="dxa" w:w="2835"/>
            <w:vAlign w:val="center"/>
          </w:tcPr>
          <w:p>
            <w:pPr>
              <w:spacing w:line="240" w:lineRule="auto" w:after="0"/>
              <w:jc w:val="left"/>
            </w:pPr>
            <w:r>
              <w:rPr>
                <w:b w:val="0"/>
                <w:sz w:val="21"/>
              </w:rPr>
              <w:t>Shubhali</w:t>
            </w:r>
          </w:p>
        </w:tc>
        <w:tc>
          <w:tcPr>
            <w:tcW w:type="dxa" w:w="1361"/>
            <w:vAlign w:val="center"/>
          </w:tcPr>
          <w:p>
            <w:pPr>
              <w:spacing w:line="240" w:lineRule="auto" w:after="0"/>
              <w:jc w:val="center"/>
            </w:pPr>
            <w:r>
              <w:rPr>
                <w:b w:val="0"/>
                <w:sz w:val="21"/>
              </w:rPr>
              <w:t>–</w:t>
            </w:r>
          </w:p>
        </w:tc>
        <w:tc>
          <w:tcPr>
            <w:tcW w:type="dxa" w:w="1361"/>
            <w:vAlign w:val="center"/>
          </w:tcPr>
          <w:p>
            <w:pPr>
              <w:spacing w:line="240" w:lineRule="auto" w:after="0"/>
              <w:jc w:val="center"/>
            </w:pPr>
            <w:r>
              <w:rPr>
                <w:b w:val="0"/>
                <w:sz w:val="21"/>
              </w:rPr>
              <w:t>–</w:t>
            </w:r>
          </w:p>
        </w:tc>
        <w:tc>
          <w:tcPr>
            <w:tcW w:type="dxa" w:w="1361"/>
            <w:vAlign w:val="center"/>
          </w:tcPr>
          <w:p>
            <w:pPr>
              <w:spacing w:line="240" w:lineRule="auto" w:after="0"/>
              <w:jc w:val="center"/>
            </w:pPr>
            <w:r>
              <w:rPr>
                <w:b w:val="0"/>
                <w:sz w:val="21"/>
              </w:rPr>
              <w:t>642,1</w:t>
            </w:r>
          </w:p>
        </w:tc>
        <w:tc>
          <w:tcPr>
            <w:tcW w:type="dxa" w:w="1417"/>
            <w:vAlign w:val="center"/>
          </w:tcPr>
          <w:p>
            <w:pPr>
              <w:spacing w:line="240" w:lineRule="auto" w:after="0"/>
              <w:jc w:val="center"/>
            </w:pPr>
            <w:r>
              <w:rPr>
                <w:b w:val="0"/>
                <w:sz w:val="21"/>
              </w:rPr>
              <w:t>642,1</w:t>
            </w:r>
          </w:p>
        </w:tc>
        <w:tc>
          <w:tcPr>
            <w:tcW w:type="dxa" w:w="1134"/>
            <w:vAlign w:val="center"/>
          </w:tcPr>
          <w:p>
            <w:pPr>
              <w:spacing w:line="240" w:lineRule="auto" w:after="0"/>
              <w:jc w:val="center"/>
            </w:pPr>
            <w:r>
              <w:rPr>
                <w:b w:val="0"/>
                <w:sz w:val="21"/>
              </w:rPr>
              <w:t>0,9</w:t>
            </w:r>
          </w:p>
        </w:tc>
      </w:tr>
      <w:tr>
        <w:tc>
          <w:tcPr>
            <w:tcW w:type="dxa" w:w="2835"/>
            <w:vAlign w:val="center"/>
          </w:tcPr>
          <w:p>
            <w:pPr>
              <w:spacing w:line="240" w:lineRule="auto" w:after="0"/>
              <w:jc w:val="left"/>
            </w:pPr>
            <w:r>
              <w:rPr>
                <w:b w:val="0"/>
                <w:sz w:val="21"/>
              </w:rPr>
              <w:t>Umidsiz</w:t>
            </w:r>
          </w:p>
        </w:tc>
        <w:tc>
          <w:tcPr>
            <w:tcW w:type="dxa" w:w="1361"/>
            <w:vAlign w:val="center"/>
          </w:tcPr>
          <w:p>
            <w:pPr>
              <w:spacing w:line="240" w:lineRule="auto" w:after="0"/>
              <w:jc w:val="center"/>
            </w:pPr>
            <w:r>
              <w:rPr>
                <w:b w:val="0"/>
                <w:sz w:val="21"/>
              </w:rPr>
              <w:t>–</w:t>
            </w:r>
          </w:p>
        </w:tc>
        <w:tc>
          <w:tcPr>
            <w:tcW w:type="dxa" w:w="1361"/>
            <w:vAlign w:val="center"/>
          </w:tcPr>
          <w:p>
            <w:pPr>
              <w:spacing w:line="240" w:lineRule="auto" w:after="0"/>
              <w:jc w:val="center"/>
            </w:pPr>
            <w:r>
              <w:rPr>
                <w:b w:val="0"/>
                <w:sz w:val="21"/>
              </w:rPr>
              <w:t>–</w:t>
            </w:r>
          </w:p>
        </w:tc>
        <w:tc>
          <w:tcPr>
            <w:tcW w:type="dxa" w:w="1361"/>
            <w:vAlign w:val="center"/>
          </w:tcPr>
          <w:p>
            <w:pPr>
              <w:spacing w:line="240" w:lineRule="auto" w:after="0"/>
              <w:jc w:val="center"/>
            </w:pPr>
            <w:r>
              <w:rPr>
                <w:b w:val="0"/>
                <w:sz w:val="21"/>
              </w:rPr>
              <w:t>1 386,9</w:t>
            </w:r>
          </w:p>
        </w:tc>
        <w:tc>
          <w:tcPr>
            <w:tcW w:type="dxa" w:w="1417"/>
            <w:vAlign w:val="center"/>
          </w:tcPr>
          <w:p>
            <w:pPr>
              <w:spacing w:line="240" w:lineRule="auto" w:after="0"/>
              <w:jc w:val="center"/>
            </w:pPr>
            <w:r>
              <w:rPr>
                <w:b w:val="0"/>
                <w:sz w:val="21"/>
              </w:rPr>
              <w:t>1 386,9</w:t>
            </w:r>
          </w:p>
        </w:tc>
        <w:tc>
          <w:tcPr>
            <w:tcW w:type="dxa" w:w="1134"/>
            <w:vAlign w:val="center"/>
          </w:tcPr>
          <w:p>
            <w:pPr>
              <w:spacing w:line="240" w:lineRule="auto" w:after="0"/>
              <w:jc w:val="center"/>
            </w:pPr>
            <w:r>
              <w:rPr>
                <w:b w:val="0"/>
                <w:sz w:val="21"/>
              </w:rPr>
              <w:t>2,0</w:t>
            </w:r>
          </w:p>
        </w:tc>
      </w:tr>
      <w:tr>
        <w:tc>
          <w:tcPr>
            <w:tcW w:type="dxa" w:w="2835"/>
            <w:vAlign w:val="center"/>
          </w:tcPr>
          <w:p>
            <w:pPr>
              <w:spacing w:line="240" w:lineRule="auto" w:after="0"/>
              <w:jc w:val="left"/>
            </w:pPr>
            <w:r>
              <w:rPr>
                <w:b/>
                <w:sz w:val="21"/>
              </w:rPr>
              <w:t>Jami</w:t>
            </w:r>
          </w:p>
        </w:tc>
        <w:tc>
          <w:tcPr>
            <w:tcW w:type="dxa" w:w="1361"/>
            <w:vAlign w:val="center"/>
          </w:tcPr>
          <w:p>
            <w:pPr>
              <w:spacing w:line="240" w:lineRule="auto" w:after="0"/>
              <w:jc w:val="center"/>
            </w:pPr>
            <w:r>
              <w:rPr>
                <w:b w:val="0"/>
                <w:sz w:val="21"/>
              </w:rPr>
              <w:t>40 378,2</w:t>
            </w:r>
          </w:p>
        </w:tc>
        <w:tc>
          <w:tcPr>
            <w:tcW w:type="dxa" w:w="1361"/>
            <w:vAlign w:val="center"/>
          </w:tcPr>
          <w:p>
            <w:pPr>
              <w:spacing w:line="240" w:lineRule="auto" w:after="0"/>
              <w:jc w:val="center"/>
            </w:pPr>
            <w:r>
              <w:rPr>
                <w:b w:val="0"/>
                <w:sz w:val="21"/>
              </w:rPr>
              <w:t>25 320,4</w:t>
            </w:r>
          </w:p>
        </w:tc>
        <w:tc>
          <w:tcPr>
            <w:tcW w:type="dxa" w:w="1361"/>
            <w:vAlign w:val="center"/>
          </w:tcPr>
          <w:p>
            <w:pPr>
              <w:spacing w:line="240" w:lineRule="auto" w:after="0"/>
              <w:jc w:val="center"/>
            </w:pPr>
            <w:r>
              <w:rPr>
                <w:b w:val="0"/>
                <w:sz w:val="21"/>
              </w:rPr>
              <w:t>5 310,2</w:t>
            </w:r>
          </w:p>
        </w:tc>
        <w:tc>
          <w:tcPr>
            <w:tcW w:type="dxa" w:w="1417"/>
            <w:vAlign w:val="center"/>
          </w:tcPr>
          <w:p>
            <w:pPr>
              <w:spacing w:line="240" w:lineRule="auto" w:after="0"/>
              <w:jc w:val="center"/>
            </w:pPr>
            <w:r>
              <w:rPr>
                <w:b w:val="0"/>
                <w:sz w:val="21"/>
              </w:rPr>
              <w:t>71 008,8</w:t>
            </w:r>
          </w:p>
        </w:tc>
        <w:tc>
          <w:tcPr>
            <w:tcW w:type="dxa" w:w="1134"/>
            <w:vAlign w:val="center"/>
          </w:tcPr>
          <w:p>
            <w:pPr>
              <w:spacing w:line="240" w:lineRule="auto" w:after="0"/>
              <w:jc w:val="center"/>
            </w:pPr>
            <w:r>
              <w:rPr>
                <w:b w:val="0"/>
                <w:sz w:val="21"/>
              </w:rPr>
              <w:t>100,0</w:t>
            </w:r>
          </w:p>
        </w:tc>
      </w:tr>
      <w:tr>
        <w:tc>
          <w:tcPr>
            <w:tcW w:type="dxa" w:w="2835"/>
            <w:vAlign w:val="center"/>
          </w:tcPr>
          <w:p>
            <w:pPr>
              <w:spacing w:line="240" w:lineRule="auto" w:after="0"/>
              <w:jc w:val="left"/>
            </w:pPr>
            <w:r>
              <w:rPr>
                <w:b w:val="0"/>
                <w:sz w:val="21"/>
              </w:rPr>
              <w:t>Ulushi, %</w:t>
            </w:r>
          </w:p>
        </w:tc>
        <w:tc>
          <w:tcPr>
            <w:tcW w:type="dxa" w:w="1361"/>
            <w:vAlign w:val="center"/>
          </w:tcPr>
          <w:p>
            <w:pPr>
              <w:spacing w:line="240" w:lineRule="auto" w:after="0"/>
              <w:jc w:val="center"/>
            </w:pPr>
            <w:r>
              <w:rPr>
                <w:b w:val="0"/>
                <w:sz w:val="21"/>
              </w:rPr>
              <w:t>56,9</w:t>
            </w:r>
          </w:p>
        </w:tc>
        <w:tc>
          <w:tcPr>
            <w:tcW w:type="dxa" w:w="1361"/>
            <w:vAlign w:val="center"/>
          </w:tcPr>
          <w:p>
            <w:pPr>
              <w:spacing w:line="240" w:lineRule="auto" w:after="0"/>
              <w:jc w:val="center"/>
            </w:pPr>
            <w:r>
              <w:rPr>
                <w:b w:val="0"/>
                <w:sz w:val="21"/>
              </w:rPr>
              <w:t>35,7</w:t>
            </w:r>
          </w:p>
        </w:tc>
        <w:tc>
          <w:tcPr>
            <w:tcW w:type="dxa" w:w="1361"/>
            <w:vAlign w:val="center"/>
          </w:tcPr>
          <w:p>
            <w:pPr>
              <w:spacing w:line="240" w:lineRule="auto" w:after="0"/>
              <w:jc w:val="center"/>
            </w:pPr>
            <w:r>
              <w:rPr>
                <w:b w:val="0"/>
                <w:sz w:val="21"/>
              </w:rPr>
              <w:t>7,5</w:t>
            </w:r>
          </w:p>
        </w:tc>
        <w:tc>
          <w:tcPr>
            <w:tcW w:type="dxa" w:w="1417"/>
            <w:vAlign w:val="center"/>
          </w:tcPr>
          <w:p>
            <w:pPr>
              <w:spacing w:line="240" w:lineRule="auto" w:after="0"/>
              <w:jc w:val="center"/>
            </w:pPr>
            <w:r>
              <w:rPr>
                <w:b w:val="0"/>
                <w:sz w:val="21"/>
              </w:rPr>
              <w:t>100,0</w:t>
            </w:r>
          </w:p>
        </w:tc>
        <w:tc>
          <w:tcPr>
            <w:tcW w:type="dxa" w:w="1134"/>
            <w:vAlign w:val="center"/>
          </w:tcPr>
          <w:p>
            <w:pPr>
              <w:spacing w:line="240" w:lineRule="auto" w:after="0"/>
              <w:jc w:val="center"/>
            </w:pPr>
            <w:r>
              <w:rPr>
                <w:b w:val="0"/>
                <w:sz w:val="21"/>
              </w:rPr>
            </w:r>
          </w:p>
        </w:tc>
      </w:tr>
      <w:tr>
        <w:tc>
          <w:tcPr>
            <w:tcW w:type="dxa" w:w="2835"/>
            <w:vAlign w:val="center"/>
          </w:tcPr>
          <w:p>
            <w:pPr>
              <w:spacing w:line="240" w:lineRule="auto" w:after="0"/>
              <w:jc w:val="left"/>
            </w:pPr>
            <w:r>
              <w:rPr>
                <w:b w:val="0"/>
                <w:sz w:val="21"/>
              </w:rPr>
              <w:t>Kutilgan kredit zararlari bo‘yicha zaxira</w:t>
            </w:r>
          </w:p>
        </w:tc>
        <w:tc>
          <w:tcPr>
            <w:tcW w:type="dxa" w:w="1361"/>
            <w:vAlign w:val="center"/>
          </w:tcPr>
          <w:p>
            <w:pPr>
              <w:spacing w:line="240" w:lineRule="auto" w:after="0"/>
              <w:jc w:val="center"/>
            </w:pPr>
            <w:r>
              <w:rPr>
                <w:b w:val="0"/>
                <w:sz w:val="21"/>
              </w:rPr>
              <w:t>535,9</w:t>
            </w:r>
          </w:p>
        </w:tc>
        <w:tc>
          <w:tcPr>
            <w:tcW w:type="dxa" w:w="1361"/>
            <w:vAlign w:val="center"/>
          </w:tcPr>
          <w:p>
            <w:pPr>
              <w:spacing w:line="240" w:lineRule="auto" w:after="0"/>
              <w:jc w:val="center"/>
            </w:pPr>
            <w:r>
              <w:rPr>
                <w:b w:val="0"/>
                <w:sz w:val="21"/>
              </w:rPr>
              <w:t>1 711,4</w:t>
            </w:r>
          </w:p>
        </w:tc>
        <w:tc>
          <w:tcPr>
            <w:tcW w:type="dxa" w:w="1361"/>
            <w:vAlign w:val="center"/>
          </w:tcPr>
          <w:p>
            <w:pPr>
              <w:spacing w:line="240" w:lineRule="auto" w:after="0"/>
              <w:jc w:val="center"/>
            </w:pPr>
            <w:r>
              <w:rPr>
                <w:b w:val="0"/>
                <w:sz w:val="21"/>
              </w:rPr>
              <w:t>2 003,6</w:t>
            </w:r>
          </w:p>
        </w:tc>
        <w:tc>
          <w:tcPr>
            <w:tcW w:type="dxa" w:w="1417"/>
            <w:vAlign w:val="center"/>
          </w:tcPr>
          <w:p>
            <w:pPr>
              <w:spacing w:line="240" w:lineRule="auto" w:after="0"/>
              <w:jc w:val="center"/>
            </w:pPr>
            <w:r>
              <w:rPr>
                <w:b w:val="0"/>
                <w:sz w:val="21"/>
              </w:rPr>
              <w:t>4 250,9</w:t>
            </w:r>
          </w:p>
        </w:tc>
        <w:tc>
          <w:tcPr>
            <w:tcW w:type="dxa" w:w="1134"/>
            <w:vAlign w:val="center"/>
          </w:tcPr>
          <w:p>
            <w:pPr>
              <w:spacing w:line="240" w:lineRule="auto" w:after="0"/>
              <w:jc w:val="center"/>
            </w:pPr>
            <w:r>
              <w:rPr>
                <w:b w:val="0"/>
                <w:sz w:val="21"/>
              </w:rPr>
            </w:r>
          </w:p>
        </w:tc>
      </w:tr>
      <w:tr>
        <w:tc>
          <w:tcPr>
            <w:tcW w:type="dxa" w:w="2835"/>
            <w:vAlign w:val="center"/>
          </w:tcPr>
          <w:p>
            <w:pPr>
              <w:spacing w:line="240" w:lineRule="auto" w:after="0"/>
              <w:jc w:val="left"/>
            </w:pPr>
            <w:r>
              <w:rPr>
                <w:b w:val="0"/>
                <w:sz w:val="21"/>
              </w:rPr>
              <w:t>Zaxira bilan qoplanish, %</w:t>
            </w:r>
          </w:p>
        </w:tc>
        <w:tc>
          <w:tcPr>
            <w:tcW w:type="dxa" w:w="1361"/>
            <w:vAlign w:val="center"/>
          </w:tcPr>
          <w:p>
            <w:pPr>
              <w:spacing w:line="240" w:lineRule="auto" w:after="0"/>
              <w:jc w:val="center"/>
            </w:pPr>
            <w:r>
              <w:rPr>
                <w:b w:val="0"/>
                <w:sz w:val="21"/>
              </w:rPr>
              <w:t>1,3</w:t>
            </w:r>
          </w:p>
        </w:tc>
        <w:tc>
          <w:tcPr>
            <w:tcW w:type="dxa" w:w="1361"/>
            <w:vAlign w:val="center"/>
          </w:tcPr>
          <w:p>
            <w:pPr>
              <w:spacing w:line="240" w:lineRule="auto" w:after="0"/>
              <w:jc w:val="center"/>
            </w:pPr>
            <w:r>
              <w:rPr>
                <w:b w:val="0"/>
                <w:sz w:val="21"/>
              </w:rPr>
              <w:t>6,8</w:t>
            </w:r>
          </w:p>
        </w:tc>
        <w:tc>
          <w:tcPr>
            <w:tcW w:type="dxa" w:w="1361"/>
            <w:vAlign w:val="center"/>
          </w:tcPr>
          <w:p>
            <w:pPr>
              <w:spacing w:line="240" w:lineRule="auto" w:after="0"/>
              <w:jc w:val="center"/>
            </w:pPr>
            <w:r>
              <w:rPr>
                <w:b w:val="0"/>
                <w:sz w:val="21"/>
              </w:rPr>
              <w:t>37,7</w:t>
            </w:r>
          </w:p>
        </w:tc>
        <w:tc>
          <w:tcPr>
            <w:tcW w:type="dxa" w:w="1417"/>
            <w:vAlign w:val="center"/>
          </w:tcPr>
          <w:p>
            <w:pPr>
              <w:spacing w:line="240" w:lineRule="auto" w:after="0"/>
              <w:jc w:val="center"/>
            </w:pPr>
            <w:r>
              <w:rPr>
                <w:b w:val="0"/>
                <w:sz w:val="21"/>
              </w:rPr>
              <w:t>6,0</w:t>
            </w:r>
          </w:p>
        </w:tc>
        <w:tc>
          <w:tcPr>
            <w:tcW w:type="dxa" w:w="1134"/>
            <w:vAlign w:val="center"/>
          </w:tcPr>
          <w:p>
            <w:pPr>
              <w:spacing w:line="240" w:lineRule="auto" w:after="0"/>
              <w:jc w:val="center"/>
            </w:pPr>
            <w:r>
              <w:rPr>
                <w:b w:val="0"/>
                <w:sz w:val="21"/>
              </w:rPr>
            </w:r>
          </w:p>
        </w:tc>
      </w:tr>
    </w:tbl>
    <w:p>
      <w:pPr>
        <w:spacing w:line="240" w:lineRule="auto"/>
        <w:ind w:firstLine="0"/>
        <w:jc w:val="both"/>
      </w:pPr>
      <w:r>
        <w:rPr>
          <w:b w:val="0"/>
          <w:i/>
          <w:sz w:val="21"/>
        </w:rPr>
        <w:t>Manba: [8] asosida muallif hisobi.</w:t>
      </w:r>
    </w:p>
    <w:p>
      <w:pPr>
        <w:ind w:firstLine="567"/>
        <w:jc w:val="both"/>
      </w:pPr>
      <w:r>
        <w:rPr>
          <w:b w:val="0"/>
          <w:i w:val="0"/>
          <w:sz w:val="26"/>
        </w:rPr>
        <w:t>6. Bosqichlararo o‘tishlar. Hisobotlardagi harakat jadvallari kreditlarning yil davomida bir bosqichdan boshqasiga o‘tishini ko‘rsatadi (5-jadval). 2024 va 2025-yillarda har yili 9 trln so‘mdan ortiq kreditlar 1-bosqichdan 2-bosqichga o‘tgan. 3-bosqichga yangi o‘tgan kreditlar (1→3 va 2→3) 2021–2025-yillarda yiliga 1,4–2,8 trln so‘mni tashkil etgan. 2025-yilda bank hukumat ko‘rsatmalari asosida 14 129,2 mlrd so‘mlik kreditlarni restrukturizatsiya qilgan va bundan 184,7 mlrd so‘m zarar tan olgan [8]; bank siyosatiga ko‘ra takroriy restrukturizatsiya 2-bosqichga o‘tkazish asosi bo‘lgani 2-bosqichning keskin o‘sishini izohlaydi. Teskari o‘tishlar ham sezilarli: 2025-yilda 4,1 trln so‘m kredit 2-bosqichdan 1-bosqichga qaytgan, biroq hisobotda o‘tishlarning sabablari kreditlar kesimida oshkor qilinmaydi.</w:t>
      </w:r>
    </w:p>
    <w:p>
      <w:pPr>
        <w:ind w:firstLine="0"/>
        <w:jc w:val="right"/>
      </w:pPr>
      <w:r>
        <w:rPr>
          <w:b w:val="0"/>
          <w:i/>
          <w:sz w:val="24"/>
        </w:rPr>
        <w:t>5-jadval</w:t>
      </w:r>
    </w:p>
    <w:p>
      <w:pPr>
        <w:spacing w:line="240" w:lineRule="auto"/>
        <w:ind w:firstLine="0"/>
        <w:jc w:val="center"/>
      </w:pPr>
      <w:r>
        <w:rPr>
          <w:b/>
          <w:i w:val="0"/>
          <w:sz w:val="24"/>
        </w:rPr>
        <w:t>Kreditlarning MHXS 9 bosqichlari o‘rtasida o‘tishi, mlrd so‘m</w:t>
      </w:r>
    </w:p>
    <w:tbl>
      <w:tblPr>
        <w:tblStyle w:val="TableGrid"/>
        <w:tblW w:type="auto" w:w="0"/>
        <w:jc w:val="center"/>
        <w:tblLayout w:type="fixed"/>
        <w:tblLook w:firstColumn="1" w:firstRow="1" w:lastColumn="0" w:lastRow="0" w:noHBand="0" w:noVBand="1" w:val="04A0"/>
      </w:tblPr>
      <w:tblGrid>
        <w:gridCol w:w="737"/>
        <w:gridCol w:w="1191"/>
        <w:gridCol w:w="1134"/>
        <w:gridCol w:w="1134"/>
        <w:gridCol w:w="1191"/>
        <w:gridCol w:w="1134"/>
        <w:gridCol w:w="1134"/>
        <w:gridCol w:w="1701"/>
      </w:tblGrid>
      <w:tr>
        <w:tc>
          <w:tcPr>
            <w:tcW w:type="dxa" w:w="737"/>
            <w:vAlign w:val="center"/>
            <w:shd w:val="clear" w:fill="DEEBF7"/>
          </w:tcPr>
          <w:p>
            <w:pPr>
              <w:spacing w:line="240" w:lineRule="auto" w:after="0"/>
              <w:jc w:val="center"/>
            </w:pPr>
            <w:r>
              <w:rPr>
                <w:b/>
                <w:sz w:val="21"/>
              </w:rPr>
              <w:t>Yil</w:t>
            </w:r>
          </w:p>
        </w:tc>
        <w:tc>
          <w:tcPr>
            <w:tcW w:type="dxa" w:w="1191"/>
            <w:vAlign w:val="center"/>
            <w:shd w:val="clear" w:fill="DEEBF7"/>
          </w:tcPr>
          <w:p>
            <w:pPr>
              <w:spacing w:line="240" w:lineRule="auto" w:after="0"/>
              <w:jc w:val="center"/>
            </w:pPr>
            <w:r>
              <w:rPr>
                <w:b/>
                <w:sz w:val="21"/>
              </w:rPr>
              <w:t>1→2</w:t>
            </w:r>
          </w:p>
        </w:tc>
        <w:tc>
          <w:tcPr>
            <w:tcW w:type="dxa" w:w="1134"/>
            <w:vAlign w:val="center"/>
            <w:shd w:val="clear" w:fill="DEEBF7"/>
          </w:tcPr>
          <w:p>
            <w:pPr>
              <w:spacing w:line="240" w:lineRule="auto" w:after="0"/>
              <w:jc w:val="center"/>
            </w:pPr>
            <w:r>
              <w:rPr>
                <w:b/>
                <w:sz w:val="21"/>
              </w:rPr>
              <w:t>1→3</w:t>
            </w:r>
          </w:p>
        </w:tc>
        <w:tc>
          <w:tcPr>
            <w:tcW w:type="dxa" w:w="1134"/>
            <w:vAlign w:val="center"/>
            <w:shd w:val="clear" w:fill="DEEBF7"/>
          </w:tcPr>
          <w:p>
            <w:pPr>
              <w:spacing w:line="240" w:lineRule="auto" w:after="0"/>
              <w:jc w:val="center"/>
            </w:pPr>
            <w:r>
              <w:rPr>
                <w:b/>
                <w:sz w:val="21"/>
              </w:rPr>
              <w:t>2→3</w:t>
            </w:r>
          </w:p>
        </w:tc>
        <w:tc>
          <w:tcPr>
            <w:tcW w:type="dxa" w:w="1191"/>
            <w:vAlign w:val="center"/>
            <w:shd w:val="clear" w:fill="DEEBF7"/>
          </w:tcPr>
          <w:p>
            <w:pPr>
              <w:spacing w:line="240" w:lineRule="auto" w:after="0"/>
              <w:jc w:val="center"/>
            </w:pPr>
            <w:r>
              <w:rPr>
                <w:b/>
                <w:sz w:val="21"/>
              </w:rPr>
              <w:t>2→1</w:t>
            </w:r>
          </w:p>
        </w:tc>
        <w:tc>
          <w:tcPr>
            <w:tcW w:type="dxa" w:w="1134"/>
            <w:vAlign w:val="center"/>
            <w:shd w:val="clear" w:fill="DEEBF7"/>
          </w:tcPr>
          <w:p>
            <w:pPr>
              <w:spacing w:line="240" w:lineRule="auto" w:after="0"/>
              <w:jc w:val="center"/>
            </w:pPr>
            <w:r>
              <w:rPr>
                <w:b/>
                <w:sz w:val="21"/>
              </w:rPr>
              <w:t>3→2</w:t>
            </w:r>
          </w:p>
        </w:tc>
        <w:tc>
          <w:tcPr>
            <w:tcW w:type="dxa" w:w="1134"/>
            <w:vAlign w:val="center"/>
            <w:shd w:val="clear" w:fill="DEEBF7"/>
          </w:tcPr>
          <w:p>
            <w:pPr>
              <w:spacing w:line="240" w:lineRule="auto" w:after="0"/>
              <w:jc w:val="center"/>
            </w:pPr>
            <w:r>
              <w:rPr>
                <w:b/>
                <w:sz w:val="21"/>
              </w:rPr>
              <w:t>3→1</w:t>
            </w:r>
          </w:p>
        </w:tc>
        <w:tc>
          <w:tcPr>
            <w:tcW w:type="dxa" w:w="1701"/>
            <w:vAlign w:val="center"/>
            <w:shd w:val="clear" w:fill="DEEBF7"/>
          </w:tcPr>
          <w:p>
            <w:pPr>
              <w:spacing w:line="240" w:lineRule="auto" w:after="0"/>
              <w:jc w:val="center"/>
            </w:pPr>
            <w:r>
              <w:rPr>
                <w:b/>
                <w:sz w:val="21"/>
              </w:rPr>
              <w:t>3-bosqichga sof oqim*</w:t>
            </w:r>
          </w:p>
        </w:tc>
      </w:tr>
      <w:tr>
        <w:tc>
          <w:tcPr>
            <w:tcW w:type="dxa" w:w="737"/>
            <w:vAlign w:val="center"/>
          </w:tcPr>
          <w:p>
            <w:pPr>
              <w:spacing w:line="240" w:lineRule="auto" w:after="0"/>
              <w:jc w:val="left"/>
            </w:pPr>
            <w:r>
              <w:rPr>
                <w:b w:val="0"/>
                <w:sz w:val="21"/>
              </w:rPr>
              <w:t>2021</w:t>
            </w:r>
          </w:p>
        </w:tc>
        <w:tc>
          <w:tcPr>
            <w:tcW w:type="dxa" w:w="1191"/>
            <w:vAlign w:val="center"/>
          </w:tcPr>
          <w:p>
            <w:pPr>
              <w:spacing w:line="240" w:lineRule="auto" w:after="0"/>
              <w:jc w:val="center"/>
            </w:pPr>
            <w:r>
              <w:rPr>
                <w:b w:val="0"/>
                <w:sz w:val="21"/>
              </w:rPr>
              <w:t>2 790,4</w:t>
            </w:r>
          </w:p>
        </w:tc>
        <w:tc>
          <w:tcPr>
            <w:tcW w:type="dxa" w:w="1134"/>
            <w:vAlign w:val="center"/>
          </w:tcPr>
          <w:p>
            <w:pPr>
              <w:spacing w:line="240" w:lineRule="auto" w:after="0"/>
              <w:jc w:val="center"/>
            </w:pPr>
            <w:r>
              <w:rPr>
                <w:b w:val="0"/>
                <w:sz w:val="21"/>
              </w:rPr>
              <w:t>1 314,3</w:t>
            </w:r>
          </w:p>
        </w:tc>
        <w:tc>
          <w:tcPr>
            <w:tcW w:type="dxa" w:w="1134"/>
            <w:vAlign w:val="center"/>
          </w:tcPr>
          <w:p>
            <w:pPr>
              <w:spacing w:line="240" w:lineRule="auto" w:after="0"/>
              <w:jc w:val="center"/>
            </w:pPr>
            <w:r>
              <w:rPr>
                <w:b w:val="0"/>
                <w:sz w:val="21"/>
              </w:rPr>
              <w:t>833,0</w:t>
            </w:r>
          </w:p>
        </w:tc>
        <w:tc>
          <w:tcPr>
            <w:tcW w:type="dxa" w:w="1191"/>
            <w:vAlign w:val="center"/>
          </w:tcPr>
          <w:p>
            <w:pPr>
              <w:spacing w:line="240" w:lineRule="auto" w:after="0"/>
              <w:jc w:val="center"/>
            </w:pPr>
            <w:r>
              <w:rPr>
                <w:b w:val="0"/>
                <w:sz w:val="21"/>
              </w:rPr>
              <w:t>6 480,0</w:t>
            </w:r>
          </w:p>
        </w:tc>
        <w:tc>
          <w:tcPr>
            <w:tcW w:type="dxa" w:w="1134"/>
            <w:vAlign w:val="center"/>
          </w:tcPr>
          <w:p>
            <w:pPr>
              <w:spacing w:line="240" w:lineRule="auto" w:after="0"/>
              <w:jc w:val="center"/>
            </w:pPr>
            <w:r>
              <w:rPr>
                <w:b w:val="0"/>
                <w:sz w:val="21"/>
              </w:rPr>
              <w:t>1 275,7</w:t>
            </w:r>
          </w:p>
        </w:tc>
        <w:tc>
          <w:tcPr>
            <w:tcW w:type="dxa" w:w="1134"/>
            <w:vAlign w:val="center"/>
          </w:tcPr>
          <w:p>
            <w:pPr>
              <w:spacing w:line="240" w:lineRule="auto" w:after="0"/>
              <w:jc w:val="center"/>
            </w:pPr>
            <w:r>
              <w:rPr>
                <w:b w:val="0"/>
                <w:sz w:val="21"/>
              </w:rPr>
              <w:t>238,8</w:t>
            </w:r>
          </w:p>
        </w:tc>
        <w:tc>
          <w:tcPr>
            <w:tcW w:type="dxa" w:w="1701"/>
            <w:vAlign w:val="center"/>
          </w:tcPr>
          <w:p>
            <w:pPr>
              <w:spacing w:line="240" w:lineRule="auto" w:after="0"/>
              <w:jc w:val="center"/>
            </w:pPr>
            <w:r>
              <w:rPr>
                <w:b w:val="0"/>
                <w:sz w:val="21"/>
              </w:rPr>
              <w:t>632,9</w:t>
            </w:r>
          </w:p>
        </w:tc>
      </w:tr>
      <w:tr>
        <w:tc>
          <w:tcPr>
            <w:tcW w:type="dxa" w:w="737"/>
            <w:vAlign w:val="center"/>
          </w:tcPr>
          <w:p>
            <w:pPr>
              <w:spacing w:line="240" w:lineRule="auto" w:after="0"/>
              <w:jc w:val="left"/>
            </w:pPr>
            <w:r>
              <w:rPr>
                <w:b w:val="0"/>
                <w:sz w:val="21"/>
              </w:rPr>
              <w:t>2022</w:t>
            </w:r>
          </w:p>
        </w:tc>
        <w:tc>
          <w:tcPr>
            <w:tcW w:type="dxa" w:w="1191"/>
            <w:vAlign w:val="center"/>
          </w:tcPr>
          <w:p>
            <w:pPr>
              <w:spacing w:line="240" w:lineRule="auto" w:after="0"/>
              <w:jc w:val="center"/>
            </w:pPr>
            <w:r>
              <w:rPr>
                <w:b w:val="0"/>
                <w:sz w:val="21"/>
              </w:rPr>
              <w:t>2 910,8</w:t>
            </w:r>
          </w:p>
        </w:tc>
        <w:tc>
          <w:tcPr>
            <w:tcW w:type="dxa" w:w="1134"/>
            <w:vAlign w:val="center"/>
          </w:tcPr>
          <w:p>
            <w:pPr>
              <w:spacing w:line="240" w:lineRule="auto" w:after="0"/>
              <w:jc w:val="center"/>
            </w:pPr>
            <w:r>
              <w:rPr>
                <w:b w:val="0"/>
                <w:sz w:val="21"/>
              </w:rPr>
              <w:t>1 179,5</w:t>
            </w:r>
          </w:p>
        </w:tc>
        <w:tc>
          <w:tcPr>
            <w:tcW w:type="dxa" w:w="1134"/>
            <w:vAlign w:val="center"/>
          </w:tcPr>
          <w:p>
            <w:pPr>
              <w:spacing w:line="240" w:lineRule="auto" w:after="0"/>
              <w:jc w:val="center"/>
            </w:pPr>
            <w:r>
              <w:rPr>
                <w:b w:val="0"/>
                <w:sz w:val="21"/>
              </w:rPr>
              <w:t>1 391,1</w:t>
            </w:r>
          </w:p>
        </w:tc>
        <w:tc>
          <w:tcPr>
            <w:tcW w:type="dxa" w:w="1191"/>
            <w:vAlign w:val="center"/>
          </w:tcPr>
          <w:p>
            <w:pPr>
              <w:spacing w:line="240" w:lineRule="auto" w:after="0"/>
              <w:jc w:val="center"/>
            </w:pPr>
            <w:r>
              <w:rPr>
                <w:b w:val="0"/>
                <w:sz w:val="21"/>
              </w:rPr>
              <w:t>3 574,8</w:t>
            </w:r>
          </w:p>
        </w:tc>
        <w:tc>
          <w:tcPr>
            <w:tcW w:type="dxa" w:w="1134"/>
            <w:vAlign w:val="center"/>
          </w:tcPr>
          <w:p>
            <w:pPr>
              <w:spacing w:line="240" w:lineRule="auto" w:after="0"/>
              <w:jc w:val="center"/>
            </w:pPr>
            <w:r>
              <w:rPr>
                <w:b w:val="0"/>
                <w:sz w:val="21"/>
              </w:rPr>
              <w:t>646,7</w:t>
            </w:r>
          </w:p>
        </w:tc>
        <w:tc>
          <w:tcPr>
            <w:tcW w:type="dxa" w:w="1134"/>
            <w:vAlign w:val="center"/>
          </w:tcPr>
          <w:p>
            <w:pPr>
              <w:spacing w:line="240" w:lineRule="auto" w:after="0"/>
              <w:jc w:val="center"/>
            </w:pPr>
            <w:r>
              <w:rPr>
                <w:b w:val="0"/>
                <w:sz w:val="21"/>
              </w:rPr>
              <w:t>368,5</w:t>
            </w:r>
          </w:p>
        </w:tc>
        <w:tc>
          <w:tcPr>
            <w:tcW w:type="dxa" w:w="1701"/>
            <w:vAlign w:val="center"/>
          </w:tcPr>
          <w:p>
            <w:pPr>
              <w:spacing w:line="240" w:lineRule="auto" w:after="0"/>
              <w:jc w:val="center"/>
            </w:pPr>
            <w:r>
              <w:rPr>
                <w:b w:val="0"/>
                <w:sz w:val="21"/>
              </w:rPr>
              <w:t>1 555,5</w:t>
            </w:r>
          </w:p>
        </w:tc>
      </w:tr>
      <w:tr>
        <w:tc>
          <w:tcPr>
            <w:tcW w:type="dxa" w:w="737"/>
            <w:vAlign w:val="center"/>
          </w:tcPr>
          <w:p>
            <w:pPr>
              <w:spacing w:line="240" w:lineRule="auto" w:after="0"/>
              <w:jc w:val="left"/>
            </w:pPr>
            <w:r>
              <w:rPr>
                <w:b w:val="0"/>
                <w:sz w:val="21"/>
              </w:rPr>
              <w:t>2023</w:t>
            </w:r>
          </w:p>
        </w:tc>
        <w:tc>
          <w:tcPr>
            <w:tcW w:type="dxa" w:w="1191"/>
            <w:vAlign w:val="center"/>
          </w:tcPr>
          <w:p>
            <w:pPr>
              <w:spacing w:line="240" w:lineRule="auto" w:after="0"/>
              <w:jc w:val="center"/>
            </w:pPr>
            <w:r>
              <w:rPr>
                <w:b w:val="0"/>
                <w:sz w:val="21"/>
              </w:rPr>
              <w:t>3 859,2</w:t>
            </w:r>
          </w:p>
        </w:tc>
        <w:tc>
          <w:tcPr>
            <w:tcW w:type="dxa" w:w="1134"/>
            <w:vAlign w:val="center"/>
          </w:tcPr>
          <w:p>
            <w:pPr>
              <w:spacing w:line="240" w:lineRule="auto" w:after="0"/>
              <w:jc w:val="center"/>
            </w:pPr>
            <w:r>
              <w:rPr>
                <w:b w:val="0"/>
                <w:sz w:val="21"/>
              </w:rPr>
              <w:t>776,6</w:t>
            </w:r>
          </w:p>
        </w:tc>
        <w:tc>
          <w:tcPr>
            <w:tcW w:type="dxa" w:w="1134"/>
            <w:vAlign w:val="center"/>
          </w:tcPr>
          <w:p>
            <w:pPr>
              <w:spacing w:line="240" w:lineRule="auto" w:after="0"/>
              <w:jc w:val="center"/>
            </w:pPr>
            <w:r>
              <w:rPr>
                <w:b w:val="0"/>
                <w:sz w:val="21"/>
              </w:rPr>
              <w:t>597,7</w:t>
            </w:r>
          </w:p>
        </w:tc>
        <w:tc>
          <w:tcPr>
            <w:tcW w:type="dxa" w:w="1191"/>
            <w:vAlign w:val="center"/>
          </w:tcPr>
          <w:p>
            <w:pPr>
              <w:spacing w:line="240" w:lineRule="auto" w:after="0"/>
              <w:jc w:val="center"/>
            </w:pPr>
            <w:r>
              <w:rPr>
                <w:b w:val="0"/>
                <w:sz w:val="21"/>
              </w:rPr>
              <w:t>2 595,9</w:t>
            </w:r>
          </w:p>
        </w:tc>
        <w:tc>
          <w:tcPr>
            <w:tcW w:type="dxa" w:w="1134"/>
            <w:vAlign w:val="center"/>
          </w:tcPr>
          <w:p>
            <w:pPr>
              <w:spacing w:line="240" w:lineRule="auto" w:after="0"/>
              <w:jc w:val="center"/>
            </w:pPr>
            <w:r>
              <w:rPr>
                <w:b w:val="0"/>
                <w:sz w:val="21"/>
              </w:rPr>
              <w:t>337,6</w:t>
            </w:r>
          </w:p>
        </w:tc>
        <w:tc>
          <w:tcPr>
            <w:tcW w:type="dxa" w:w="1134"/>
            <w:vAlign w:val="center"/>
          </w:tcPr>
          <w:p>
            <w:pPr>
              <w:spacing w:line="240" w:lineRule="auto" w:after="0"/>
              <w:jc w:val="center"/>
            </w:pPr>
            <w:r>
              <w:rPr>
                <w:b w:val="0"/>
                <w:sz w:val="21"/>
              </w:rPr>
              <w:t>231,9</w:t>
            </w:r>
          </w:p>
        </w:tc>
        <w:tc>
          <w:tcPr>
            <w:tcW w:type="dxa" w:w="1701"/>
            <w:vAlign w:val="center"/>
          </w:tcPr>
          <w:p>
            <w:pPr>
              <w:spacing w:line="240" w:lineRule="auto" w:after="0"/>
              <w:jc w:val="center"/>
            </w:pPr>
            <w:r>
              <w:rPr>
                <w:b w:val="0"/>
                <w:sz w:val="21"/>
              </w:rPr>
              <w:t>804,8</w:t>
            </w:r>
          </w:p>
        </w:tc>
      </w:tr>
      <w:tr>
        <w:tc>
          <w:tcPr>
            <w:tcW w:type="dxa" w:w="737"/>
            <w:vAlign w:val="center"/>
          </w:tcPr>
          <w:p>
            <w:pPr>
              <w:spacing w:line="240" w:lineRule="auto" w:after="0"/>
              <w:jc w:val="left"/>
            </w:pPr>
            <w:r>
              <w:rPr>
                <w:b w:val="0"/>
                <w:sz w:val="21"/>
              </w:rPr>
              <w:t>2024</w:t>
            </w:r>
          </w:p>
        </w:tc>
        <w:tc>
          <w:tcPr>
            <w:tcW w:type="dxa" w:w="1191"/>
            <w:vAlign w:val="center"/>
          </w:tcPr>
          <w:p>
            <w:pPr>
              <w:spacing w:line="240" w:lineRule="auto" w:after="0"/>
              <w:jc w:val="center"/>
            </w:pPr>
            <w:r>
              <w:rPr>
                <w:b w:val="0"/>
                <w:sz w:val="21"/>
              </w:rPr>
              <w:t>9 348,9</w:t>
            </w:r>
          </w:p>
        </w:tc>
        <w:tc>
          <w:tcPr>
            <w:tcW w:type="dxa" w:w="1134"/>
            <w:vAlign w:val="center"/>
          </w:tcPr>
          <w:p>
            <w:pPr>
              <w:spacing w:line="240" w:lineRule="auto" w:after="0"/>
              <w:jc w:val="center"/>
            </w:pPr>
            <w:r>
              <w:rPr>
                <w:b w:val="0"/>
                <w:sz w:val="21"/>
              </w:rPr>
              <w:t>1 516,0</w:t>
            </w:r>
          </w:p>
        </w:tc>
        <w:tc>
          <w:tcPr>
            <w:tcW w:type="dxa" w:w="1134"/>
            <w:vAlign w:val="center"/>
          </w:tcPr>
          <w:p>
            <w:pPr>
              <w:spacing w:line="240" w:lineRule="auto" w:after="0"/>
              <w:jc w:val="center"/>
            </w:pPr>
            <w:r>
              <w:rPr>
                <w:b w:val="0"/>
                <w:sz w:val="21"/>
              </w:rPr>
              <w:t>1 269,5</w:t>
            </w:r>
          </w:p>
        </w:tc>
        <w:tc>
          <w:tcPr>
            <w:tcW w:type="dxa" w:w="1191"/>
            <w:vAlign w:val="center"/>
          </w:tcPr>
          <w:p>
            <w:pPr>
              <w:spacing w:line="240" w:lineRule="auto" w:after="0"/>
              <w:jc w:val="center"/>
            </w:pPr>
            <w:r>
              <w:rPr>
                <w:b w:val="0"/>
                <w:sz w:val="21"/>
              </w:rPr>
              <w:t>1 450,9</w:t>
            </w:r>
          </w:p>
        </w:tc>
        <w:tc>
          <w:tcPr>
            <w:tcW w:type="dxa" w:w="1134"/>
            <w:vAlign w:val="center"/>
          </w:tcPr>
          <w:p>
            <w:pPr>
              <w:spacing w:line="240" w:lineRule="auto" w:after="0"/>
              <w:jc w:val="center"/>
            </w:pPr>
            <w:r>
              <w:rPr>
                <w:b w:val="0"/>
                <w:sz w:val="21"/>
              </w:rPr>
              <w:t>442,0</w:t>
            </w:r>
          </w:p>
        </w:tc>
        <w:tc>
          <w:tcPr>
            <w:tcW w:type="dxa" w:w="1134"/>
            <w:vAlign w:val="center"/>
          </w:tcPr>
          <w:p>
            <w:pPr>
              <w:spacing w:line="240" w:lineRule="auto" w:after="0"/>
              <w:jc w:val="center"/>
            </w:pPr>
            <w:r>
              <w:rPr>
                <w:b w:val="0"/>
                <w:sz w:val="21"/>
              </w:rPr>
              <w:t>291,1</w:t>
            </w:r>
          </w:p>
        </w:tc>
        <w:tc>
          <w:tcPr>
            <w:tcW w:type="dxa" w:w="1701"/>
            <w:vAlign w:val="center"/>
          </w:tcPr>
          <w:p>
            <w:pPr>
              <w:spacing w:line="240" w:lineRule="auto" w:after="0"/>
              <w:jc w:val="center"/>
            </w:pPr>
            <w:r>
              <w:rPr>
                <w:b w:val="0"/>
                <w:sz w:val="21"/>
              </w:rPr>
              <w:t>2 052,4</w:t>
            </w:r>
          </w:p>
        </w:tc>
      </w:tr>
      <w:tr>
        <w:tc>
          <w:tcPr>
            <w:tcW w:type="dxa" w:w="737"/>
            <w:vAlign w:val="center"/>
          </w:tcPr>
          <w:p>
            <w:pPr>
              <w:spacing w:line="240" w:lineRule="auto" w:after="0"/>
              <w:jc w:val="left"/>
            </w:pPr>
            <w:r>
              <w:rPr>
                <w:b w:val="0"/>
                <w:sz w:val="21"/>
              </w:rPr>
              <w:t>2025</w:t>
            </w:r>
          </w:p>
        </w:tc>
        <w:tc>
          <w:tcPr>
            <w:tcW w:type="dxa" w:w="1191"/>
            <w:vAlign w:val="center"/>
          </w:tcPr>
          <w:p>
            <w:pPr>
              <w:spacing w:line="240" w:lineRule="auto" w:after="0"/>
              <w:jc w:val="center"/>
            </w:pPr>
            <w:r>
              <w:rPr>
                <w:b w:val="0"/>
                <w:sz w:val="21"/>
              </w:rPr>
              <w:t>9 092,1</w:t>
            </w:r>
          </w:p>
        </w:tc>
        <w:tc>
          <w:tcPr>
            <w:tcW w:type="dxa" w:w="1134"/>
            <w:vAlign w:val="center"/>
          </w:tcPr>
          <w:p>
            <w:pPr>
              <w:spacing w:line="240" w:lineRule="auto" w:after="0"/>
              <w:jc w:val="center"/>
            </w:pPr>
            <w:r>
              <w:rPr>
                <w:b w:val="0"/>
                <w:sz w:val="21"/>
              </w:rPr>
              <w:t>977,3</w:t>
            </w:r>
          </w:p>
        </w:tc>
        <w:tc>
          <w:tcPr>
            <w:tcW w:type="dxa" w:w="1134"/>
            <w:vAlign w:val="center"/>
          </w:tcPr>
          <w:p>
            <w:pPr>
              <w:spacing w:line="240" w:lineRule="auto" w:after="0"/>
              <w:jc w:val="center"/>
            </w:pPr>
            <w:r>
              <w:rPr>
                <w:b w:val="0"/>
                <w:sz w:val="21"/>
              </w:rPr>
              <w:t>1 381,8</w:t>
            </w:r>
          </w:p>
        </w:tc>
        <w:tc>
          <w:tcPr>
            <w:tcW w:type="dxa" w:w="1191"/>
            <w:vAlign w:val="center"/>
          </w:tcPr>
          <w:p>
            <w:pPr>
              <w:spacing w:line="240" w:lineRule="auto" w:after="0"/>
              <w:jc w:val="center"/>
            </w:pPr>
            <w:r>
              <w:rPr>
                <w:b w:val="0"/>
                <w:sz w:val="21"/>
              </w:rPr>
              <w:t>4 100,9</w:t>
            </w:r>
          </w:p>
        </w:tc>
        <w:tc>
          <w:tcPr>
            <w:tcW w:type="dxa" w:w="1134"/>
            <w:vAlign w:val="center"/>
          </w:tcPr>
          <w:p>
            <w:pPr>
              <w:spacing w:line="240" w:lineRule="auto" w:after="0"/>
              <w:jc w:val="center"/>
            </w:pPr>
            <w:r>
              <w:rPr>
                <w:b w:val="0"/>
                <w:sz w:val="21"/>
              </w:rPr>
              <w:t>607,8</w:t>
            </w:r>
          </w:p>
        </w:tc>
        <w:tc>
          <w:tcPr>
            <w:tcW w:type="dxa" w:w="1134"/>
            <w:vAlign w:val="center"/>
          </w:tcPr>
          <w:p>
            <w:pPr>
              <w:spacing w:line="240" w:lineRule="auto" w:after="0"/>
              <w:jc w:val="center"/>
            </w:pPr>
            <w:r>
              <w:rPr>
                <w:b w:val="0"/>
                <w:sz w:val="21"/>
              </w:rPr>
              <w:t>319,2</w:t>
            </w:r>
          </w:p>
        </w:tc>
        <w:tc>
          <w:tcPr>
            <w:tcW w:type="dxa" w:w="1701"/>
            <w:vAlign w:val="center"/>
          </w:tcPr>
          <w:p>
            <w:pPr>
              <w:spacing w:line="240" w:lineRule="auto" w:after="0"/>
              <w:jc w:val="center"/>
            </w:pPr>
            <w:r>
              <w:rPr>
                <w:b w:val="0"/>
                <w:sz w:val="21"/>
              </w:rPr>
              <w:t>1 432,0</w:t>
            </w:r>
          </w:p>
        </w:tc>
      </w:tr>
    </w:tbl>
    <w:p>
      <w:pPr>
        <w:spacing w:line="240" w:lineRule="auto"/>
        <w:ind w:firstLine="0"/>
        <w:jc w:val="both"/>
      </w:pPr>
      <w:r>
        <w:rPr>
          <w:b w:val="0"/>
          <w:i/>
          <w:sz w:val="21"/>
        </w:rPr>
        <w:t>Manba: [7; 8] asosida muallif hisobi. * (1→3) + (2→3) − (3→1) − (3→2).</w:t>
      </w:r>
    </w:p>
    <w:p>
      <w:pPr>
        <w:ind w:firstLine="0"/>
        <w:jc w:val="left"/>
      </w:pPr>
      <w:r>
        <w:rPr>
          <w:b/>
          <w:i w:val="0"/>
          <w:sz w:val="26"/>
        </w:rPr>
        <w:t>Muhokama</w:t>
      </w:r>
    </w:p>
    <w:p>
      <w:pPr>
        <w:ind w:firstLine="567"/>
        <w:jc w:val="both"/>
      </w:pPr>
      <w:r>
        <w:rPr>
          <w:b w:val="0"/>
          <w:i w:val="0"/>
          <w:sz w:val="26"/>
        </w:rPr>
        <w:t>Natijalar ikki tasnif o‘rtasidagi tafovut tasodifiy emas, balki tizimli ekanini ko‘rsatadi. Birinchidan, milliy tasnif kreditning joriy to‘lov intizomiga, MHXS 9 esa riskning dastlabki tan olingan sanaga nisbatan o‘zgarishiga tayanadi. Ikkinchidan, milliy qoidalarda restrukturizatsiya qilingan kreditlar uchun yashovchanlik bahosi va sinov muddati yo‘q, shuning uchun to‘lov jadvali qayta tuzilgan kredit muammoli hisoblanmaydi. Uchinchidan, MHXS 9 bo‘yicha bosqichlarning milliy toifalarni quyi chegara sifatida qo‘llashi ikki tasnif o‘rtasidagi farq faqat bir tomonga – MHXS bo‘yicha riskning yuqoriroq bahosi tomonga yo‘nalishini ta’minlaydi. Bu xulosalar Bholat va hammualliflarning muammoli kreditlar ta’riflari standartlar bo‘yicha farq qilishi haqidagi xulosasiga [3] mos keladi.</w:t>
      </w:r>
    </w:p>
    <w:p>
      <w:pPr>
        <w:ind w:firstLine="0"/>
        <w:jc w:val="left"/>
      </w:pPr>
      <w:r>
        <w:rPr>
          <w:b/>
          <w:i w:val="0"/>
          <w:sz w:val="26"/>
        </w:rPr>
        <w:t>Xulosa va takliflar</w:t>
      </w:r>
    </w:p>
    <w:p>
      <w:pPr>
        <w:ind w:firstLine="567"/>
        <w:jc w:val="both"/>
      </w:pPr>
      <w:r>
        <w:rPr>
          <w:b w:val="0"/>
          <w:i w:val="0"/>
          <w:sz w:val="26"/>
        </w:rPr>
        <w:t>Tahlil quyidagi xulosalarga olib keldi: (1) milliy tasnif bo‘yicha muammoli kreditlar qadrsizlangan kreditlarning faqat bir qismini qamraydi va bu farq 2025-yilda eng yuqori darajaga yetgan; (2) kredit riski sezilarli oshgan kreditlar milliy hisobotda umuman muammoli sifatida aks etmaydi; (3) tafovutning asosiy manbai – restrukturizatsiya qilingan kreditlarni tasniflash qoidalari. Shu asosda quyidagilar taklif etiladi: Markaziy bankning aktivlarni tasniflash qoidalariga restrukturizatsiya qilingan kreditlar uchun yashovchanlik bahosi va kamida 6–12 oylik sinov muddatini kiritish; banklardan MHXS 9 bosqichlari va milliy toifalar kesishma jadvalini choraklik nazorat hisobotida taqdim etishni talab qilish; moliyaviy barqarorlikni baholashda milliy muammoli kreditlar ko‘rsatkichini 3-bosqich va yashirin kredit riski koeffitsiyenti bilan to‘ldirish.</w:t>
      </w:r>
    </w:p>
    <w:p>
      <w:pPr>
        <w:ind w:firstLine="0"/>
        <w:jc w:val="left"/>
      </w:pPr>
      <w:r>
        <w:rPr>
          <w:b/>
          <w:i w:val="0"/>
          <w:sz w:val="26"/>
        </w:rPr>
        <w:t>Foydalanilgan adabiyotlar</w:t>
      </w:r>
    </w:p>
    <w:p>
      <w:pPr>
        <w:spacing w:line="240" w:lineRule="auto"/>
        <w:ind w:firstLine="0"/>
        <w:jc w:val="both"/>
      </w:pPr>
      <w:r>
        <w:rPr>
          <w:b w:val="0"/>
          <w:i w:val="0"/>
          <w:sz w:val="24"/>
        </w:rPr>
        <w:t>1. Basel Committee on Banking Supervision. Guidance on credit risk and accounting for expected credit losses. – Basel: BIS, December 2015.</w:t>
      </w:r>
    </w:p>
    <w:p>
      <w:pPr>
        <w:spacing w:line="240" w:lineRule="auto"/>
        <w:ind w:firstLine="0"/>
        <w:jc w:val="both"/>
      </w:pPr>
      <w:r>
        <w:rPr>
          <w:b w:val="0"/>
          <w:i w:val="0"/>
          <w:sz w:val="24"/>
        </w:rPr>
        <w:t>2. Basel Committee on Banking Supervision. Regulatory treatment of accounting provisions – interim approach and transitional arrangements. – Basel: BIS, March 2017.</w:t>
      </w:r>
    </w:p>
    <w:p>
      <w:pPr>
        <w:spacing w:line="240" w:lineRule="auto"/>
        <w:ind w:firstLine="0"/>
        <w:jc w:val="both"/>
      </w:pPr>
      <w:r>
        <w:rPr>
          <w:b w:val="0"/>
          <w:i w:val="0"/>
          <w:sz w:val="24"/>
        </w:rPr>
        <w:t>3. Bholat D., Lastra R.M., Markose S.M., Miglionico A., Sen K. Non-performing loans at the dawn of IFRS 9: regulatory and accounting treatment of asset quality // Journal of Banking Regulation. – 2018. – Vol. 19, No. 1. – P. 33–54.</w:t>
      </w:r>
    </w:p>
    <w:p>
      <w:pPr>
        <w:spacing w:line="240" w:lineRule="auto"/>
        <w:ind w:firstLine="0"/>
        <w:jc w:val="both"/>
      </w:pPr>
      <w:r>
        <w:rPr>
          <w:b w:val="0"/>
          <w:i w:val="0"/>
          <w:sz w:val="24"/>
        </w:rPr>
        <w:t>4. Abad J., Suarez J. Assessing the cyclical implications of IFRS 9 – a recursive model // European Systemic Risk Board Occasional Paper Series. – 2017. – No. 12.</w:t>
      </w:r>
    </w:p>
    <w:p>
      <w:pPr>
        <w:spacing w:line="240" w:lineRule="auto"/>
        <w:ind w:firstLine="0"/>
        <w:jc w:val="both"/>
      </w:pPr>
      <w:r>
        <w:rPr>
          <w:b w:val="0"/>
          <w:i w:val="0"/>
          <w:sz w:val="24"/>
        </w:rPr>
        <w:t>5. International Monetary Fund. Republic of Uzbekistan: Financial Sector Assessment Program – Financial System Stability Assessment. IMF Country Report No. 25/145. – Washington, DC: IMF, 2025.</w:t>
      </w:r>
    </w:p>
    <w:p>
      <w:pPr>
        <w:spacing w:line="240" w:lineRule="auto"/>
        <w:ind w:firstLine="0"/>
        <w:jc w:val="both"/>
      </w:pPr>
      <w:r>
        <w:rPr>
          <w:b w:val="0"/>
          <w:i w:val="0"/>
          <w:sz w:val="24"/>
        </w:rPr>
        <w:t>6. Huizinga H., Laeven L. Bank valuation and accounting discretion during a financial crisis // Journal of Financial Economics. – 2012. – Vol. 106, No. 3. – P. 614–634.</w:t>
      </w:r>
    </w:p>
    <w:p>
      <w:pPr>
        <w:spacing w:line="240" w:lineRule="auto"/>
        <w:ind w:firstLine="0"/>
        <w:jc w:val="both"/>
      </w:pPr>
      <w:r>
        <w:rPr>
          <w:b w:val="0"/>
          <w:i w:val="0"/>
          <w:sz w:val="24"/>
        </w:rPr>
        <w:t>7. Акционерный коммерческий банк “Узбекский промышленно-строительный банк” и его дочерние организации. Консолидированная финансовая отчетность и аудиторское заключение за годы, закончившиеся 31 декабря 2023, 2022 и 2021 гг. – Ташкент, 2024.</w:t>
      </w:r>
    </w:p>
    <w:p>
      <w:pPr>
        <w:spacing w:line="240" w:lineRule="auto"/>
        <w:ind w:firstLine="0"/>
        <w:jc w:val="both"/>
      </w:pPr>
      <w:r>
        <w:rPr>
          <w:b w:val="0"/>
          <w:i w:val="0"/>
          <w:sz w:val="24"/>
        </w:rPr>
        <w:t>8. Joint Stock Commercial Bank “Uzbek Industrial and Construction Bank” and its subsidiaries. Consolidated Financial Statements for the year ended 31 December 2025 and Independent Auditor’s Report. – Tashkent, 2026.</w:t>
      </w:r>
    </w:p>
    <w:p>
      <w:pPr>
        <w:spacing w:line="240" w:lineRule="auto"/>
        <w:ind w:firstLine="0"/>
        <w:jc w:val="both"/>
      </w:pPr>
      <w:r>
        <w:rPr>
          <w:b w:val="0"/>
          <w:i w:val="0"/>
          <w:sz w:val="24"/>
        </w:rPr>
        <w:t>9. “O‘zsanoatqurilishbank” ATB ning Markaziy bankka taqdim etilgan prudensial hisobot shakllari (crs003C, crs003L, crs003O), 2021–2025-yillar.</w:t>
      </w:r>
    </w:p>
    <w:p>
      <w:pPr>
        <w:spacing w:line="240" w:lineRule="auto"/>
        <w:ind w:firstLine="0"/>
        <w:jc w:val="both"/>
      </w:pPr>
      <w:r>
        <w:rPr>
          <w:b w:val="0"/>
          <w:i w:val="0"/>
          <w:sz w:val="24"/>
        </w:rPr>
        <w:t>10. Tijorat banklarida aktivlar sifatini tasniflash va aktivlar bo‘yicha ehtimoliy yo‘qotishlarni qoplash uchun zaxiralarni shakllantirish hamda ulardan foydalanish tartibi to‘g‘risidagi nizom (O‘zbekiston Respublikasi Markaziy banki Boshqaruvining qarori, ro‘yxat raqami 2696, 14.07.2015) // https://lex.uz.</w:t>
      </w:r>
    </w:p>
    <w:sectPr w:rsidR="00FC693F" w:rsidRPr="0006063C" w:rsidSect="00034616">
      <w:pgSz w:w="11906" w:h="16838"/>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Times New Roman"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Times New Roman" w:hAnsi="Times New Roman" w:eastAsia="Times New Roman" w:cs="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000000"/>
      <w:sz w:val="26"/>
      <w:szCs w:val="26"/>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000000"/>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000000"/>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hAnsi="Times New Roman" w:eastAsia="Times New Roman"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chart" Target="charts/chart1.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uz-Latn-UZ"/>
  <c:roundedCorners val="0"/>
  <c:chart>
    <c:autoTitleDeleted val="1"/>
    <c:plotArea>
      <c:layout/>
      <c:barChart>
        <c:barDir val="col"/>
        <c:grouping val="stacked"/>
        <c:varyColors val="0"/>
        <c:ser>
          <c:idx val="0"/>
          <c:order val="0"/>
          <c:tx>
            <c:strRef>
              <c:f>Sheet1!$B$1</c:f>
              <c:strCache>
                <c:ptCount val="1"/>
                <c:pt idx="0">
                  <c:v>Standart</c:v>
                </c:pt>
              </c:strCache>
            </c:strRef>
          </c:tx>
          <c:spPr>
            <a:solidFill>
              <a:srgbClr val="00B050"/>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uz-Latn-UZ"/>
              </a:p>
            </c:txPr>
            <c:dLblPos val="ctr"/>
            <c:showLegendKey val="0"/>
            <c:showVal val="1"/>
            <c:showCatName val="0"/>
            <c:showSerName val="0"/>
            <c:showPercent val="0"/>
            <c:showBubbleSize val="0"/>
          </c:dLbls>
          <c:cat>
            <c:strRef>
              <c:f>Sheet1!$A$2:$A$6</c:f>
              <c:strCache>
                <c:ptCount val="5"/>
                <c:pt idx="0">
                  <c:v>2021</c:v>
                </c:pt>
                <c:pt idx="1">
                  <c:v>2022</c:v>
                </c:pt>
                <c:pt idx="2">
                  <c:v>2023</c:v>
                </c:pt>
                <c:pt idx="3">
                  <c:v>2024</c:v>
                </c:pt>
                <c:pt idx="4">
                  <c:v>2025</c:v>
                </c:pt>
              </c:strCache>
            </c:strRef>
          </c:cat>
          <c:val>
            <c:numRef>
              <c:f>Sheet1!$B$2:$B$6</c:f>
              <c:numCache>
                <c:formatCode>General</c:formatCode>
                <c:ptCount val="5"/>
                <c:pt idx="0">
                  <c:v>6.9</c:v>
                </c:pt>
                <c:pt idx="1">
                  <c:v>6.3</c:v>
                </c:pt>
                <c:pt idx="2">
                  <c:v>29.2</c:v>
                </c:pt>
                <c:pt idx="3">
                  <c:v>24.8</c:v>
                </c:pt>
                <c:pt idx="4">
                  <c:v>14.1</c:v>
                </c:pt>
              </c:numCache>
            </c:numRef>
          </c:val>
        </c:ser>
        <c:ser>
          <c:idx val="1"/>
          <c:order val="1"/>
          <c:tx>
            <c:strRef>
              <c:f>Sheet1!$C$1</c:f>
              <c:strCache>
                <c:ptCount val="1"/>
                <c:pt idx="0">
                  <c:v>Substandart</c:v>
                </c:pt>
              </c:strCache>
            </c:strRef>
          </c:tx>
          <c:spPr>
            <a:solidFill>
              <a:srgbClr val="FFE14D"/>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uz-Latn-UZ"/>
              </a:p>
            </c:txPr>
            <c:dLblPos val="ctr"/>
            <c:showLegendKey val="0"/>
            <c:showVal val="1"/>
            <c:showCatName val="0"/>
            <c:showSerName val="0"/>
            <c:showPercent val="0"/>
            <c:showBubbleSize val="0"/>
          </c:dLbls>
          <c:cat>
            <c:strRef>
              <c:f>Sheet1!$A$2:$A$6</c:f>
              <c:strCache>
                <c:ptCount val="5"/>
                <c:pt idx="0">
                  <c:v>2021</c:v>
                </c:pt>
                <c:pt idx="1">
                  <c:v>2022</c:v>
                </c:pt>
                <c:pt idx="2">
                  <c:v>2023</c:v>
                </c:pt>
                <c:pt idx="3">
                  <c:v>2024</c:v>
                </c:pt>
                <c:pt idx="4">
                  <c:v>2025</c:v>
                </c:pt>
              </c:strCache>
            </c:strRef>
          </c:cat>
          <c:val>
            <c:numRef>
              <c:f>Sheet1!$C$2:$C$6</c:f>
              <c:numCache>
                <c:formatCode>General</c:formatCode>
                <c:ptCount val="5"/>
                <c:pt idx="0">
                  <c:v>28.7</c:v>
                </c:pt>
                <c:pt idx="1">
                  <c:v>22.7</c:v>
                </c:pt>
                <c:pt idx="2">
                  <c:v>17.9</c:v>
                </c:pt>
                <c:pt idx="3">
                  <c:v>14.1</c:v>
                </c:pt>
                <c:pt idx="4">
                  <c:v>43.1</c:v>
                </c:pt>
              </c:numCache>
            </c:numRef>
          </c:val>
        </c:ser>
        <c:ser>
          <c:idx val="2"/>
          <c:order val="2"/>
          <c:tx>
            <c:strRef>
              <c:f>Sheet1!$D$1</c:f>
              <c:strCache>
                <c:ptCount val="1"/>
                <c:pt idx="0">
                  <c:v>Qoniqarsiz</c:v>
                </c:pt>
              </c:strCache>
            </c:strRef>
          </c:tx>
          <c:spPr>
            <a:solidFill>
              <a:srgbClr val="FFA726"/>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uz-Latn-UZ"/>
              </a:p>
            </c:txPr>
            <c:dLblPos val="ctr"/>
            <c:showLegendKey val="0"/>
            <c:showVal val="1"/>
            <c:showCatName val="0"/>
            <c:showSerName val="0"/>
            <c:showPercent val="0"/>
            <c:showBubbleSize val="0"/>
          </c:dLbls>
          <c:cat>
            <c:strRef>
              <c:f>Sheet1!$A$2:$A$6</c:f>
              <c:strCache>
                <c:ptCount val="5"/>
                <c:pt idx="0">
                  <c:v>2021</c:v>
                </c:pt>
                <c:pt idx="1">
                  <c:v>2022</c:v>
                </c:pt>
                <c:pt idx="2">
                  <c:v>2023</c:v>
                </c:pt>
                <c:pt idx="3">
                  <c:v>2024</c:v>
                </c:pt>
                <c:pt idx="4">
                  <c:v>2025</c:v>
                </c:pt>
              </c:strCache>
            </c:strRef>
          </c:cat>
          <c:val>
            <c:numRef>
              <c:f>Sheet1!$D$2:$D$6</c:f>
              <c:numCache>
                <c:formatCode>General</c:formatCode>
                <c:ptCount val="5"/>
                <c:pt idx="0">
                  <c:v>34.3</c:v>
                </c:pt>
                <c:pt idx="1">
                  <c:v>13.0</c:v>
                </c:pt>
                <c:pt idx="2">
                  <c:v>20.0</c:v>
                </c:pt>
                <c:pt idx="3">
                  <c:v>32.5</c:v>
                </c:pt>
                <c:pt idx="4">
                  <c:v>4.6</c:v>
                </c:pt>
              </c:numCache>
            </c:numRef>
          </c:val>
        </c:ser>
        <c:ser>
          <c:idx val="3"/>
          <c:order val="3"/>
          <c:tx>
            <c:strRef>
              <c:f>Sheet1!$E$1</c:f>
              <c:strCache>
                <c:ptCount val="1"/>
                <c:pt idx="0">
                  <c:v>Shubhali</c:v>
                </c:pt>
              </c:strCache>
            </c:strRef>
          </c:tx>
          <c:spPr>
            <a:solidFill>
              <a:srgbClr val="FF5050"/>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uz-Latn-UZ"/>
              </a:p>
            </c:txPr>
            <c:dLblPos val="ctr"/>
            <c:showLegendKey val="0"/>
            <c:showVal val="1"/>
            <c:showCatName val="0"/>
            <c:showSerName val="0"/>
            <c:showPercent val="0"/>
            <c:showBubbleSize val="0"/>
          </c:dLbls>
          <c:cat>
            <c:strRef>
              <c:f>Sheet1!$A$2:$A$6</c:f>
              <c:strCache>
                <c:ptCount val="5"/>
                <c:pt idx="0">
                  <c:v>2021</c:v>
                </c:pt>
                <c:pt idx="1">
                  <c:v>2022</c:v>
                </c:pt>
                <c:pt idx="2">
                  <c:v>2023</c:v>
                </c:pt>
                <c:pt idx="3">
                  <c:v>2024</c:v>
                </c:pt>
                <c:pt idx="4">
                  <c:v>2025</c:v>
                </c:pt>
              </c:strCache>
            </c:strRef>
          </c:cat>
          <c:val>
            <c:numRef>
              <c:f>Sheet1!$E$2:$E$6</c:f>
              <c:numCache>
                <c:formatCode>General</c:formatCode>
                <c:ptCount val="5"/>
                <c:pt idx="0">
                  <c:v>8.1</c:v>
                </c:pt>
                <c:pt idx="1">
                  <c:v>26.1</c:v>
                </c:pt>
                <c:pt idx="2">
                  <c:v>31.4</c:v>
                </c:pt>
                <c:pt idx="3">
                  <c:v>15.4</c:v>
                </c:pt>
                <c:pt idx="4">
                  <c:v>12.1</c:v>
                </c:pt>
              </c:numCache>
            </c:numRef>
          </c:val>
        </c:ser>
        <c:ser>
          <c:idx val="4"/>
          <c:order val="4"/>
          <c:tx>
            <c:strRef>
              <c:f>Sheet1!$F$1</c:f>
              <c:strCache>
                <c:ptCount val="1"/>
                <c:pt idx="0">
                  <c:v>Umidsiz</c:v>
                </c:pt>
              </c:strCache>
            </c:strRef>
          </c:tx>
          <c:spPr>
            <a:solidFill>
              <a:srgbClr val="C00000"/>
            </a:solidFill>
            <a:ln w="6350">
              <a:solidFill>
                <a:srgbClr val="FFFFFF"/>
              </a:solidFill>
            </a:ln>
          </c:spPr>
          <c:invertIfNegative val="0"/>
          <c:dLbls>
            <c:dLbl>
              <c:idx val="2"/>
              <c:layout>
                <c:manualLayout>
                  <c:x val="0.075"/>
                  <c:y val="-0.012"/>
                </c:manualLayout>
              </c:layout>
              <c:numFmt formatCode="0.0" sourceLinked="0"/>
              <c:spPr>
                <a:noFill/>
                <a:ln>
                  <a:noFill/>
                </a:ln>
              </c:spPr>
              <c:txPr>
                <a:bodyPr/>
                <a:lstStyle/>
                <a:p>
                  <a:pPr>
                    <a:defRPr sz="1050" b="1">
                      <a:solidFill>
                        <a:srgbClr val="000000"/>
                      </a:solidFill>
                      <a:latin typeface="Times New Roman"/>
                      <a:cs typeface="Times New Roman"/>
                    </a:defRPr>
                  </a:pPr>
                  <a:endParaRPr lang="uz-Latn-UZ"/>
                </a:p>
              </c:txPr>
              <c:dLblPos val="ctr"/>
              <c:showLegendKey val="0"/>
              <c:showVal val="1"/>
              <c:showCatName val="0"/>
              <c:showSerName val="0"/>
              <c:showPercent val="0"/>
              <c:showBubbleSize val="0"/>
            </c:dLbl>
            <c:numFmt formatCode="0.0" sourceLinked="0"/>
            <c:spPr>
              <a:noFill/>
              <a:ln>
                <a:noFill/>
              </a:ln>
            </c:spPr>
            <c:txPr>
              <a:bodyPr/>
              <a:lstStyle/>
              <a:p>
                <a:pPr>
                  <a:defRPr sz="1050" b="1">
                    <a:solidFill>
                      <a:srgbClr val="FFFFFF"/>
                    </a:solidFill>
                    <a:latin typeface="Times New Roman"/>
                    <a:cs typeface="Times New Roman"/>
                  </a:defRPr>
                </a:pPr>
                <a:endParaRPr lang="uz-Latn-UZ"/>
              </a:p>
            </c:txPr>
            <c:dLblPos val="ctr"/>
            <c:showLegendKey val="0"/>
            <c:showVal val="1"/>
            <c:showCatName val="0"/>
            <c:showSerName val="0"/>
            <c:showPercent val="0"/>
            <c:showBubbleSize val="0"/>
          </c:dLbls>
          <c:cat>
            <c:strRef>
              <c:f>Sheet1!$A$2:$A$6</c:f>
              <c:strCache>
                <c:ptCount val="5"/>
                <c:pt idx="0">
                  <c:v>2021</c:v>
                </c:pt>
                <c:pt idx="1">
                  <c:v>2022</c:v>
                </c:pt>
                <c:pt idx="2">
                  <c:v>2023</c:v>
                </c:pt>
                <c:pt idx="3">
                  <c:v>2024</c:v>
                </c:pt>
                <c:pt idx="4">
                  <c:v>2025</c:v>
                </c:pt>
              </c:strCache>
            </c:strRef>
          </c:cat>
          <c:val>
            <c:numRef>
              <c:f>Sheet1!$F$2:$F$6</c:f>
              <c:numCache>
                <c:formatCode>General</c:formatCode>
                <c:ptCount val="5"/>
                <c:pt idx="0">
                  <c:v>21.9</c:v>
                </c:pt>
                <c:pt idx="1">
                  <c:v>31.9</c:v>
                </c:pt>
                <c:pt idx="2">
                  <c:v>1.5</c:v>
                </c:pt>
                <c:pt idx="3">
                  <c:v>13.2</c:v>
                </c:pt>
                <c:pt idx="4">
                  <c:v>26.1</c:v>
                </c:pt>
              </c:numCache>
            </c:numRef>
          </c:val>
        </c:ser>
        <c:gapWidth val="60"/>
        <c:overlap val="100"/>
        <c:axId val="111"/>
        <c:axId val="222"/>
      </c:barChart>
      <c:lineChart>
        <c:grouping val="standard"/>
        <c:varyColors val="0"/>
        <c:ser>
          <c:idx val="5"/>
          <c:order val="5"/>
          <c:tx>
            <c:strRef>
              <c:f>Sheet1!$G$1</c:f>
              <c:strCache>
                <c:ptCount val="1"/>
                <c:pt idx="0">
                  <c:v>Jami, mlrd so‘m</c:v>
                </c:pt>
              </c:strCache>
            </c:strRef>
          </c:tx>
          <c:spPr>
            <a:ln>
              <a:noFill/>
            </a:ln>
          </c:spPr>
          <c:marker>
            <c:symbol val="none"/>
          </c:marker>
          <c:dLbls>
            <c:dLbl>
              <c:idx val="0"/>
              <c:tx>
                <c:rich>
                  <a:bodyPr/>
                  <a:lstStyle/>
                  <a:p>
                    <a:pPr>
                      <a:defRPr sz="1050" b="1">
                        <a:solidFill>
                          <a:srgbClr val="1F3864"/>
                        </a:solidFill>
                        <a:latin typeface="Times New Roman"/>
                        <a:cs typeface="Times New Roman"/>
                      </a:defRPr>
                    </a:pPr>
                    <a:r>
                      <a:rPr lang="uz-Latn-UZ" sz="1050" b="1">
                        <a:solidFill>
                          <a:srgbClr val="1F3864"/>
                        </a:solidFill>
                        <a:latin typeface="Times New Roman"/>
                      </a:rPr>
                      <a:t>2 778,0</a:t>
                    </a:r>
                  </a:p>
                </c:rich>
              </c:tx>
              <c:spPr>
                <a:noFill/>
                <a:ln>
                  <a:noFill/>
                </a:ln>
              </c:spPr>
              <c:dLblPos val="ctr"/>
              <c:showLegendKey val="0"/>
              <c:showVal val="1"/>
              <c:showCatName val="0"/>
              <c:showSerName val="0"/>
              <c:showPercent val="0"/>
              <c:showBubbleSize val="0"/>
            </c:dLbl>
            <c:dLbl>
              <c:idx val="1"/>
              <c:tx>
                <c:rich>
                  <a:bodyPr/>
                  <a:lstStyle/>
                  <a:p>
                    <a:pPr>
                      <a:defRPr sz="1050" b="1">
                        <a:solidFill>
                          <a:srgbClr val="1F3864"/>
                        </a:solidFill>
                        <a:latin typeface="Times New Roman"/>
                        <a:cs typeface="Times New Roman"/>
                      </a:defRPr>
                    </a:pPr>
                    <a:r>
                      <a:rPr lang="uz-Latn-UZ" sz="1050" b="1">
                        <a:solidFill>
                          <a:srgbClr val="1F3864"/>
                        </a:solidFill>
                        <a:latin typeface="Times New Roman"/>
                      </a:rPr>
                      <a:t>3 784,1</a:t>
                    </a:r>
                  </a:p>
                </c:rich>
              </c:tx>
              <c:spPr>
                <a:noFill/>
                <a:ln>
                  <a:noFill/>
                </a:ln>
              </c:spPr>
              <c:dLblPos val="ctr"/>
              <c:showLegendKey val="0"/>
              <c:showVal val="1"/>
              <c:showCatName val="0"/>
              <c:showSerName val="0"/>
              <c:showPercent val="0"/>
              <c:showBubbleSize val="0"/>
            </c:dLbl>
            <c:dLbl>
              <c:idx val="2"/>
              <c:tx>
                <c:rich>
                  <a:bodyPr/>
                  <a:lstStyle/>
                  <a:p>
                    <a:pPr>
                      <a:defRPr sz="1050" b="1">
                        <a:solidFill>
                          <a:srgbClr val="1F3864"/>
                        </a:solidFill>
                        <a:latin typeface="Times New Roman"/>
                        <a:cs typeface="Times New Roman"/>
                      </a:defRPr>
                    </a:pPr>
                    <a:r>
                      <a:rPr lang="uz-Latn-UZ" sz="1050" b="1">
                        <a:solidFill>
                          <a:srgbClr val="1F3864"/>
                        </a:solidFill>
                        <a:latin typeface="Times New Roman"/>
                      </a:rPr>
                      <a:t>2 904,4</a:t>
                    </a:r>
                  </a:p>
                </c:rich>
              </c:tx>
              <c:spPr>
                <a:noFill/>
                <a:ln>
                  <a:noFill/>
                </a:ln>
              </c:spPr>
              <c:dLblPos val="ctr"/>
              <c:showLegendKey val="0"/>
              <c:showVal val="1"/>
              <c:showCatName val="0"/>
              <c:showSerName val="0"/>
              <c:showPercent val="0"/>
              <c:showBubbleSize val="0"/>
            </c:dLbl>
            <c:dLbl>
              <c:idx val="3"/>
              <c:tx>
                <c:rich>
                  <a:bodyPr/>
                  <a:lstStyle/>
                  <a:p>
                    <a:pPr>
                      <a:defRPr sz="1050" b="1">
                        <a:solidFill>
                          <a:srgbClr val="1F3864"/>
                        </a:solidFill>
                        <a:latin typeface="Times New Roman"/>
                        <a:cs typeface="Times New Roman"/>
                      </a:defRPr>
                    </a:pPr>
                    <a:r>
                      <a:rPr lang="uz-Latn-UZ" sz="1050" b="1">
                        <a:solidFill>
                          <a:srgbClr val="1F3864"/>
                        </a:solidFill>
                        <a:latin typeface="Times New Roman"/>
                      </a:rPr>
                      <a:t>4 085,6</a:t>
                    </a:r>
                  </a:p>
                </c:rich>
              </c:tx>
              <c:spPr>
                <a:noFill/>
                <a:ln>
                  <a:noFill/>
                </a:ln>
              </c:spPr>
              <c:dLblPos val="ctr"/>
              <c:showLegendKey val="0"/>
              <c:showVal val="1"/>
              <c:showCatName val="0"/>
              <c:showSerName val="0"/>
              <c:showPercent val="0"/>
              <c:showBubbleSize val="0"/>
            </c:dLbl>
            <c:dLbl>
              <c:idx val="4"/>
              <c:tx>
                <c:rich>
                  <a:bodyPr/>
                  <a:lstStyle/>
                  <a:p>
                    <a:pPr>
                      <a:defRPr sz="1050" b="1">
                        <a:solidFill>
                          <a:srgbClr val="1F3864"/>
                        </a:solidFill>
                        <a:latin typeface="Times New Roman"/>
                        <a:cs typeface="Times New Roman"/>
                      </a:defRPr>
                    </a:pPr>
                    <a:r>
                      <a:rPr lang="uz-Latn-UZ" sz="1050" b="1">
                        <a:solidFill>
                          <a:srgbClr val="1F3864"/>
                        </a:solidFill>
                        <a:latin typeface="Times New Roman"/>
                      </a:rPr>
                      <a:t>5 310,2</a:t>
                    </a:r>
                  </a:p>
                </c:rich>
              </c:tx>
              <c:spPr>
                <a:noFill/>
                <a:ln>
                  <a:noFill/>
                </a:ln>
              </c:spPr>
              <c:dLblPos val="ctr"/>
              <c:showLegendKey val="0"/>
              <c:showVal val="1"/>
              <c:showCatName val="0"/>
              <c:showSerName val="0"/>
              <c:showPercent val="0"/>
              <c:showBubbleSize val="0"/>
            </c:dLbl>
            <c:spPr>
              <a:noFill/>
              <a:ln>
                <a:noFill/>
              </a:ln>
            </c:spPr>
            <c:showLegendKey val="0"/>
            <c:showVal val="1"/>
            <c:showCatName val="0"/>
            <c:showSerName val="0"/>
            <c:showPercent val="0"/>
            <c:showBubbleSize val="0"/>
          </c:dLbls>
          <c:cat>
            <c:strRef>
              <c:f>Sheet1!$A$2:$A$6</c:f>
              <c:strCache>
                <c:ptCount val="5"/>
                <c:pt idx="0">
                  <c:v>2021</c:v>
                </c:pt>
                <c:pt idx="1">
                  <c:v>2022</c:v>
                </c:pt>
                <c:pt idx="2">
                  <c:v>2023</c:v>
                </c:pt>
                <c:pt idx="3">
                  <c:v>2024</c:v>
                </c:pt>
                <c:pt idx="4">
                  <c:v>2025</c:v>
                </c:pt>
              </c:strCache>
            </c:strRef>
          </c:cat>
          <c:val>
            <c:numRef>
              <c:f>Sheet1!$G$2:$G$6</c:f>
              <c:numCache>
                <c:formatCode>General</c:formatCode>
                <c:ptCount val="5"/>
                <c:pt idx="0">
                  <c:v>109</c:v>
                </c:pt>
                <c:pt idx="1">
                  <c:v>109</c:v>
                </c:pt>
                <c:pt idx="2">
                  <c:v>109</c:v>
                </c:pt>
                <c:pt idx="3">
                  <c:v>109</c:v>
                </c:pt>
                <c:pt idx="4">
                  <c:v>109</c:v>
                </c:pt>
              </c:numCache>
            </c:numRef>
          </c:val>
          <c:smooth val="0"/>
        </c:ser>
        <c:marker val="1"/>
        <c:axId val="111"/>
        <c:axId val="222"/>
      </c:lineChart>
      <c:catAx>
        <c:axId val="111"/>
        <c:scaling>
          <c:orientation val="minMax"/>
        </c:scaling>
        <c:delete val="0"/>
        <c:axPos val="b"/>
        <c:numFmt formatCode="General" sourceLinked="0"/>
        <c:majorTickMark val="none"/>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uz-Latn-UZ"/>
          </a:p>
        </c:txPr>
        <c:crossAx val="222"/>
        <c:crosses val="autoZero"/>
        <c:auto val="1"/>
        <c:lblAlgn val="ctr"/>
        <c:lblOffset val="100"/>
        <c:tickLblSkip val="1"/>
        <c:noMultiLvlLbl val="0"/>
      </c:catAx>
      <c:valAx>
        <c:axId val="222"/>
        <c:scaling>
          <c:orientation val="minMax"/>
          <c:max val="114"/>
          <c:min val="0"/>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a:t>
                </a:r>
              </a:p>
            </c:rich>
          </c:tx>
          <c:overlay val="0"/>
        </c:title>
        <c:numFmt formatCode="General"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111"/>
        <c:crosses val="autoZero"/>
        <c:crossBetween val="between"/>
        <c:majorUnit val="20"/>
      </c:valAx>
      <c:spPr>
        <a:noFill/>
        <a:ln>
          <a:noFill/>
        </a:ln>
      </c:spPr>
    </c:plotArea>
    <c:legend>
      <c:legendPos val="b"/>
      <c:legendEntry>
        <c:idx val="5"/>
        <c:delete val="1"/>
      </c:legendEntry>
      <c:overlay val="0"/>
      <c:txPr>
        <a:bodyPr/>
        <a:lstStyle/>
        <a:p>
          <a:pPr>
            <a:defRPr sz="1050" b="0">
              <a:solidFill>
                <a:srgbClr val="000000"/>
              </a:solidFill>
              <a:latin typeface="Times New Roman"/>
              <a:cs typeface="Times New Roman"/>
            </a:defRPr>
          </a:pPr>
          <a:endParaRPr lang="uz-Latn-UZ"/>
        </a:p>
      </c:txPr>
    </c:legend>
    <c:plotVisOnly val="1"/>
    <c:dispBlanksAs val="gap"/>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