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Yangi 3.1.3-rasm (namuna)</w:t>
      </w:r>
    </w:p>
    <w:p>
      <w:r>
        <w:rPr>
          <w:sz w:val="22"/>
        </w:rPr>
        <w:t>Joyi: 3.1.6-jadval tahlilidan keyin, vaznlarga sezgirlik tahlilidan oldin. Qizil – yangi matn. Hozirgi 3.1.3-rasm 3.1.4-rasmga aylanadi (nomi va matndagi havolalar).</w:t>
      </w:r>
    </w:p>
    <w:p>
      <w:pPr>
        <w:ind w:firstLine="709"/>
        <w:jc w:val="both"/>
      </w:pPr>
      <w:r>
        <w:rPr>
          <w:b w:val="0"/>
          <w:color w:val="FF0000"/>
          <w:sz w:val="28"/>
        </w:rPr>
        <w:t>2025-yilda aniqlangan tafovut bir yillik holat emasligini tekshirish uchun integral indeks uchala bank bo‘yicha 2021–2025-yillar uchun ham ikki variantda hisoblandi (3.1.3-rasm).</w:t>
      </w:r>
    </w:p>
    <w:p>
      <w:pPr>
        <w:jc w:val="center"/>
      </w:pPr>
      <w:r xmlns:a="http://schemas.openxmlformats.org/drawingml/2006/main" xmlns:c="http://schemas.openxmlformats.org/drawingml/2006/chart">
        <w:rPr>
          <w:noProof/>
        </w:rPr>
        <w:drawing>
          <wp:inline distT="0" distB="0" distL="0" distR="0">
            <wp:extent cx="5760000" cy="2880000"/>
            <wp:effectExtent l="0" t="0" r="0" b="0"/>
            <wp:docPr id="1001" name="3.1.3-rasm"/>
            <wp:cNvGraphicFramePr/>
            <a:graphic>
              <a:graphicData uri="http://schemas.openxmlformats.org/drawingml/2006/chart">
                <c:chart r:id="rId9"/>
              </a:graphicData>
            </a:graphic>
          </wp:inline>
        </w:drawing>
      </w:r>
    </w:p>
    <w:tbl>
      <w:tblPr>
        <w:tblStyle w:val="TableGrid"/>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line="240" w:lineRule="auto"/>
              <w:jc w:val="left"/>
            </w:pPr>
            <w:r>
              <w:rPr>
                <w:b/>
                <w:sz w:val="22"/>
              </w:rPr>
              <w:t>Bank va hisobot turi</w:t>
            </w:r>
          </w:p>
        </w:tc>
        <w:tc>
          <w:tcPr>
            <w:tcW w:type="dxa" w:w="1020"/>
          </w:tcPr>
          <w:p>
            <w:pPr>
              <w:spacing w:line="240" w:lineRule="auto"/>
              <w:jc w:val="center"/>
            </w:pPr>
            <w:r>
              <w:rPr>
                <w:b/>
                <w:sz w:val="22"/>
              </w:rPr>
              <w:t>2021</w:t>
            </w:r>
          </w:p>
        </w:tc>
        <w:tc>
          <w:tcPr>
            <w:tcW w:type="dxa" w:w="1020"/>
          </w:tcPr>
          <w:p>
            <w:pPr>
              <w:spacing w:line="240" w:lineRule="auto"/>
              <w:jc w:val="center"/>
            </w:pPr>
            <w:r>
              <w:rPr>
                <w:b/>
                <w:sz w:val="22"/>
              </w:rPr>
              <w:t>2022</w:t>
            </w:r>
          </w:p>
        </w:tc>
        <w:tc>
          <w:tcPr>
            <w:tcW w:type="dxa" w:w="1020"/>
          </w:tcPr>
          <w:p>
            <w:pPr>
              <w:spacing w:line="240" w:lineRule="auto"/>
              <w:jc w:val="center"/>
            </w:pPr>
            <w:r>
              <w:rPr>
                <w:b/>
                <w:sz w:val="22"/>
              </w:rPr>
              <w:t>2023</w:t>
            </w:r>
          </w:p>
        </w:tc>
        <w:tc>
          <w:tcPr>
            <w:tcW w:type="dxa" w:w="1020"/>
          </w:tcPr>
          <w:p>
            <w:pPr>
              <w:spacing w:line="240" w:lineRule="auto"/>
              <w:jc w:val="center"/>
            </w:pPr>
            <w:r>
              <w:rPr>
                <w:b/>
                <w:sz w:val="22"/>
              </w:rPr>
              <w:t>2024</w:t>
            </w:r>
          </w:p>
        </w:tc>
        <w:tc>
          <w:tcPr>
            <w:tcW w:type="dxa" w:w="1020"/>
          </w:tcPr>
          <w:p>
            <w:pPr>
              <w:spacing w:line="240" w:lineRule="auto"/>
              <w:jc w:val="center"/>
            </w:pPr>
            <w:r>
              <w:rPr>
                <w:b/>
                <w:sz w:val="22"/>
              </w:rPr>
              <w:t>2025</w:t>
            </w:r>
          </w:p>
        </w:tc>
      </w:tr>
      <w:tr>
        <w:tc>
          <w:tcPr>
            <w:tcW w:type="dxa" w:w="3685"/>
          </w:tcPr>
          <w:p>
            <w:pPr>
              <w:spacing w:line="240" w:lineRule="auto"/>
              <w:jc w:val="left"/>
            </w:pPr>
            <w:r>
              <w:rPr>
                <w:b/>
                <w:color w:val="2A78D6"/>
                <w:sz w:val="20"/>
              </w:rPr>
              <w:t xml:space="preserve">━━ </w:t>
            </w:r>
            <w:r>
              <w:rPr>
                <w:b w:val="0"/>
                <w:sz w:val="22"/>
              </w:rPr>
              <w:t>“O‘zsanoatqurilishbank”: milliy hisobot</w:t>
            </w:r>
          </w:p>
        </w:tc>
        <w:tc>
          <w:tcPr>
            <w:tcW w:type="dxa" w:w="1020"/>
          </w:tcPr>
          <w:p>
            <w:pPr>
              <w:spacing w:line="240" w:lineRule="auto"/>
              <w:jc w:val="center"/>
            </w:pPr>
            <w:r>
              <w:rPr>
                <w:b w:val="0"/>
                <w:sz w:val="22"/>
              </w:rPr>
              <w:t>3,29</w:t>
            </w:r>
          </w:p>
        </w:tc>
        <w:tc>
          <w:tcPr>
            <w:tcW w:type="dxa" w:w="1020"/>
          </w:tcPr>
          <w:p>
            <w:pPr>
              <w:spacing w:line="240" w:lineRule="auto"/>
              <w:jc w:val="center"/>
            </w:pPr>
            <w:r>
              <w:rPr>
                <w:b w:val="0"/>
                <w:sz w:val="22"/>
              </w:rPr>
              <w:t>3,13</w:t>
            </w:r>
          </w:p>
        </w:tc>
        <w:tc>
          <w:tcPr>
            <w:tcW w:type="dxa" w:w="1020"/>
          </w:tcPr>
          <w:p>
            <w:pPr>
              <w:spacing w:line="240" w:lineRule="auto"/>
              <w:jc w:val="center"/>
            </w:pPr>
            <w:r>
              <w:rPr>
                <w:b w:val="0"/>
                <w:sz w:val="22"/>
              </w:rPr>
              <w:t>3,14</w:t>
            </w:r>
          </w:p>
        </w:tc>
        <w:tc>
          <w:tcPr>
            <w:tcW w:type="dxa" w:w="1020"/>
          </w:tcPr>
          <w:p>
            <w:pPr>
              <w:spacing w:line="240" w:lineRule="auto"/>
              <w:jc w:val="center"/>
            </w:pPr>
            <w:r>
              <w:rPr>
                <w:b w:val="0"/>
                <w:sz w:val="22"/>
              </w:rPr>
              <w:t>3,09</w:t>
            </w:r>
          </w:p>
        </w:tc>
        <w:tc>
          <w:tcPr>
            <w:tcW w:type="dxa" w:w="1020"/>
          </w:tcPr>
          <w:p>
            <w:pPr>
              <w:spacing w:line="240" w:lineRule="auto"/>
              <w:jc w:val="center"/>
            </w:pPr>
            <w:r>
              <w:rPr>
                <w:b w:val="0"/>
                <w:sz w:val="22"/>
              </w:rPr>
              <w:t>3,27</w:t>
            </w:r>
          </w:p>
        </w:tc>
      </w:tr>
      <w:tr>
        <w:tc>
          <w:tcPr>
            <w:tcW w:type="dxa" w:w="3685"/>
          </w:tcPr>
          <w:p>
            <w:pPr>
              <w:spacing w:line="240" w:lineRule="auto"/>
              <w:jc w:val="left"/>
            </w:pPr>
            <w:r>
              <w:rPr>
                <w:b/>
                <w:color w:val="2A78D6"/>
                <w:sz w:val="20"/>
              </w:rPr>
              <w:t xml:space="preserve">╍╍ </w:t>
            </w:r>
            <w:r>
              <w:rPr>
                <w:b w:val="0"/>
                <w:sz w:val="22"/>
              </w:rPr>
              <w:t>“O‘zsanoatqurilishbank”: MHXS</w:t>
            </w:r>
          </w:p>
        </w:tc>
        <w:tc>
          <w:tcPr>
            <w:tcW w:type="dxa" w:w="1020"/>
          </w:tcPr>
          <w:p>
            <w:pPr>
              <w:spacing w:line="240" w:lineRule="auto"/>
              <w:jc w:val="center"/>
            </w:pPr>
            <w:r>
              <w:rPr>
                <w:b w:val="0"/>
                <w:sz w:val="22"/>
              </w:rPr>
              <w:t>2,92</w:t>
            </w:r>
          </w:p>
        </w:tc>
        <w:tc>
          <w:tcPr>
            <w:tcW w:type="dxa" w:w="1020"/>
          </w:tcPr>
          <w:p>
            <w:pPr>
              <w:spacing w:line="240" w:lineRule="auto"/>
              <w:jc w:val="center"/>
            </w:pPr>
            <w:r>
              <w:rPr>
                <w:b w:val="0"/>
                <w:sz w:val="22"/>
              </w:rPr>
              <w:t>2,81</w:t>
            </w:r>
          </w:p>
        </w:tc>
        <w:tc>
          <w:tcPr>
            <w:tcW w:type="dxa" w:w="1020"/>
          </w:tcPr>
          <w:p>
            <w:pPr>
              <w:spacing w:line="240" w:lineRule="auto"/>
              <w:jc w:val="center"/>
            </w:pPr>
            <w:r>
              <w:rPr>
                <w:b w:val="0"/>
                <w:sz w:val="22"/>
              </w:rPr>
              <w:t>2,91</w:t>
            </w:r>
          </w:p>
        </w:tc>
        <w:tc>
          <w:tcPr>
            <w:tcW w:type="dxa" w:w="1020"/>
          </w:tcPr>
          <w:p>
            <w:pPr>
              <w:spacing w:line="240" w:lineRule="auto"/>
              <w:jc w:val="center"/>
            </w:pPr>
            <w:r>
              <w:rPr>
                <w:b w:val="0"/>
                <w:sz w:val="22"/>
              </w:rPr>
              <w:t>2,72</w:t>
            </w:r>
          </w:p>
        </w:tc>
        <w:tc>
          <w:tcPr>
            <w:tcW w:type="dxa" w:w="1020"/>
          </w:tcPr>
          <w:p>
            <w:pPr>
              <w:spacing w:line="240" w:lineRule="auto"/>
              <w:jc w:val="center"/>
            </w:pPr>
            <w:r>
              <w:rPr>
                <w:b w:val="0"/>
                <w:sz w:val="22"/>
              </w:rPr>
              <w:t>2,81</w:t>
            </w:r>
          </w:p>
        </w:tc>
      </w:tr>
      <w:tr>
        <w:tc>
          <w:tcPr>
            <w:tcW w:type="dxa" w:w="3685"/>
          </w:tcPr>
          <w:p>
            <w:pPr>
              <w:spacing w:line="240" w:lineRule="auto"/>
              <w:jc w:val="left"/>
            </w:pPr>
            <w:r>
              <w:rPr>
                <w:b/>
                <w:color w:val="EB6834"/>
                <w:sz w:val="20"/>
              </w:rPr>
              <w:t xml:space="preserve">━━ </w:t>
            </w:r>
            <w:r>
              <w:rPr>
                <w:b w:val="0"/>
                <w:sz w:val="22"/>
              </w:rPr>
              <w:t>“Mikrokreditbank”: milliy hisobot</w:t>
            </w:r>
          </w:p>
        </w:tc>
        <w:tc>
          <w:tcPr>
            <w:tcW w:type="dxa" w:w="1020"/>
          </w:tcPr>
          <w:p>
            <w:pPr>
              <w:spacing w:line="240" w:lineRule="auto"/>
              <w:jc w:val="center"/>
            </w:pPr>
            <w:r>
              <w:rPr>
                <w:b w:val="0"/>
                <w:sz w:val="22"/>
              </w:rPr>
              <w:t>2,81</w:t>
            </w:r>
          </w:p>
        </w:tc>
        <w:tc>
          <w:tcPr>
            <w:tcW w:type="dxa" w:w="1020"/>
          </w:tcPr>
          <w:p>
            <w:pPr>
              <w:spacing w:line="240" w:lineRule="auto"/>
              <w:jc w:val="center"/>
            </w:pPr>
            <w:r>
              <w:rPr>
                <w:b w:val="0"/>
                <w:sz w:val="22"/>
              </w:rPr>
              <w:t>2,79</w:t>
            </w:r>
          </w:p>
        </w:tc>
        <w:tc>
          <w:tcPr>
            <w:tcW w:type="dxa" w:w="1020"/>
          </w:tcPr>
          <w:p>
            <w:pPr>
              <w:spacing w:line="240" w:lineRule="auto"/>
              <w:jc w:val="center"/>
            </w:pPr>
            <w:r>
              <w:rPr>
                <w:b w:val="0"/>
                <w:sz w:val="22"/>
              </w:rPr>
              <w:t>2,65</w:t>
            </w:r>
          </w:p>
        </w:tc>
        <w:tc>
          <w:tcPr>
            <w:tcW w:type="dxa" w:w="1020"/>
          </w:tcPr>
          <w:p>
            <w:pPr>
              <w:spacing w:line="240" w:lineRule="auto"/>
              <w:jc w:val="center"/>
            </w:pPr>
            <w:r>
              <w:rPr>
                <w:b w:val="0"/>
                <w:sz w:val="22"/>
              </w:rPr>
              <w:t>2,78</w:t>
            </w:r>
          </w:p>
        </w:tc>
        <w:tc>
          <w:tcPr>
            <w:tcW w:type="dxa" w:w="1020"/>
          </w:tcPr>
          <w:p>
            <w:pPr>
              <w:spacing w:line="240" w:lineRule="auto"/>
              <w:jc w:val="center"/>
            </w:pPr>
            <w:r>
              <w:rPr>
                <w:b w:val="0"/>
                <w:sz w:val="22"/>
              </w:rPr>
              <w:t>3,13</w:t>
            </w:r>
          </w:p>
        </w:tc>
      </w:tr>
      <w:tr>
        <w:tc>
          <w:tcPr>
            <w:tcW w:type="dxa" w:w="3685"/>
          </w:tcPr>
          <w:p>
            <w:pPr>
              <w:spacing w:line="240" w:lineRule="auto"/>
              <w:jc w:val="left"/>
            </w:pPr>
            <w:r>
              <w:rPr>
                <w:b/>
                <w:color w:val="EB6834"/>
                <w:sz w:val="20"/>
              </w:rPr>
              <w:t xml:space="preserve">╍╍ </w:t>
            </w:r>
            <w:r>
              <w:rPr>
                <w:b w:val="0"/>
                <w:sz w:val="22"/>
              </w:rPr>
              <w:t>“Mikrokreditbank”: MHXS</w:t>
            </w:r>
          </w:p>
        </w:tc>
        <w:tc>
          <w:tcPr>
            <w:tcW w:type="dxa" w:w="1020"/>
          </w:tcPr>
          <w:p>
            <w:pPr>
              <w:spacing w:line="240" w:lineRule="auto"/>
              <w:jc w:val="center"/>
            </w:pPr>
            <w:r>
              <w:rPr>
                <w:b w:val="0"/>
                <w:sz w:val="22"/>
              </w:rPr>
              <w:t>2,18</w:t>
            </w:r>
          </w:p>
        </w:tc>
        <w:tc>
          <w:tcPr>
            <w:tcW w:type="dxa" w:w="1020"/>
          </w:tcPr>
          <w:p>
            <w:pPr>
              <w:spacing w:line="240" w:lineRule="auto"/>
              <w:jc w:val="center"/>
            </w:pPr>
            <w:r>
              <w:rPr>
                <w:b w:val="0"/>
                <w:sz w:val="22"/>
              </w:rPr>
              <w:t>2,31</w:t>
            </w:r>
          </w:p>
        </w:tc>
        <w:tc>
          <w:tcPr>
            <w:tcW w:type="dxa" w:w="1020"/>
          </w:tcPr>
          <w:p>
            <w:pPr>
              <w:spacing w:line="240" w:lineRule="auto"/>
              <w:jc w:val="center"/>
            </w:pPr>
            <w:r>
              <w:rPr>
                <w:b w:val="0"/>
                <w:sz w:val="22"/>
              </w:rPr>
              <w:t>2,22</w:t>
            </w:r>
          </w:p>
        </w:tc>
        <w:tc>
          <w:tcPr>
            <w:tcW w:type="dxa" w:w="1020"/>
          </w:tcPr>
          <w:p>
            <w:pPr>
              <w:spacing w:line="240" w:lineRule="auto"/>
              <w:jc w:val="center"/>
            </w:pPr>
            <w:r>
              <w:rPr>
                <w:b w:val="0"/>
                <w:sz w:val="22"/>
              </w:rPr>
              <w:t>2,25</w:t>
            </w:r>
          </w:p>
        </w:tc>
        <w:tc>
          <w:tcPr>
            <w:tcW w:type="dxa" w:w="1020"/>
          </w:tcPr>
          <w:p>
            <w:pPr>
              <w:spacing w:line="240" w:lineRule="auto"/>
              <w:jc w:val="center"/>
            </w:pPr>
            <w:r>
              <w:rPr>
                <w:b w:val="0"/>
                <w:sz w:val="22"/>
              </w:rPr>
              <w:t>2,47</w:t>
            </w:r>
          </w:p>
        </w:tc>
      </w:tr>
      <w:tr>
        <w:tc>
          <w:tcPr>
            <w:tcW w:type="dxa" w:w="3685"/>
          </w:tcPr>
          <w:p>
            <w:pPr>
              <w:spacing w:line="240" w:lineRule="auto"/>
              <w:jc w:val="left"/>
            </w:pPr>
            <w:r>
              <w:rPr>
                <w:b/>
                <w:color w:val="548235"/>
                <w:sz w:val="20"/>
              </w:rPr>
              <w:t xml:space="preserve">━━ </w:t>
            </w:r>
            <w:r>
              <w:rPr>
                <w:b w:val="0"/>
                <w:sz w:val="22"/>
              </w:rPr>
              <w:t>“Aloqabank”: milliy hisobot</w:t>
            </w:r>
          </w:p>
        </w:tc>
        <w:tc>
          <w:tcPr>
            <w:tcW w:type="dxa" w:w="1020"/>
          </w:tcPr>
          <w:p>
            <w:pPr>
              <w:spacing w:line="240" w:lineRule="auto"/>
              <w:jc w:val="center"/>
            </w:pPr>
            <w:r>
              <w:rPr>
                <w:b w:val="0"/>
                <w:sz w:val="22"/>
              </w:rPr>
              <w:t>3,32</w:t>
            </w:r>
          </w:p>
        </w:tc>
        <w:tc>
          <w:tcPr>
            <w:tcW w:type="dxa" w:w="1020"/>
          </w:tcPr>
          <w:p>
            <w:pPr>
              <w:spacing w:line="240" w:lineRule="auto"/>
              <w:jc w:val="center"/>
            </w:pPr>
            <w:r>
              <w:rPr>
                <w:b w:val="0"/>
                <w:sz w:val="22"/>
              </w:rPr>
              <w:t>3,52</w:t>
            </w:r>
          </w:p>
        </w:tc>
        <w:tc>
          <w:tcPr>
            <w:tcW w:type="dxa" w:w="1020"/>
          </w:tcPr>
          <w:p>
            <w:pPr>
              <w:spacing w:line="240" w:lineRule="auto"/>
              <w:jc w:val="center"/>
            </w:pPr>
            <w:r>
              <w:rPr>
                <w:b w:val="0"/>
                <w:sz w:val="22"/>
              </w:rPr>
              <w:t>3,58</w:t>
            </w:r>
          </w:p>
        </w:tc>
        <w:tc>
          <w:tcPr>
            <w:tcW w:type="dxa" w:w="1020"/>
          </w:tcPr>
          <w:p>
            <w:pPr>
              <w:spacing w:line="240" w:lineRule="auto"/>
              <w:jc w:val="center"/>
            </w:pPr>
            <w:r>
              <w:rPr>
                <w:b w:val="0"/>
                <w:sz w:val="22"/>
              </w:rPr>
              <w:t>3,53</w:t>
            </w:r>
          </w:p>
        </w:tc>
        <w:tc>
          <w:tcPr>
            <w:tcW w:type="dxa" w:w="1020"/>
          </w:tcPr>
          <w:p>
            <w:pPr>
              <w:spacing w:line="240" w:lineRule="auto"/>
              <w:jc w:val="center"/>
            </w:pPr>
            <w:r>
              <w:rPr>
                <w:b w:val="0"/>
                <w:sz w:val="22"/>
              </w:rPr>
              <w:t>3,25</w:t>
            </w:r>
          </w:p>
        </w:tc>
      </w:tr>
      <w:tr>
        <w:tc>
          <w:tcPr>
            <w:tcW w:type="dxa" w:w="3685"/>
          </w:tcPr>
          <w:p>
            <w:pPr>
              <w:spacing w:line="240" w:lineRule="auto"/>
              <w:jc w:val="left"/>
            </w:pPr>
            <w:r>
              <w:rPr>
                <w:b/>
                <w:color w:val="548235"/>
                <w:sz w:val="20"/>
              </w:rPr>
              <w:t xml:space="preserve">╍╍ </w:t>
            </w:r>
            <w:r>
              <w:rPr>
                <w:b w:val="0"/>
                <w:sz w:val="22"/>
              </w:rPr>
              <w:t>“Aloqabank”: MHXS</w:t>
            </w:r>
          </w:p>
        </w:tc>
        <w:tc>
          <w:tcPr>
            <w:tcW w:type="dxa" w:w="1020"/>
          </w:tcPr>
          <w:p>
            <w:pPr>
              <w:spacing w:line="240" w:lineRule="auto"/>
              <w:jc w:val="center"/>
            </w:pPr>
            <w:r>
              <w:rPr>
                <w:b w:val="0"/>
                <w:sz w:val="22"/>
              </w:rPr>
              <w:t>3,01</w:t>
            </w:r>
          </w:p>
        </w:tc>
        <w:tc>
          <w:tcPr>
            <w:tcW w:type="dxa" w:w="1020"/>
          </w:tcPr>
          <w:p>
            <w:pPr>
              <w:spacing w:line="240" w:lineRule="auto"/>
              <w:jc w:val="center"/>
            </w:pPr>
            <w:r>
              <w:rPr>
                <w:b w:val="0"/>
                <w:sz w:val="22"/>
              </w:rPr>
              <w:t>2,97</w:t>
            </w:r>
          </w:p>
        </w:tc>
        <w:tc>
          <w:tcPr>
            <w:tcW w:type="dxa" w:w="1020"/>
          </w:tcPr>
          <w:p>
            <w:pPr>
              <w:spacing w:line="240" w:lineRule="auto"/>
              <w:jc w:val="center"/>
            </w:pPr>
            <w:r>
              <w:rPr>
                <w:b w:val="0"/>
                <w:sz w:val="22"/>
              </w:rPr>
              <w:t>3,17</w:t>
            </w:r>
          </w:p>
        </w:tc>
        <w:tc>
          <w:tcPr>
            <w:tcW w:type="dxa" w:w="1020"/>
          </w:tcPr>
          <w:p>
            <w:pPr>
              <w:spacing w:line="240" w:lineRule="auto"/>
              <w:jc w:val="center"/>
            </w:pPr>
            <w:r>
              <w:rPr>
                <w:b w:val="0"/>
                <w:sz w:val="22"/>
              </w:rPr>
              <w:t>3,10</w:t>
            </w:r>
          </w:p>
        </w:tc>
        <w:tc>
          <w:tcPr>
            <w:tcW w:type="dxa" w:w="1020"/>
          </w:tcPr>
          <w:p>
            <w:pPr>
              <w:spacing w:line="240" w:lineRule="auto"/>
              <w:jc w:val="center"/>
            </w:pPr>
            <w:r>
              <w:rPr>
                <w:b w:val="0"/>
                <w:sz w:val="22"/>
              </w:rPr>
              <w:t>2,78</w:t>
            </w:r>
          </w:p>
        </w:tc>
      </w:tr>
    </w:tbl>
    <w:p>
      <w:pPr>
        <w:jc w:val="left"/>
      </w:pPr>
      <w:r>
        <w:rPr>
          <w:b w:val="0"/>
          <w:sz w:val="22"/>
        </w:rPr>
        <w:t>Izoh: uzluksiz chiziq – milliy hisobot, uzuq chiziq – MHXS; qizil chiziqlar – I va II sinflar (3,25 ball) hamda II va III sinflar (2,50 ball) chegaralari.</w:t>
      </w:r>
    </w:p>
    <w:p>
      <w:pPr>
        <w:jc w:val="center"/>
      </w:pPr>
      <w:r>
        <w:rPr>
          <w:b/>
          <w:sz w:val="28"/>
        </w:rPr>
        <w:t>3.1.3-rasm. Uch bankda moliyaviy barqarorlikning integral indeksi: milliy hisobot va MHXS asosida, 2021–2025-yillar, ball</w:t>
      </w:r>
    </w:p>
    <w:p>
      <w:pPr>
        <w:ind w:firstLine="709"/>
        <w:jc w:val="both"/>
      </w:pPr>
      <w:r>
        <w:rPr>
          <w:b w:val="0"/>
          <w:color w:val="FF0000"/>
          <w:sz w:val="28"/>
        </w:rPr>
        <w:t>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7"/>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4"/>
              <c:tx>
                <c:rich>
                  <a:bodyPr/>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3,25 (I/II)</a:t>
                    </a:r>
                  </a:p>
                </c:rich>
              </c:tx>
              <c:spPr>
                <a:noFill/>
                <a:ln>
                  <a:noFill/>
                </a:ln>
              </c:spPr>
              <c:dLblPos val="r"/>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4"/>
              <c:tx>
                <c:rich>
                  <a:bodyPr/>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2,50 (II/III)</a:t>
                    </a:r>
                  </a:p>
                </c:rich>
              </c:tx>
              <c:spPr>
                <a:noFill/>
                <a:ln>
                  <a:noFill/>
                </a:ln>
              </c:spPr>
              <c:dLblPos val="r"/>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