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i w:val="0"/>
          <w:sz w:val="28"/>
        </w:rPr>
        <w:t>1.3.7-rasmning yangi varianti (namuna)</w:t>
      </w:r>
    </w:p>
    <w:p>
      <w:pPr>
        <w:ind w:firstLine="0"/>
        <w:jc w:val="both"/>
      </w:pPr>
      <w:r>
        <w:rPr>
          <w:b w:val="0"/>
          <w:i/>
          <w:color w:val="595959"/>
          <w:sz w:val="24"/>
        </w:rPr>
        <w:t>Ma’qul bo‘lsa: 1.3-§ dagi “So‘nggi yillar ma’lumotlari ham …” xatboshining birinchi qismi (“… 3,7 foizga yetadi.” gacha) quyidagi matn bilan almashtiriladi; xatboshining davomi (Charoenwong va boshq., XVJ) o‘zgarmaydi. 1.3.7-rasm yangilanadi, rasmdan keyingi xatboshining birinchi ikki jumlasi quyidagi jumlalar bilan almashtiriladi. XVJ 2016-yilgi “risk ostidagi kreditlar” (15,5 foiz) ustuni tahlil davridan tashqari bo‘lgani uchun olib tashlanadi.</w:t>
      </w:r>
    </w:p>
    <w:p>
      <w:pPr>
        <w:ind w:firstLine="709"/>
        <w:jc w:val="both"/>
      </w:pPr>
      <w:r>
        <w:rPr>
          <w:b w:val="0"/>
          <w:i w:val="0"/>
          <w:sz w:val="28"/>
        </w:rPr>
        <w:t>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etgan[1]. Biroq ularning yonida “alohida e’tibor talab qiluvchi” kreditlar ham bor bo‘lib, ularning ulushi shu yillarda 2,2–2,3 foiz atrofida saqlanib kelmoqda; ikkalasi qo‘shilganda 2025-yil oxirida muammoli aktivlar ulushi 3,7 foizga yetadi.</w:t>
      </w:r>
    </w:p>
    <w:p>
      <w:pPr>
        <w:jc w:val="center"/>
      </w:pPr>
      <w:r xmlns:a="http://schemas.openxmlformats.org/drawingml/2006/main" xmlns:c="http://schemas.openxmlformats.org/drawingml/2006/chart">
        <w:rPr>
          <w:noProof/>
        </w:rPr>
        <w:drawing>
          <wp:inline distT="0" distB="0" distL="0" distR="0">
            <wp:extent cx="5760000" cy="3060000"/>
            <wp:effectExtent l="0" t="0" r="0" b="0"/>
            <wp:docPr id="1001" name="1.3.7-rasm"/>
            <wp:cNvGraphicFramePr/>
            <a:graphic>
              <a:graphicData uri="http://schemas.openxmlformats.org/drawingml/2006/chart">
                <c:chart r:id="rId9"/>
              </a:graphicData>
            </a:graphic>
          </wp:inline>
        </w:drawing>
      </w:r>
    </w:p>
    <w:p>
      <w:pPr>
        <w:ind w:firstLine="0"/>
        <w:jc w:val="center"/>
      </w:pPr>
      <w:r>
        <w:rPr>
          <w:b/>
          <w:i w:val="0"/>
          <w:sz w:val="28"/>
        </w:rPr>
        <w:t>1.3.7-rasm. Xitoy tijorat banklarida muammoli kreditlar ulushi: rasmiy ma’lumotlar va muqobil baholar, 2021–2025-yillar, %[2]</w:t>
      </w:r>
    </w:p>
    <w:p>
      <w:pPr>
        <w:ind w:firstLine="709"/>
        <w:jc w:val="both"/>
      </w:pPr>
      <w:r>
        <w:rPr>
          <w:b w:val="0"/>
          <w:i w:val="0"/>
          <w:sz w:val="28"/>
        </w:rPr>
        <w:t>Rasmdan ko‘rinadiki, rasmiy muammoli kreditlar ulushi besh yil davomida 1,73 foizdan 1,50 foizgacha sekin pasaygan, alohida e’tibor talab qiluvchi kreditlar ulushi esa deyarli o‘zgarmagan. Ular qo‘shilsa, bu ko‘rsatkich ikki yarim barobar, ilmiy baholarga ko‘ra esa uch barobargacha ortadi. …</w:t>
      </w:r>
    </w:p>
    <w:p>
      <w:pPr>
        <w:ind w:firstLine="0"/>
        <w:jc w:val="center"/>
      </w:pPr>
      <w:r>
        <w:rPr>
          <w:b/>
          <w:i w:val="0"/>
          <w:sz w:val="28"/>
        </w:rPr>
        <w:t>Sahifa osti snoskalari</w:t>
      </w:r>
    </w:p>
    <w:p>
      <w:pPr>
        <w:ind w:firstLine="0"/>
        <w:jc w:val="both"/>
      </w:pPr>
      <w:r>
        <w:rPr>
          <w:b w:val="0"/>
          <w:i w:val="0"/>
          <w:sz w:val="22"/>
        </w:rPr>
        <w:t>[1] China Banking and Insurance Regulatory Commission, National Financial Regulatory Administration. Supervisory Statistics of the Banking and Insurance Sectors (Major regulatory indicators of the banking and insurance sectors): 2021–2025-yillar IV choraklari. – https://www.nfra.gov.cn</w:t>
      </w:r>
    </w:p>
    <w:p>
      <w:pPr>
        <w:ind w:firstLine="0"/>
        <w:jc w:val="both"/>
      </w:pPr>
      <w:r>
        <w:rPr>
          <w:b w:val="0"/>
          <w:i w:val="0"/>
          <w:sz w:val="22"/>
        </w:rPr>
        <w:t>[2] 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2021-y. oxiri</c:v>
                </c:pt>
                <c:pt idx="1">
                  <c:v>2022-y. oxiri</c:v>
                </c:pt>
                <c:pt idx="2">
                  <c:v>2023-y. oxiri</c:v>
                </c:pt>
                <c:pt idx="3">
                  <c:v>2024-y. oxiri</c:v>
                </c:pt>
                <c:pt idx="4">
                  <c:v>2025-y. oxiri</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2021-y. oxiri</c:v>
                </c:pt>
                <c:pt idx="1">
                  <c:v>2022-y. oxiri</c:v>
                </c:pt>
                <c:pt idx="2">
                  <c:v>2023-y. oxiri</c:v>
                </c:pt>
                <c:pt idx="3">
                  <c:v>2024-y. oxiri</c:v>
                </c:pt>
                <c:pt idx="4">
                  <c:v>2025-y. oxiri</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2021-y. oxiri</c:v>
                </c:pt>
                <c:pt idx="1">
                  <c:v>2022-y. oxiri</c:v>
                </c:pt>
                <c:pt idx="2">
                  <c:v>2023-y. oxiri</c:v>
                </c:pt>
                <c:pt idx="3">
                  <c:v>2024-y. oxiri</c:v>
                </c:pt>
                <c:pt idx="4">
                  <c:v>2025-y. oxiri</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