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i w:val="0"/>
          <w:sz w:val="28"/>
        </w:rPr>
        <w:t>1.1.5-rasmning yangi varianti (namuna)</w:t>
      </w:r>
    </w:p>
    <w:p>
      <w:pPr>
        <w:ind w:firstLine="709"/>
        <w:jc w:val="both"/>
      </w:pPr>
      <w:r>
        <w:rPr>
          <w:b w:val="0"/>
          <w:i w:val="0"/>
          <w:sz w:val="28"/>
        </w:rPr>
        <w:t>Buni rivojlangan mamlakatlar bank tizimlari tajribasi ham tasdiqlaydi. 1.1.5-rasmda “Katta yettilik” mamlakatlarida 2021–2025-yillarda faoliyati to‘xtatilgan banklar misolida moliyaviy barqarorlik yo‘qotilishining sabablari keltirilgan.</w:t>
      </w:r>
    </w:p>
    <w:p>
      <w:pPr>
        <w:ind w:firstLine="0"/>
        <w:jc w:val="center"/>
      </w:pPr>
      <w:r xmlns:a="http://schemas.openxmlformats.org/drawingml/2006/main" xmlns:c="http://schemas.openxmlformats.org/drawingml/2006/chart">
        <w:rPr>
          <w:noProof/>
        </w:rPr>
        <w:drawing>
          <wp:inline distT="0" distB="0" distL="0" distR="0">
            <wp:extent cx="5760000" cy="4320000"/>
            <wp:effectExtent l="0" t="0" r="0" b="0"/>
            <wp:docPr id="1001" name="1.1.5-rasm"/>
            <wp:cNvGraphicFramePr/>
            <a:graphic>
              <a:graphicData uri="http://schemas.openxmlformats.org/drawingml/2006/chart">
                <c:chart r:id="rId9"/>
              </a:graphicData>
            </a:graphic>
          </wp:inline>
        </w:drawing>
      </w:r>
    </w:p>
    <w:p>
      <w:pPr>
        <w:ind w:firstLine="0"/>
        <w:jc w:val="center"/>
      </w:pPr>
      <w:r>
        <w:rPr>
          <w:b/>
          <w:i w:val="0"/>
          <w:sz w:val="28"/>
        </w:rPr>
        <w:t>1.1.5-rasm. “Katta yettilik” mamlakatlarida 2021–2025-yillarda faoliyati to‘xtatilgan banklarda moliyaviy barqarorlik yo‘qotilishining sabablari, tegishli sabab qayd etilgan banklar ulushi, %[1]</w:t>
      </w:r>
    </w:p>
    <w:p>
      <w:pPr>
        <w:ind w:firstLine="709"/>
        <w:jc w:val="both"/>
      </w:pPr>
      <w:r>
        <w:rPr>
          <w:b w:val="0"/>
          <w:i w:val="0"/>
          <w:sz w:val="28"/>
        </w:rPr>
        <w:t>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bo‘ldi[2],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pPr>
        <w:ind w:firstLine="709"/>
        <w:jc w:val="both"/>
      </w:pPr>
      <w:r>
        <w:rPr>
          <w:b w:val="0"/>
          <w:i w:val="0"/>
          <w:sz w:val="28"/>
        </w:rPr>
        <w:t>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ko‘rsatgan[3]. Bundan kelib chiqadiki, moliyaviy barqarorlikni baholashda aktivlar sifati va boshqaruv sifati bilan bir qatorda likvidlik hamda bozor risklariga, O‘zbekiston sharoitida birinchi navbatda valyuta riskiga sezgirlik bloklari ham bo‘lishi lozim.</w:t>
      </w:r>
    </w:p>
    <w:p>
      <w:r>
        <w:br w:type="page"/>
      </w:r>
    </w:p>
    <w:p>
      <w:pPr>
        <w:ind w:firstLine="0"/>
        <w:jc w:val="right"/>
      </w:pPr>
      <w:r>
        <w:rPr>
          <w:b/>
          <w:i/>
          <w:sz w:val="24"/>
        </w:rPr>
        <w:t>9-ilova</w:t>
      </w:r>
    </w:p>
    <w:p>
      <w:pPr>
        <w:ind w:firstLine="0"/>
        <w:jc w:val="center"/>
      </w:pPr>
      <w:r>
        <w:rPr>
          <w:b/>
          <w:i w:val="0"/>
          <w:sz w:val="24"/>
        </w:rPr>
        <w:t>2021–2025-yillarda “Katta yettilik” mamlakatlarida faoliyati to‘xtatilgan banklar va ularning sabablari</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line="240" w:lineRule="auto"/>
              <w:ind w:firstLine="0"/>
            </w:pPr>
            <w:r>
              <w:rPr>
                <w:sz w:val="18"/>
              </w:rPr>
              <w:t>№</w:t>
            </w:r>
          </w:p>
        </w:tc>
        <w:tc>
          <w:tcPr>
            <w:tcW w:type="dxa" w:w="780"/>
          </w:tcPr>
          <w:p>
            <w:pPr>
              <w:spacing w:line="240" w:lineRule="auto"/>
              <w:ind w:firstLine="0"/>
            </w:pPr>
            <w:r>
              <w:rPr>
                <w:sz w:val="18"/>
              </w:rPr>
              <w:t>Bank, mamlakat</w:t>
            </w:r>
          </w:p>
        </w:tc>
        <w:tc>
          <w:tcPr>
            <w:tcW w:type="dxa" w:w="780"/>
          </w:tcPr>
          <w:p>
            <w:pPr>
              <w:spacing w:line="240" w:lineRule="auto"/>
              <w:ind w:firstLine="0"/>
            </w:pPr>
            <w:r>
              <w:rPr>
                <w:sz w:val="18"/>
              </w:rPr>
              <w:t>Yil</w:t>
            </w:r>
          </w:p>
        </w:tc>
        <w:tc>
          <w:tcPr>
            <w:tcW w:type="dxa" w:w="780"/>
          </w:tcPr>
          <w:p>
            <w:pPr>
              <w:spacing w:line="240" w:lineRule="auto"/>
              <w:ind w:firstLine="0"/>
            </w:pPr>
            <w:r>
              <w:rPr>
                <w:sz w:val="18"/>
              </w:rPr>
              <w:t>Rasmiy hisobotlarda qayd etilgan sabablar</w:t>
            </w:r>
          </w:p>
        </w:tc>
        <w:tc>
          <w:tcPr>
            <w:tcW w:type="dxa" w:w="780"/>
          </w:tcPr>
          <w:p>
            <w:pPr>
              <w:spacing w:line="240" w:lineRule="auto"/>
              <w:ind w:firstLine="0"/>
            </w:pPr>
            <w:r>
              <w:rPr>
                <w:sz w:val="18"/>
              </w:rPr>
              <w:t>B</w:t>
            </w:r>
          </w:p>
        </w:tc>
        <w:tc>
          <w:tcPr>
            <w:tcW w:type="dxa" w:w="780"/>
          </w:tcPr>
          <w:p>
            <w:pPr>
              <w:spacing w:line="240" w:lineRule="auto"/>
              <w:ind w:firstLine="0"/>
            </w:pPr>
            <w:r>
              <w:rPr>
                <w:sz w:val="18"/>
              </w:rPr>
              <w:t>A</w:t>
            </w:r>
          </w:p>
        </w:tc>
        <w:tc>
          <w:tcPr>
            <w:tcW w:type="dxa" w:w="780"/>
          </w:tcPr>
          <w:p>
            <w:pPr>
              <w:spacing w:line="240" w:lineRule="auto"/>
              <w:ind w:firstLine="0"/>
            </w:pPr>
            <w:r>
              <w:rPr>
                <w:sz w:val="18"/>
              </w:rPr>
              <w:t>N</w:t>
            </w:r>
          </w:p>
        </w:tc>
        <w:tc>
          <w:tcPr>
            <w:tcW w:type="dxa" w:w="780"/>
          </w:tcPr>
          <w:p>
            <w:pPr>
              <w:spacing w:line="240" w:lineRule="auto"/>
              <w:ind w:firstLine="0"/>
            </w:pPr>
            <w:r>
              <w:rPr>
                <w:sz w:val="18"/>
              </w:rPr>
              <w:t>F</w:t>
            </w:r>
          </w:p>
        </w:tc>
        <w:tc>
          <w:tcPr>
            <w:tcW w:type="dxa" w:w="780"/>
          </w:tcPr>
          <w:p>
            <w:pPr>
              <w:spacing w:line="240" w:lineRule="auto"/>
              <w:ind w:firstLine="0"/>
            </w:pPr>
            <w:r>
              <w:rPr>
                <w:sz w:val="18"/>
              </w:rPr>
              <w:t>L</w:t>
            </w:r>
          </w:p>
        </w:tc>
        <w:tc>
          <w:tcPr>
            <w:tcW w:type="dxa" w:w="780"/>
          </w:tcPr>
          <w:p>
            <w:pPr>
              <w:spacing w:line="240" w:lineRule="auto"/>
              <w:ind w:firstLine="0"/>
            </w:pPr>
            <w:r>
              <w:rPr>
                <w:sz w:val="18"/>
              </w:rPr>
              <w:t>S</w:t>
            </w:r>
          </w:p>
        </w:tc>
        <w:tc>
          <w:tcPr>
            <w:tcW w:type="dxa" w:w="780"/>
          </w:tcPr>
          <w:p>
            <w:pPr>
              <w:spacing w:line="240" w:lineRule="auto"/>
              <w:ind w:firstLine="0"/>
            </w:pPr>
            <w:r>
              <w:rPr>
                <w:sz w:val="18"/>
              </w:rPr>
              <w:t>D</w:t>
            </w:r>
          </w:p>
        </w:tc>
        <w:tc>
          <w:tcPr>
            <w:tcW w:type="dxa" w:w="780"/>
          </w:tcPr>
          <w:p>
            <w:pPr>
              <w:spacing w:line="240" w:lineRule="auto"/>
              <w:ind w:firstLine="0"/>
            </w:pPr>
            <w:r>
              <w:rPr>
                <w:sz w:val="18"/>
              </w:rPr>
              <w:t>Manba</w:t>
            </w:r>
          </w:p>
        </w:tc>
      </w:tr>
      <w:tr>
        <w:tc>
          <w:tcPr>
            <w:tcW w:type="dxa" w:w="780"/>
          </w:tcPr>
          <w:p>
            <w:pPr>
              <w:spacing w:line="240" w:lineRule="auto"/>
              <w:ind w:firstLine="0"/>
            </w:pPr>
            <w:r>
              <w:rPr>
                <w:sz w:val="18"/>
              </w:rPr>
              <w:t>1</w:t>
            </w:r>
          </w:p>
        </w:tc>
        <w:tc>
          <w:tcPr>
            <w:tcW w:type="dxa" w:w="780"/>
          </w:tcPr>
          <w:p>
            <w:pPr>
              <w:spacing w:line="240" w:lineRule="auto"/>
              <w:ind w:firstLine="0"/>
            </w:pPr>
            <w:r>
              <w:rPr>
                <w:sz w:val="18"/>
              </w:rPr>
              <w:t>Greensill Bank AG (Germaniya)</w:t>
            </w:r>
          </w:p>
        </w:tc>
        <w:tc>
          <w:tcPr>
            <w:tcW w:type="dxa" w:w="780"/>
          </w:tcPr>
          <w:p>
            <w:pPr>
              <w:spacing w:line="240" w:lineRule="auto"/>
              <w:ind w:firstLine="0"/>
            </w:pPr>
            <w:r>
              <w:rPr>
                <w:sz w:val="18"/>
              </w:rPr>
              <w:t>2021</w:t>
            </w:r>
          </w:p>
        </w:tc>
        <w:tc>
          <w:tcPr>
            <w:tcW w:type="dxa" w:w="780"/>
          </w:tcPr>
          <w:p>
            <w:pPr>
              <w:spacing w:line="240" w:lineRule="auto"/>
              <w:ind w:firstLine="0"/>
            </w:pPr>
            <w:r>
              <w:rPr>
                <w:sz w:val="18"/>
              </w:rPr>
              <w:t>Balansdagi GFG Alliance guruhi debitorlik qarzlari mavjudligini tasdiqlay olmaslik (kredit konsentratsiyasi); balansni soxtalashtirish bo‘yicha jinoiy ariza</w:t>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BaFin</w:t>
            </w:r>
          </w:p>
        </w:tc>
      </w:tr>
      <w:tr>
        <w:tc>
          <w:tcPr>
            <w:tcW w:type="dxa" w:w="780"/>
          </w:tcPr>
          <w:p>
            <w:pPr>
              <w:spacing w:line="240" w:lineRule="auto"/>
              <w:ind w:firstLine="0"/>
            </w:pPr>
            <w:r>
              <w:rPr>
                <w:sz w:val="18"/>
              </w:rPr>
              <w:t>2</w:t>
            </w:r>
          </w:p>
        </w:tc>
        <w:tc>
          <w:tcPr>
            <w:tcW w:type="dxa" w:w="780"/>
          </w:tcPr>
          <w:p>
            <w:pPr>
              <w:spacing w:line="240" w:lineRule="auto"/>
              <w:ind w:firstLine="0"/>
            </w:pPr>
            <w:r>
              <w:rPr>
                <w:sz w:val="18"/>
              </w:rPr>
              <w:t>Silicon Valley Bank (AQSh)</w:t>
            </w:r>
          </w:p>
        </w:tc>
        <w:tc>
          <w:tcPr>
            <w:tcW w:type="dxa" w:w="780"/>
          </w:tcPr>
          <w:p>
            <w:pPr>
              <w:spacing w:line="240" w:lineRule="auto"/>
              <w:ind w:firstLine="0"/>
            </w:pPr>
            <w:r>
              <w:rPr>
                <w:sz w:val="18"/>
              </w:rPr>
              <w:t>2023</w:t>
            </w:r>
          </w:p>
        </w:tc>
        <w:tc>
          <w:tcPr>
            <w:tcW w:type="dxa" w:w="780"/>
          </w:tcPr>
          <w:p>
            <w:pPr>
              <w:spacing w:line="240" w:lineRule="auto"/>
              <w:ind w:firstLine="0"/>
            </w:pPr>
            <w:r>
              <w:rPr>
                <w:sz w:val="18"/>
              </w:rPr>
              <w:t>Boshqaruv tez o‘sish va konsentratsiya risklarini nazorat qilmagan; foiz stavkasi riski xedjlari olib tashlangan; 40 mlrd dollarlik depozitlar oqimi</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FRT OIG, 2023-SR-B-013</w:t>
            </w:r>
          </w:p>
        </w:tc>
      </w:tr>
      <w:tr>
        <w:tc>
          <w:tcPr>
            <w:tcW w:type="dxa" w:w="780"/>
          </w:tcPr>
          <w:p>
            <w:pPr>
              <w:spacing w:line="240" w:lineRule="auto"/>
              <w:ind w:firstLine="0"/>
            </w:pPr>
            <w:r>
              <w:rPr>
                <w:sz w:val="18"/>
              </w:rPr>
              <w:t>3</w:t>
            </w:r>
          </w:p>
        </w:tc>
        <w:tc>
          <w:tcPr>
            <w:tcW w:type="dxa" w:w="780"/>
          </w:tcPr>
          <w:p>
            <w:pPr>
              <w:spacing w:line="240" w:lineRule="auto"/>
              <w:ind w:firstLine="0"/>
            </w:pPr>
            <w:r>
              <w:rPr>
                <w:sz w:val="18"/>
              </w:rPr>
              <w:t>Signature Bank (AQSh)</w:t>
            </w:r>
          </w:p>
        </w:tc>
        <w:tc>
          <w:tcPr>
            <w:tcW w:type="dxa" w:w="780"/>
          </w:tcPr>
          <w:p>
            <w:pPr>
              <w:spacing w:line="240" w:lineRule="auto"/>
              <w:ind w:firstLine="0"/>
            </w:pPr>
            <w:r>
              <w:rPr>
                <w:sz w:val="18"/>
              </w:rPr>
              <w:t>2023</w:t>
            </w:r>
          </w:p>
        </w:tc>
        <w:tc>
          <w:tcPr>
            <w:tcW w:type="dxa" w:w="780"/>
          </w:tcPr>
          <w:p>
            <w:pPr>
              <w:spacing w:line="240" w:lineRule="auto"/>
              <w:ind w:firstLine="0"/>
            </w:pPr>
            <w:r>
              <w:rPr>
                <w:sz w:val="18"/>
              </w:rPr>
              <w:t>Likvidlik va favqulodda moliyalashtirish mexanizmlarining yetarli emasligi; boshqaruvning risk menejmenti amaliyoti zaif</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FDIC OIG, EVAL-24-02</w:t>
            </w:r>
          </w:p>
        </w:tc>
      </w:tr>
      <w:tr>
        <w:tc>
          <w:tcPr>
            <w:tcW w:type="dxa" w:w="780"/>
          </w:tcPr>
          <w:p>
            <w:pPr>
              <w:spacing w:line="240" w:lineRule="auto"/>
              <w:ind w:firstLine="0"/>
            </w:pPr>
            <w:r>
              <w:rPr>
                <w:sz w:val="18"/>
              </w:rPr>
              <w:t>4</w:t>
            </w:r>
          </w:p>
        </w:tc>
        <w:tc>
          <w:tcPr>
            <w:tcW w:type="dxa" w:w="780"/>
          </w:tcPr>
          <w:p>
            <w:pPr>
              <w:spacing w:line="240" w:lineRule="auto"/>
              <w:ind w:firstLine="0"/>
            </w:pPr>
            <w:r>
              <w:rPr>
                <w:sz w:val="18"/>
              </w:rPr>
              <w:t>First Republic Bank (AQSh)</w:t>
            </w:r>
          </w:p>
        </w:tc>
        <w:tc>
          <w:tcPr>
            <w:tcW w:type="dxa" w:w="780"/>
          </w:tcPr>
          <w:p>
            <w:pPr>
              <w:spacing w:line="240" w:lineRule="auto"/>
              <w:ind w:firstLine="0"/>
            </w:pPr>
            <w:r>
              <w:rPr>
                <w:sz w:val="18"/>
              </w:rPr>
              <w:t>2023</w:t>
            </w:r>
          </w:p>
        </w:tc>
        <w:tc>
          <w:tcPr>
            <w:tcW w:type="dxa" w:w="780"/>
          </w:tcPr>
          <w:p>
            <w:pPr>
              <w:spacing w:line="240" w:lineRule="auto"/>
              <w:ind w:firstLine="0"/>
            </w:pPr>
            <w:r>
              <w:rPr>
                <w:sz w:val="18"/>
              </w:rPr>
              <w:t>Sug‘urtalanmagan depozitlar konsentratsiyasi, aktiv va passivlar muddatlarining nomutanosibligi, foiz stavkasi riski; boshqa banklar inqirozining yuqumli ta’siri</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FDIC OIG, EVAL-24-03</w:t>
            </w:r>
          </w:p>
        </w:tc>
      </w:tr>
      <w:tr>
        <w:tc>
          <w:tcPr>
            <w:tcW w:type="dxa" w:w="780"/>
          </w:tcPr>
          <w:p>
            <w:pPr>
              <w:spacing w:line="240" w:lineRule="auto"/>
              <w:ind w:firstLine="0"/>
            </w:pPr>
            <w:r>
              <w:rPr>
                <w:sz w:val="18"/>
              </w:rPr>
              <w:t>5</w:t>
            </w:r>
          </w:p>
        </w:tc>
        <w:tc>
          <w:tcPr>
            <w:tcW w:type="dxa" w:w="780"/>
          </w:tcPr>
          <w:p>
            <w:pPr>
              <w:spacing w:line="240" w:lineRule="auto"/>
              <w:ind w:firstLine="0"/>
            </w:pPr>
            <w:r>
              <w:rPr>
                <w:sz w:val="18"/>
              </w:rPr>
              <w:t>Heartland Tri-State Bank (AQSh)</w:t>
            </w:r>
          </w:p>
        </w:tc>
        <w:tc>
          <w:tcPr>
            <w:tcW w:type="dxa" w:w="780"/>
          </w:tcPr>
          <w:p>
            <w:pPr>
              <w:spacing w:line="240" w:lineRule="auto"/>
              <w:ind w:firstLine="0"/>
            </w:pPr>
            <w:r>
              <w:rPr>
                <w:sz w:val="18"/>
              </w:rPr>
              <w:t>2023</w:t>
            </w:r>
          </w:p>
        </w:tc>
        <w:tc>
          <w:tcPr>
            <w:tcW w:type="dxa" w:w="780"/>
          </w:tcPr>
          <w:p>
            <w:pPr>
              <w:spacing w:line="240" w:lineRule="auto"/>
              <w:ind w:firstLine="0"/>
            </w:pPr>
            <w:r>
              <w:rPr>
                <w:sz w:val="18"/>
              </w:rPr>
              <w:t>Bosh direktorning firibgarlik bilan bog‘liq 47,1 mln dollarlik pul o‘tkazmalari; ichki nazoratning buzilishi va rahbarning hukmron mavqei</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FRT OIG, 2024-SR-B-004</w:t>
            </w:r>
          </w:p>
        </w:tc>
      </w:tr>
      <w:tr>
        <w:tc>
          <w:tcPr>
            <w:tcW w:type="dxa" w:w="780"/>
          </w:tcPr>
          <w:p>
            <w:pPr>
              <w:spacing w:line="240" w:lineRule="auto"/>
              <w:ind w:firstLine="0"/>
            </w:pPr>
            <w:r>
              <w:rPr>
                <w:sz w:val="18"/>
              </w:rPr>
              <w:t>6</w:t>
            </w:r>
          </w:p>
        </w:tc>
        <w:tc>
          <w:tcPr>
            <w:tcW w:type="dxa" w:w="780"/>
          </w:tcPr>
          <w:p>
            <w:pPr>
              <w:spacing w:line="240" w:lineRule="auto"/>
              <w:ind w:firstLine="0"/>
            </w:pPr>
            <w:r>
              <w:rPr>
                <w:sz w:val="18"/>
              </w:rPr>
              <w:t>Citizens Bank (AQSh)</w:t>
            </w:r>
          </w:p>
        </w:tc>
        <w:tc>
          <w:tcPr>
            <w:tcW w:type="dxa" w:w="780"/>
          </w:tcPr>
          <w:p>
            <w:pPr>
              <w:spacing w:line="240" w:lineRule="auto"/>
              <w:ind w:firstLine="0"/>
            </w:pPr>
            <w:r>
              <w:rPr>
                <w:sz w:val="18"/>
              </w:rPr>
              <w:t>2023</w:t>
            </w:r>
          </w:p>
        </w:tc>
        <w:tc>
          <w:tcPr>
            <w:tcW w:type="dxa" w:w="780"/>
          </w:tcPr>
          <w:p>
            <w:pPr>
              <w:spacing w:line="240" w:lineRule="auto"/>
              <w:ind w:firstLine="0"/>
            </w:pPr>
            <w:r>
              <w:rPr>
                <w:sz w:val="18"/>
              </w:rPr>
              <w:t>Kengash va boshqaruvning sust kreditlash amaliyoti; yirik yuk tashish kompaniyalari kreditlarining yomonlashuvi</w:t>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FDIC OIG, AEC 24-01</w:t>
            </w:r>
          </w:p>
        </w:tc>
      </w:tr>
      <w:tr>
        <w:tc>
          <w:tcPr>
            <w:tcW w:type="dxa" w:w="780"/>
          </w:tcPr>
          <w:p>
            <w:pPr>
              <w:spacing w:line="240" w:lineRule="auto"/>
              <w:ind w:firstLine="0"/>
            </w:pPr>
            <w:r>
              <w:rPr>
                <w:sz w:val="18"/>
              </w:rPr>
              <w:t>7</w:t>
            </w:r>
          </w:p>
        </w:tc>
        <w:tc>
          <w:tcPr>
            <w:tcW w:type="dxa" w:w="780"/>
          </w:tcPr>
          <w:p>
            <w:pPr>
              <w:spacing w:line="240" w:lineRule="auto"/>
              <w:ind w:firstLine="0"/>
            </w:pPr>
            <w:r>
              <w:rPr>
                <w:sz w:val="18"/>
              </w:rPr>
              <w:t>North Channel Bank (Germaniya)</w:t>
            </w:r>
          </w:p>
        </w:tc>
        <w:tc>
          <w:tcPr>
            <w:tcW w:type="dxa" w:w="780"/>
          </w:tcPr>
          <w:p>
            <w:pPr>
              <w:spacing w:line="240" w:lineRule="auto"/>
              <w:ind w:firstLine="0"/>
            </w:pPr>
            <w:r>
              <w:rPr>
                <w:sz w:val="18"/>
              </w:rPr>
              <w:t>2023</w:t>
            </w:r>
          </w:p>
        </w:tc>
        <w:tc>
          <w:tcPr>
            <w:tcW w:type="dxa" w:w="780"/>
          </w:tcPr>
          <w:p>
            <w:pPr>
              <w:spacing w:line="240" w:lineRule="auto"/>
              <w:ind w:firstLine="0"/>
            </w:pPr>
            <w:r>
              <w:rPr>
                <w:sz w:val="18"/>
              </w:rPr>
              <w:t>Surunkali zarar va barqaror biznes modelining yo‘qligi</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BaFin</w:t>
            </w:r>
          </w:p>
        </w:tc>
      </w:tr>
      <w:tr>
        <w:tc>
          <w:tcPr>
            <w:tcW w:type="dxa" w:w="780"/>
          </w:tcPr>
          <w:p>
            <w:pPr>
              <w:spacing w:line="240" w:lineRule="auto"/>
              <w:ind w:firstLine="0"/>
            </w:pPr>
            <w:r>
              <w:rPr>
                <w:sz w:val="18"/>
              </w:rPr>
              <w:t>8</w:t>
            </w:r>
          </w:p>
        </w:tc>
        <w:tc>
          <w:tcPr>
            <w:tcW w:type="dxa" w:w="780"/>
          </w:tcPr>
          <w:p>
            <w:pPr>
              <w:spacing w:line="240" w:lineRule="auto"/>
              <w:ind w:firstLine="0"/>
            </w:pPr>
            <w:r>
              <w:rPr>
                <w:sz w:val="18"/>
              </w:rPr>
              <w:t>SVB UK (Buyuk Britaniya)</w:t>
            </w:r>
          </w:p>
        </w:tc>
        <w:tc>
          <w:tcPr>
            <w:tcW w:type="dxa" w:w="780"/>
          </w:tcPr>
          <w:p>
            <w:pPr>
              <w:spacing w:line="240" w:lineRule="auto"/>
              <w:ind w:firstLine="0"/>
            </w:pPr>
            <w:r>
              <w:rPr>
                <w:sz w:val="18"/>
              </w:rPr>
              <w:t>2023</w:t>
            </w:r>
          </w:p>
        </w:tc>
        <w:tc>
          <w:tcPr>
            <w:tcW w:type="dxa" w:w="780"/>
          </w:tcPr>
          <w:p>
            <w:pPr>
              <w:spacing w:line="240" w:lineRule="auto"/>
              <w:ind w:firstLine="0"/>
            </w:pPr>
            <w:r>
              <w:rPr>
                <w:sz w:val="18"/>
              </w:rPr>
              <w:t>Bosh bank inqirozi sababli depozitlar oqimi va likvidlik tanqisligi; mijozlar bazasining texnologiya sohasida konsentratsiyasi</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Angliya banki</w:t>
            </w:r>
          </w:p>
        </w:tc>
      </w:tr>
      <w:tr>
        <w:tc>
          <w:tcPr>
            <w:tcW w:type="dxa" w:w="780"/>
          </w:tcPr>
          <w:p>
            <w:pPr>
              <w:spacing w:line="240" w:lineRule="auto"/>
              <w:ind w:firstLine="0"/>
            </w:pPr>
            <w:r>
              <w:rPr>
                <w:sz w:val="18"/>
              </w:rPr>
              <w:t>9</w:t>
            </w:r>
          </w:p>
        </w:tc>
        <w:tc>
          <w:tcPr>
            <w:tcW w:type="dxa" w:w="780"/>
          </w:tcPr>
          <w:p>
            <w:pPr>
              <w:spacing w:line="240" w:lineRule="auto"/>
              <w:ind w:firstLine="0"/>
            </w:pPr>
            <w:r>
              <w:rPr>
                <w:sz w:val="18"/>
              </w:rPr>
              <w:t>Republic First Bank (AQSh)</w:t>
            </w:r>
          </w:p>
        </w:tc>
        <w:tc>
          <w:tcPr>
            <w:tcW w:type="dxa" w:w="780"/>
          </w:tcPr>
          <w:p>
            <w:pPr>
              <w:spacing w:line="240" w:lineRule="auto"/>
              <w:ind w:firstLine="0"/>
            </w:pPr>
            <w:r>
              <w:rPr>
                <w:sz w:val="18"/>
              </w:rPr>
              <w:t>2024</w:t>
            </w:r>
          </w:p>
        </w:tc>
        <w:tc>
          <w:tcPr>
            <w:tcW w:type="dxa" w:w="780"/>
          </w:tcPr>
          <w:p>
            <w:pPr>
              <w:spacing w:line="240" w:lineRule="auto"/>
              <w:ind w:firstLine="0"/>
            </w:pPr>
            <w:r>
              <w:rPr>
                <w:sz w:val="18"/>
              </w:rPr>
              <w:t>Muddatigacha saqlanadigan qimmatli qog‘ozlar bo‘yicha zararlarni tan olish (foiz stavkasi riski); kengash va boshqaruvning samarasizligi</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FDIC OIG, EVAL-25-01</w:t>
            </w:r>
          </w:p>
        </w:tc>
      </w:tr>
      <w:tr>
        <w:tc>
          <w:tcPr>
            <w:tcW w:type="dxa" w:w="780"/>
          </w:tcPr>
          <w:p>
            <w:pPr>
              <w:spacing w:line="240" w:lineRule="auto"/>
              <w:ind w:firstLine="0"/>
            </w:pPr>
            <w:r>
              <w:rPr>
                <w:sz w:val="18"/>
              </w:rPr>
              <w:t>10</w:t>
            </w:r>
          </w:p>
        </w:tc>
        <w:tc>
          <w:tcPr>
            <w:tcW w:type="dxa" w:w="780"/>
          </w:tcPr>
          <w:p>
            <w:pPr>
              <w:spacing w:line="240" w:lineRule="auto"/>
              <w:ind w:firstLine="0"/>
            </w:pPr>
            <w:r>
              <w:rPr>
                <w:sz w:val="18"/>
              </w:rPr>
              <w:t>First National Bank of Lindsay (AQSh)</w:t>
            </w:r>
          </w:p>
        </w:tc>
        <w:tc>
          <w:tcPr>
            <w:tcW w:type="dxa" w:w="780"/>
          </w:tcPr>
          <w:p>
            <w:pPr>
              <w:spacing w:line="240" w:lineRule="auto"/>
              <w:ind w:firstLine="0"/>
            </w:pPr>
            <w:r>
              <w:rPr>
                <w:sz w:val="18"/>
              </w:rPr>
              <w:t>2024</w:t>
            </w:r>
          </w:p>
        </w:tc>
        <w:tc>
          <w:tcPr>
            <w:tcW w:type="dxa" w:w="780"/>
          </w:tcPr>
          <w:p>
            <w:pPr>
              <w:spacing w:line="240" w:lineRule="auto"/>
              <w:ind w:firstLine="0"/>
            </w:pPr>
            <w:r>
              <w:rPr>
                <w:sz w:val="18"/>
              </w:rPr>
              <w:t>Ichki nazoratning keskin buzilishi natijasida kredit portfeli va likvid aktivlarga ta’sir qilgan firibgarlik</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G‘aznachilik OIG, OIG-25-024</w:t>
            </w:r>
          </w:p>
        </w:tc>
      </w:tr>
      <w:tr>
        <w:tc>
          <w:tcPr>
            <w:tcW w:type="dxa" w:w="780"/>
          </w:tcPr>
          <w:p>
            <w:pPr>
              <w:spacing w:line="240" w:lineRule="auto"/>
              <w:ind w:firstLine="0"/>
            </w:pPr>
            <w:r>
              <w:rPr>
                <w:sz w:val="18"/>
              </w:rPr>
              <w:t>11</w:t>
            </w:r>
          </w:p>
        </w:tc>
        <w:tc>
          <w:tcPr>
            <w:tcW w:type="dxa" w:w="780"/>
          </w:tcPr>
          <w:p>
            <w:pPr>
              <w:spacing w:line="240" w:lineRule="auto"/>
              <w:ind w:firstLine="0"/>
            </w:pPr>
            <w:r>
              <w:rPr>
                <w:sz w:val="18"/>
              </w:rPr>
              <w:t>Pulaski Savings Bank (AQSh)</w:t>
            </w:r>
          </w:p>
        </w:tc>
        <w:tc>
          <w:tcPr>
            <w:tcW w:type="dxa" w:w="780"/>
          </w:tcPr>
          <w:p>
            <w:pPr>
              <w:spacing w:line="240" w:lineRule="auto"/>
              <w:ind w:firstLine="0"/>
            </w:pPr>
            <w:r>
              <w:rPr>
                <w:sz w:val="18"/>
              </w:rPr>
              <w:t>2025</w:t>
            </w:r>
          </w:p>
        </w:tc>
        <w:tc>
          <w:tcPr>
            <w:tcW w:type="dxa" w:w="780"/>
          </w:tcPr>
          <w:p>
            <w:pPr>
              <w:spacing w:line="240" w:lineRule="auto"/>
              <w:ind w:firstLine="0"/>
            </w:pPr>
            <w:r>
              <w:rPr>
                <w:sz w:val="18"/>
              </w:rPr>
              <w:t>Kapitalning qadrsizlanishi: buxgalteriya tizimida aks ettirilmagan 20,7 mln dollarlik depozit sertifikatlari; kengash va boshqaruv nazoratining zaifligi</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FDIC OIG, REV-25-02, EVAL-26-01</w:t>
            </w:r>
          </w:p>
        </w:tc>
      </w:tr>
      <w:tr>
        <w:tc>
          <w:tcPr>
            <w:tcW w:type="dxa" w:w="780"/>
          </w:tcPr>
          <w:p>
            <w:pPr>
              <w:spacing w:line="240" w:lineRule="auto"/>
              <w:ind w:firstLine="0"/>
            </w:pPr>
            <w:r>
              <w:rPr>
                <w:sz w:val="18"/>
              </w:rPr>
              <w:t>12</w:t>
            </w:r>
          </w:p>
        </w:tc>
        <w:tc>
          <w:tcPr>
            <w:tcW w:type="dxa" w:w="780"/>
          </w:tcPr>
          <w:p>
            <w:pPr>
              <w:spacing w:line="240" w:lineRule="auto"/>
              <w:ind w:firstLine="0"/>
            </w:pPr>
            <w:r>
              <w:rPr>
                <w:sz w:val="18"/>
              </w:rPr>
              <w:t>Santa Anna National Bank (AQSh)</w:t>
            </w:r>
          </w:p>
        </w:tc>
        <w:tc>
          <w:tcPr>
            <w:tcW w:type="dxa" w:w="780"/>
          </w:tcPr>
          <w:p>
            <w:pPr>
              <w:spacing w:line="240" w:lineRule="auto"/>
              <w:ind w:firstLine="0"/>
            </w:pPr>
            <w:r>
              <w:rPr>
                <w:sz w:val="18"/>
              </w:rPr>
              <w:t>2025</w:t>
            </w:r>
          </w:p>
        </w:tc>
        <w:tc>
          <w:tcPr>
            <w:tcW w:type="dxa" w:w="780"/>
          </w:tcPr>
          <w:p>
            <w:pPr>
              <w:spacing w:line="240" w:lineRule="auto"/>
              <w:ind w:firstLine="0"/>
            </w:pPr>
            <w:r>
              <w:rPr>
                <w:sz w:val="18"/>
              </w:rPr>
              <w:t>Ichki nazoratning keskin buzilishi natijasida kredit portfeliga ta’sir qilgan firibgarlik; kengash nazoratining zaifligi</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G‘aznachilik OIG, OIG-26-023</w:t>
            </w:r>
          </w:p>
        </w:tc>
      </w:tr>
      <w:tr>
        <w:tc>
          <w:tcPr>
            <w:tcW w:type="dxa" w:w="780"/>
          </w:tcPr>
          <w:p>
            <w:pPr>
              <w:spacing w:line="240" w:lineRule="auto"/>
              <w:ind w:firstLine="0"/>
            </w:pPr>
            <w:r>
              <w:rPr>
                <w:sz w:val="18"/>
              </w:rPr>
            </w:r>
          </w:p>
        </w:tc>
        <w:tc>
          <w:tcPr>
            <w:tcW w:type="dxa" w:w="780"/>
          </w:tcPr>
          <w:p>
            <w:pPr>
              <w:spacing w:line="240" w:lineRule="auto"/>
              <w:ind w:firstLine="0"/>
            </w:pPr>
            <w:r>
              <w:rPr>
                <w:sz w:val="18"/>
              </w:rPr>
              <w:t>Jami, %</w:t>
            </w:r>
          </w:p>
        </w:tc>
        <w:tc>
          <w:tcPr>
            <w:tcW w:type="dxa" w:w="780"/>
          </w:tcPr>
          <w:p>
            <w:pPr>
              <w:spacing w:line="240" w:lineRule="auto"/>
              <w:ind w:firstLine="0"/>
            </w:pPr>
            <w:r>
              <w:rPr>
                <w:sz w:val="18"/>
              </w:rPr>
            </w:r>
          </w:p>
        </w:tc>
        <w:tc>
          <w:tcPr>
            <w:tcW w:type="dxa" w:w="780"/>
          </w:tcPr>
          <w:p>
            <w:pPr>
              <w:spacing w:line="240" w:lineRule="auto"/>
              <w:ind w:firstLine="0"/>
            </w:pPr>
            <w:r>
              <w:rPr>
                <w:sz w:val="18"/>
              </w:rPr>
              <w:t>12 ta bank bo‘yicha ulush</w:t>
            </w:r>
          </w:p>
        </w:tc>
        <w:tc>
          <w:tcPr>
            <w:tcW w:type="dxa" w:w="780"/>
          </w:tcPr>
          <w:p>
            <w:pPr>
              <w:spacing w:line="240" w:lineRule="auto"/>
              <w:ind w:firstLine="0"/>
            </w:pPr>
            <w:r>
              <w:rPr>
                <w:sz w:val="18"/>
              </w:rPr>
              <w:t>58</w:t>
            </w:r>
          </w:p>
        </w:tc>
        <w:tc>
          <w:tcPr>
            <w:tcW w:type="dxa" w:w="780"/>
          </w:tcPr>
          <w:p>
            <w:pPr>
              <w:spacing w:line="240" w:lineRule="auto"/>
              <w:ind w:firstLine="0"/>
            </w:pPr>
            <w:r>
              <w:rPr>
                <w:sz w:val="18"/>
              </w:rPr>
              <w:t>17</w:t>
            </w:r>
          </w:p>
        </w:tc>
        <w:tc>
          <w:tcPr>
            <w:tcW w:type="dxa" w:w="780"/>
          </w:tcPr>
          <w:p>
            <w:pPr>
              <w:spacing w:line="240" w:lineRule="auto"/>
              <w:ind w:firstLine="0"/>
            </w:pPr>
            <w:r>
              <w:rPr>
                <w:sz w:val="18"/>
              </w:rPr>
              <w:t>33</w:t>
            </w:r>
          </w:p>
        </w:tc>
        <w:tc>
          <w:tcPr>
            <w:tcW w:type="dxa" w:w="780"/>
          </w:tcPr>
          <w:p>
            <w:pPr>
              <w:spacing w:line="240" w:lineRule="auto"/>
              <w:ind w:firstLine="0"/>
            </w:pPr>
            <w:r>
              <w:rPr>
                <w:sz w:val="18"/>
              </w:rPr>
              <w:t>33</w:t>
            </w:r>
          </w:p>
        </w:tc>
        <w:tc>
          <w:tcPr>
            <w:tcW w:type="dxa" w:w="780"/>
          </w:tcPr>
          <w:p>
            <w:pPr>
              <w:spacing w:line="240" w:lineRule="auto"/>
              <w:ind w:firstLine="0"/>
            </w:pPr>
            <w:r>
              <w:rPr>
                <w:sz w:val="18"/>
              </w:rPr>
              <w:t>33</w:t>
            </w:r>
          </w:p>
        </w:tc>
        <w:tc>
          <w:tcPr>
            <w:tcW w:type="dxa" w:w="780"/>
          </w:tcPr>
          <w:p>
            <w:pPr>
              <w:spacing w:line="240" w:lineRule="auto"/>
              <w:ind w:firstLine="0"/>
            </w:pPr>
            <w:r>
              <w:rPr>
                <w:sz w:val="18"/>
              </w:rPr>
              <w:t>25</w:t>
            </w:r>
          </w:p>
        </w:tc>
        <w:tc>
          <w:tcPr>
            <w:tcW w:type="dxa" w:w="780"/>
          </w:tcPr>
          <w:p>
            <w:pPr>
              <w:spacing w:line="240" w:lineRule="auto"/>
              <w:ind w:firstLine="0"/>
            </w:pPr>
            <w:r>
              <w:rPr>
                <w:sz w:val="18"/>
              </w:rPr>
              <w:t>8</w:t>
            </w:r>
          </w:p>
        </w:tc>
        <w:tc>
          <w:tcPr>
            <w:tcW w:type="dxa" w:w="780"/>
          </w:tcPr>
          <w:p>
            <w:pPr>
              <w:spacing w:line="240" w:lineRule="auto"/>
              <w:ind w:firstLine="0"/>
            </w:pPr>
            <w:r>
              <w:rPr>
                <w:sz w:val="18"/>
              </w:rPr>
            </w:r>
          </w:p>
        </w:tc>
      </w:tr>
    </w:tbl>
    <w:p>
      <w:pPr>
        <w:ind w:firstLine="0"/>
        <w:jc w:val="both"/>
      </w:pPr>
      <w:r>
        <w:rPr>
          <w:b w:val="0"/>
          <w:i/>
          <w:sz w:val="20"/>
        </w:rPr>
        <w:t>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pPr>
        <w:ind w:firstLine="0"/>
        <w:jc w:val="both"/>
      </w:pPr>
      <w:r>
        <w:rPr>
          <w:b w:val="0"/>
          <w:i/>
          <w:sz w:val="20"/>
        </w:rPr>
        <w:t>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p>
      <w:r>
        <w:br w:type="page"/>
      </w:r>
    </w:p>
    <w:p>
      <w:pPr>
        <w:ind w:firstLine="0"/>
        <w:jc w:val="center"/>
      </w:pPr>
      <w:r>
        <w:rPr>
          <w:b/>
          <w:i w:val="0"/>
          <w:sz w:val="28"/>
        </w:rPr>
        <w:t>Sahifa osti snoskalari</w:t>
      </w:r>
    </w:p>
    <w:p>
      <w:pPr>
        <w:ind w:firstLine="0"/>
        <w:jc w:val="both"/>
      </w:pPr>
      <w:r>
        <w:rPr>
          <w:b w:val="0"/>
          <w:i w:val="0"/>
          <w:sz w:val="22"/>
        </w:rPr>
        <w:t>[1] Tadqiqot natijasida muallif tomonidan 9-ilovada keltirilgan rasmiy hisobotlar asosida ishlab chiqildi (12 ta bank). Bir bankda bir nechta sabab qayd etilishi mumkin.</w:t>
      </w:r>
    </w:p>
    <w:p>
      <w:pPr>
        <w:ind w:firstLine="0"/>
        <w:jc w:val="both"/>
      </w:pPr>
      <w:r>
        <w:rPr>
          <w:b w:val="0"/>
          <w:i w:val="0"/>
          <w:sz w:val="22"/>
        </w:rPr>
        <w:t>[2]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p>
      <w:pPr>
        <w:ind w:firstLine="0"/>
        <w:jc w:val="both"/>
      </w:pPr>
      <w:r>
        <w:rPr>
          <w:b w:val="0"/>
          <w:i w:val="0"/>
          <w:sz w:val="22"/>
        </w:rPr>
        <w:t>[3] Correia S., Luck S., Verner E. Failing Banks // Quarterly Journal of Economics. – 2026. – Vol. 141, No. 1. – P. 147–204; ishchi varianti: arXiv:2506.06082. – 2025. – P. 1, 52.</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