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58</w:t>
      </w:r>
    </w:p>
    <w:p w:rsidR="005603EC" w:rsidRDefault="00AB61AC">
      <w:pPr>
        <w:tabs>
          <w:tab w:val="right" w:leader="dot" w:pos="9354"/>
        </w:tabs>
        <w:spacing w:after="80" w:line="240" w:lineRule="auto"/>
        <w:ind w:left="454"/>
      </w:pPr>
      <w:r>
        <w:rPr>
          <w:sz w:val="26"/>
        </w:rPr>
        <w:t>I bob bo‘yicha xulosalar</w:t>
      </w:r>
      <w:r>
        <w:rPr>
          <w:sz w:val="26"/>
        </w:rPr>
        <w:tab/>
        <w:t>82</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85</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85</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98</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117</w:t>
      </w:r>
    </w:p>
    <w:p w:rsidR="005603EC" w:rsidRDefault="00AB61AC">
      <w:pPr>
        <w:tabs>
          <w:tab w:val="right" w:leader="dot" w:pos="9354"/>
        </w:tabs>
        <w:spacing w:after="80" w:line="240" w:lineRule="auto"/>
        <w:ind w:left="454"/>
      </w:pPr>
      <w:r>
        <w:rPr>
          <w:sz w:val="26"/>
        </w:rPr>
        <w:t>II bob bo‘yicha xulosalar</w:t>
      </w:r>
      <w:r>
        <w:rPr>
          <w:sz w:val="26"/>
        </w:rPr>
        <w:tab/>
        <w:t>141</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144</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144</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165</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179</w:t>
      </w:r>
    </w:p>
    <w:p w:rsidR="005603EC" w:rsidRDefault="00AB61AC">
      <w:pPr>
        <w:tabs>
          <w:tab w:val="right" w:leader="dot" w:pos="9354"/>
        </w:tabs>
        <w:spacing w:after="80" w:line="240" w:lineRule="auto"/>
        <w:ind w:left="454"/>
      </w:pPr>
      <w:r>
        <w:rPr>
          <w:sz w:val="26"/>
        </w:rPr>
        <w:t>III bob bo‘yicha xulosalar</w:t>
      </w:r>
      <w:r>
        <w:rPr>
          <w:sz w:val="26"/>
        </w:rPr>
        <w:tab/>
        <w:t>198</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201</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201</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217</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230</w:t>
      </w:r>
    </w:p>
    <w:p w:rsidR="005603EC" w:rsidRDefault="00AB61AC">
      <w:pPr>
        <w:tabs>
          <w:tab w:val="right" w:leader="dot" w:pos="9354"/>
        </w:tabs>
        <w:spacing w:after="80" w:line="240" w:lineRule="auto"/>
        <w:ind w:left="454"/>
      </w:pPr>
      <w:r>
        <w:rPr>
          <w:sz w:val="26"/>
        </w:rPr>
        <w:t>IV bob bo‘yicha xulosalar</w:t>
      </w:r>
      <w:r>
        <w:rPr>
          <w:sz w:val="26"/>
        </w:rPr>
        <w:tab/>
        <w:t>244</w:t>
      </w:r>
    </w:p>
    <w:p w:rsidR="005603EC" w:rsidRDefault="00AB61AC">
      <w:pPr>
        <w:tabs>
          <w:tab w:val="right" w:leader="dot" w:pos="9354"/>
        </w:tabs>
        <w:spacing w:after="80" w:line="240" w:lineRule="auto"/>
      </w:pPr>
      <w:r>
        <w:rPr>
          <w:b/>
          <w:sz w:val="26"/>
        </w:rPr>
        <w:t>XULOSA</w:t>
      </w:r>
      <w:r>
        <w:rPr>
          <w:b/>
          <w:sz w:val="26"/>
        </w:rPr>
        <w:tab/>
        <w:t>247</w:t>
      </w:r>
    </w:p>
    <w:p w:rsidR="005603EC" w:rsidRDefault="00AB61AC">
      <w:pPr>
        <w:tabs>
          <w:tab w:val="right" w:leader="dot" w:pos="9354"/>
        </w:tabs>
        <w:spacing w:after="80" w:line="240" w:lineRule="auto"/>
      </w:pPr>
      <w:r>
        <w:rPr>
          <w:b/>
          <w:sz w:val="26"/>
        </w:rPr>
        <w:t>FOYDALANILGAN ADABIYOTLAR RO‘YXATI</w:t>
      </w:r>
      <w:r>
        <w:rPr>
          <w:b/>
          <w:sz w:val="26"/>
        </w:rPr>
        <w:tab/>
        <w:t>253</w:t>
      </w:r>
    </w:p>
    <w:p w:rsidR="005603EC" w:rsidRDefault="00AB61AC">
      <w:pPr>
        <w:tabs>
          <w:tab w:val="right" w:leader="dot" w:pos="9354"/>
        </w:tabs>
        <w:spacing w:after="80" w:line="240" w:lineRule="auto"/>
      </w:pPr>
      <w:r>
        <w:rPr>
          <w:b/>
          <w:sz w:val="26"/>
        </w:rPr>
        <w:t>ILOVALAR</w:t>
      </w:r>
      <w:r>
        <w:rPr>
          <w:b/>
          <w:sz w:val="26"/>
        </w:rPr>
        <w:tab/>
        <w:t>274</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xml:space="preserve">. Bunday sharoitda bank nazorati amaliyotida moliyaviy barqarorlikni Bazel III kapital va likvidlik standartlari, Moliyaviy hisobotning xalqaro standartlari (MHXS) 9 ning </w:t>
      </w:r>
      <w:r>
        <w:rPr/>
        <w:t xml:space="preserve">kutilgan kredit zarar</w:t>
      </w:r>
      <w:r>
        <w:t xml:space="preserve">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w:t>
      </w:r>
      <w:r>
        <w:rPr/>
        <w:t xml:space="preserve">kutilgan kredit zarar</w:t>
      </w:r>
      <w:r>
        <w:t xml:space="preserve">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t xml:space="preserve">ning</w:t>
      </w:r>
      <w:r>
        <w:t xml:space="preserve"> MHXS hisobotlari asosida integral indeks bo‘yicha reyting</w:t>
      </w:r>
      <w:r>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249</w:t>
      </w:r>
      <w:r>
        <w:rPr/>
        <w:t xml:space="preserve"> betni</w:t>
      </w:r>
      <w:r>
        <w:t xml:space="preserve"> tashkil etadi, unda 60 dan ortiq jadval va rasm keltirilgan, </w:t>
      </w:r>
      <w:r>
        <w:rPr/>
        <w:t xml:space="preserve">foydalanilgan adabiyotlar ro‘yxati 210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r>
      <w:r>
        <w:t xml:space="preserve">kelgusidagi beqarorlik manbaiga aylanadi. </w:t>
      </w:r>
      <w:r>
        <w:rPr/>
        <w:t xml:space="preserve">Demak, moliyaviy barqarorlik bu tushunchalarning yig‘indisi emas, balki ularning o‘zaro uyg‘unligi natijasida yuzaga keladigan sifat holatidir. Rasmda, shuningdek, moliyaviy holat muayyan sanadagi statik baho sifatida, rivojlanish esa barqarorlikning dinamik mazmuni sifatida ko‘rsatilgan.</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Ta’rifning asosiy mazmuni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Urg‘u berilgan jihat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O.I. Lavrushin, I.D. Mamonova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Bankning o‘z moliyasini va boshqa </w:t>
            </w: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lar moliyasini kengaytirilgan asosda takror ishlab chiqarishi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Resurslarning o‘sishi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O.I. Lavrushin (tahr.)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Ijtimoiy funksiya va institutsional yondashuv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G.J.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tizimining resurslarni samarali taqsimlash, risklarni baholash va boshqarish hamda shoklarni yutish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Funksiyalarni bajarish va shoklarga chidamlilik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 Mishkin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oqimining uzilishi natijasida moliya tizimi mablag‘larni samarali yo‘naltira olmay qoladigan holatning yo‘qligi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J.M. Hendrickson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moliya institutlari tashqi yordamsiz foydalanuvchilarda yuqori ishonch uyg‘otadigan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Ishonch va mustaqillik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A.V. Thakor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Sog‘lom tizim inqirozdan butunlay himoyalangan tizim emas; unda alohida banklar davlat yordamisiz bankrot bo‘lishi mumkin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sog‘lomlik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G.G. Fetisov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Muvozanat va majburiyatlarni bajarish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Larionova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tizimi stabilligi – ichki va tashqi ta’sirlarga qarshi turish, vaqt davomida barqaror muvozanat va ishonchlilikni saqlash qobiliyati; barqarorlik – undan torroq, statik tushuncha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Stabillik: muvozanat va ishonchlilik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 Houben, J. Kakes, G. Schinasi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Resurslarni samarali taqsimlash, risklarni boshqarish va shoklarni yutish qobiliyati ko‘p o‘lchovli “barqarorlik yo‘lagi” doirasida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Mezoniy chegaralar (yo‘lak)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 Sattarov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Dinamika va rivojlanish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I.G. Sadikov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va bozor mavqei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 Madaminov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Endogen va ekzogen shoklarni yutib, faoliyatni to‘xtatmasdan muvozanatni tiklash salohiyatini aks ettiruvchi dinamik xususiyat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Shoklarga bardoshlilik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N.H. Sharipova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xml:space="preserve">. </w:t>
      </w:r>
      <w:r>
        <w:rPr/>
        <w:t xml:space="preserve">I.V. Larionova esa bank tizimi stabilligini ichki va tashqi ta’sirlarga qarshi turish, vaqt davomida barqaror muvozanat va ishonchlilikni saqlash qobiliyati sifatida ta’riflab, barqarorlikni undan torroq, muayyan sanadagi statik tushuncha deb hisoblaydi</w:t>
      </w:r>
      <w:r>
        <w:rPr>
          <w:rStyle w:val="aff8"/>
        </w:rPr>
        <w:footnoteReference w:id="60"/>
      </w:r>
      <w:r>
        <w:rPr/>
        <w:t xml:space="preserve">. V.V. Ivanov</w:t>
      </w:r>
      <w:r>
        <w:t xml:space="preserve"> bank faoliyatining o‘rta va uzoq muddatli istiqboldagi barqarorligi sifatida ta’riflaydi</w:t>
      </w:r>
      <w:r>
        <w:rPr>
          <w:rStyle w:val="aff8"/>
        </w:rPr>
        <w:footnoteReference w:id="61"/>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2"/>
      </w:r>
      <w:r>
        <w:t xml:space="preserve">. Bu fikr muhim xulosaga olib keladi: me’yoriy ko‘rsatkichlar </w:t>
      </w:r>
      <w:r>
        <w:lastRenderedPageBreak/>
      </w:r>
      <w:r>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3"/>
      </w:r>
      <w:r>
        <w:t>. F.S. Mishkin esa beqarorlikdan kelib chiqib, uni axborot oqimining keskin uzilishi natijasida moliya tizimi mablag‘larni eng samarali investitsiya imkoniyatlariga yo‘naltira olmay qoladigan holat sifatida izohlaydi</w:t>
      </w:r>
      <w:r>
        <w:rPr>
          <w:rStyle w:val="aff8"/>
        </w:rPr>
        <w:footnoteReference w:id="64"/>
      </w:r>
      <w:r>
        <w:t xml:space="preserve">. J.M. Hendrickson ta’rifida esa asosiy o‘rinni ishonch egallaydi</w:t>
      </w:r>
      <w:r>
        <w:rPr/>
        <w:t xml:space="preserve">. M</w:t>
      </w:r>
      <w:r>
        <w:t xml:space="preserve">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5"/>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6"/>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7"/>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8"/>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9"/>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70"/>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1"/>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2"/>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3"/>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4"/>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r>
      <w:r>
        <w:t xml:space="preserve">kutilmagan shoklar va bozor tebranishlari yuzaga kelganda zararlarni yutib, o‘z holatini tiklay olish qobiliyati. Uchinchisi – funksional mezon, ya’ni stress sharoitida ham iqtisodiyotni kreditlash va to‘lovlarni amalga oshirish funksiyalarini yo‘qotmaslik. </w:t>
      </w:r>
      <w:r>
        <w:rPr/>
        <w:t xml:space="preserve">A. Crockett ham</w:t>
      </w:r>
      <w:r>
        <w:t xml:space="preserve">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5"/>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 xml:space="preserve">A. Crockett)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6"/>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r>
      <w:r>
        <w:t xml:space="preserve">esa uni o‘lchash imkoniyatini ko‘rsatadi. </w:t>
      </w:r>
      <w:r>
        <w:rPr/>
        <w:t xml:space="preserve">Rasmning quyi qismida esa ushbu yondashuvlarning sintezi – daraja, dinamika va muvozanatni birlashtiruvchi integral yondashuv ko‘rsatilgan bo‘lib, u tadqiqotda ishlab chiqilgan baholash metodikasiga asos qilib olindi. Ta’kidlash lozimki, aynan to‘rtinchi yondashuv Bazel qo‘mitasi</w:t>
      </w:r>
      <w:r>
        <w:t xml:space="preserve">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7"/>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8"/>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9"/>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80"/>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1"/>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2"/>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3"/>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4"/>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5"/>
      </w:r>
      <w:r>
        <w:rPr/>
        <w:t xml:space="preserve">, foiz stavkasi riski esa </w:t>
      </w:r>
      <w:r>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6"/>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7"/>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8"/>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9"/>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90"/>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1"/>
      </w:r>
      <w:r>
        <w:t xml:space="preserve">. </w:t>
      </w:r>
      <w:r>
        <w:rPr/>
        <w:t xml:space="preserve">Ushbu model likvidlik va moliyalashtirish barqarorligini</w:t>
      </w:r>
      <w:r>
        <w:t xml:space="preserve">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w:t>
      </w:r>
      <w:r>
        <w:rPr/>
        <w:t xml:space="preserve">H.P. Minskyning</w:t>
      </w:r>
      <w:r>
        <w:t xml:space="preserve">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r>
      <w:r>
        <w:t>“spekulyativ” va hatto foizlarni ham yangi qarz hisobidan to‘laydigan “Ponzi” moliyalashtirishiga siljiydi</w:t>
      </w:r>
      <w:r>
        <w:rPr>
          <w:rStyle w:val="aff8"/>
        </w:rPr>
        <w:footnoteReference w:id="92"/>
      </w:r>
      <w:r>
        <w:t xml:space="preserve">. J.M. Hendrickson ham bank inqirozining to‘rt elementi sifatida tashqi shok va optimizmni, </w:t>
      </w:r>
      <w:r>
        <w:rPr/>
        <w:t xml:space="preserve">Minsky ta’riflagan</w:t>
      </w:r>
      <w:r>
        <w:t xml:space="preserve"> kredit kengayishini, ishonchning yo‘qolishini va banklarning ommaviy inqiroziga o‘tishni ko‘rsatadi</w:t>
      </w:r>
      <w:r>
        <w:rPr>
          <w:rStyle w:val="aff8"/>
        </w:rPr>
        <w:footnoteReference w:id="93"/>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4"/>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5"/>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6"/>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7"/>
      </w:r>
      <w:r>
        <w:t xml:space="preserve">, bank faoliyatiga J.H. Boyd va S.L. Graham tomonidan </w:t>
      </w:r>
      <w:r>
        <w:lastRenderedPageBreak/>
      </w:r>
      <w:r>
        <w:t>tatbiq etilgan</w:t>
      </w:r>
      <w:r>
        <w:rPr>
          <w:rStyle w:val="aff8"/>
        </w:rPr>
        <w:footnoteReference w:id="98"/>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9"/>
      </w:r>
    </w:p>
    <w:p w:rsidR="005603EC" w:rsidRDefault="00AB61AC">
      <w:pPr>
        <w:pStyle w:val="af"/>
        <w:spacing w:after="0" w:line="360" w:lineRule="auto"/>
        <w:ind w:firstLine="709"/>
        <w:jc w:val="both"/>
      </w:pPr>
      <w:r>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100"/>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1"/>
      </w:r>
      <w:r>
        <w:t>. Keyinchalik bu yondashuv asosida T. Adrian va M. Brunnermeier taklif etgan CoVaR kabi bozor ma’lumotlariga asoslangan tizimli risk ko‘rsatkichlari ishlab chiqildi</w:t>
      </w:r>
      <w:r>
        <w:rPr>
          <w:rStyle w:val="aff8"/>
        </w:rPr>
        <w:footnoteReference w:id="102"/>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3"/>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r>
      <w:r>
        <w:t xml:space="preserve">davr hisobotlari bo‘yicha baholangan bo‘lsa, Bazel III standartlari va Moliyaviy hisobotning xalqaro standartlari (MHXS) 9 bu yondashuvni tubdan o‘zgartirdi. Xususan, MHXS 9 da zarar yuz bergandan keyin zaxira yaratish o‘rniga kredit berilgan kundanoq </w:t>
      </w:r>
      <w:r>
        <w:rPr/>
        <w:t xml:space="preserve">kutilgan kredit zarar</w:t>
      </w:r>
      <w:r>
        <w:t xml:space="preserve">larini baholab, ular uchun oldindan zaxira shakllantirish talab qilinadi</w:t>
      </w:r>
      <w:r>
        <w:rPr>
          <w:rStyle w:val="aff8"/>
        </w:rPr>
        <w:footnoteReference w:id="104"/>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Model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g‘oyasi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ko‘rsatkichi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yaratish va ommaviy mablag‘ talab qilish modeli (Diamond–Dybvig, Diamond–Rajan)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Muddatlar transformatsiyasi bankni ishonch yo‘qolishiga zaif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 aktivlar, barqaror moliyalashtirish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moliyalashtirish alohida blok sifatida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Moliyaviy beqarorlik gipotezasi (Minsky)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barqarorlik riskka moyillikni oshiradi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qarz yuki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Ko‘rsatkichlarning dinamikasi va kredit o‘sishi kuzatiladi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Kapital-bufer va tarkibiy model (Tarullo, Merton)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defoltgacha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zaxirasi regulyativ minimumga nisbatan baholanadi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Z-score modeli (Roy, Boyd–Graham)</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To‘lovga qobiliyatsizlikkacha bo‘lgan masofa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Kapital/aktivlar, ROA va uning o‘zgaruvchanligi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Buxgalteriya ma’lumotlari asosida integral baho va bashorat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Makroprudensial modellar (Borio, Adrian–Brunnermeier)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vaqt va kesim o‘lchovida to‘planadi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gepi, CoVaR, o‘zaro bog‘liqlik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 baholash uyg‘unlashtiriladi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risk modeli (Bazel III,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Zararlar yuz berishidan oldin baholanadi va qoplanadi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stress-test natijalari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Baholashga prognoz va stress elementlari kiritiladi</w:t>
            </w:r>
          </w:p>
        </w:tc>
      </w:tr>
    </w:tbl>
    <w:p w:rsidR="005603EC" w:rsidRDefault="00AB61AC">
      <w:pPr>
        <w:pStyle w:val="af"/>
        <w:spacing w:after="0" w:line="360" w:lineRule="auto"/>
        <w:ind w:firstLine="709"/>
        <w:jc w:val="both"/>
      </w:pPr>
      <w:r>
        <w:t xml:space="preserve">Jadvaldan ko‘rinib turibdiki, har bir model moliyaviy barqarorlikning muayyan bir tomonini tushuntiradi va shunga mos ravishda baholash metodikasiga o‘z talabini qo‘yadi. Likvidlik modeli likvidlik blokini, kapital-bufer modeli kapital blokini, </w:t>
      </w:r>
      <w:r>
        <w:rPr/>
        <w:t xml:space="preserve">Minsky gipotezasi dinamik tahlilni</w:t>
      </w:r>
      <w:r>
        <w:t xml:space="preserve">,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6"/>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7"/>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8"/>
      </w:r>
      <w:r>
        <w:t>. T.F. Cargill esa banklar orqali bilvosita moliyalashni G. Akerlofning “limonlar” muammosiga bozorning o‘zi topgan yechim sifatida baholaydi</w:t>
      </w:r>
      <w:r>
        <w:rPr>
          <w:rStyle w:val="aff8"/>
        </w:rPr>
        <w:footnoteReference w:id="109"/>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10"/>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1"/>
      </w:r>
      <w: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w:t>
      </w:r>
      <w:r>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2"/>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Nazariy asos</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391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Baholash metodikasi uchun xulosa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Axborot asimmetriyasi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aktivlari sifatini tashqaridan aniqlash qiyin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 shartnomasining zaifligi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Ishonch yo‘qolsa, ommaviy mablag‘ talab qilish yuz berishi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bufer funksiyasi</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kutilmagan yo‘qotishlarni qoplaydi, ammo uning narxi bor</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risk va tashqi ta’sir</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Bitta bank inqirozi butun tizimga tarqalishi mumkin</w:t>
            </w:r>
          </w:p>
        </w:tc>
        <w:tc>
          <w:tcPr>
            <w:tcW w:w="391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4"/>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5"/>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6"/>
      </w:r>
      <w:r>
        <w:t>, A.M. Karminskiyning ekonometrik modellarida esa kapitalning aktivlarga nisbati va kreditlar ulushi bank barqarorligiga optimal oraliq orqali ta’sir qilishi aniqlangan</w:t>
      </w:r>
      <w:r>
        <w:rPr>
          <w:rStyle w:val="aff8"/>
        </w:rPr>
        <w:footnoteReference w:id="117"/>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8"/>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9"/>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20"/>
      </w:r>
      <w:r>
        <w:t>. Karminskiy esa reyting sifati kutilgan va haqiqiy natijalarning mos kelishi bilan belgilanishini, ya’ni baholash metodikasining o‘zi ham tarixiy ma’lumotlar asosida tekshirilishi lozimligini ta’kidlaydi</w:t>
      </w:r>
      <w:r>
        <w:rPr>
          <w:rStyle w:val="aff8"/>
        </w:rPr>
        <w:footnoteReference w:id="121"/>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2"/>
      </w:r>
      <w:r>
        <w:t>. Lavrushin va Mamonova modellarni maqsadi, yig‘ma bahoni shakllantirish usuli, o‘rganish usuli va shaffofligi bo‘yicha tasniflaydi</w:t>
      </w:r>
      <w:r>
        <w:rPr>
          <w:rStyle w:val="aff8"/>
        </w:rPr>
        <w:footnoteReference w:id="123"/>
      </w:r>
      <w:r>
        <w:t>, M. Modina esa kredit riskini o‘lchash yondashuvlarini bir chekkasida iqtisodiy-statistik, ikkinchi chekkasida ekspert yondashuvi turgan uzluksiz shkala sifatida tasavvur qiladi</w:t>
      </w:r>
      <w:r>
        <w:rPr>
          <w:rStyle w:val="aff8"/>
        </w:rPr>
        <w:footnoteReference w:id="124"/>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Namunalar</w:t>
            </w:r>
          </w:p>
        </w:tc>
        <w:tc>
          <w:tcPr>
            <w:tcW w:w="243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Afzalliklari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Kamchiliklari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Koeffitsiyentli (normativ)</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normativlari, XVJ moliyaviy barqarorlik ko‘rsatkichlari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normativlar bilan bevosita bog‘liq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tarqoq, yagona xulosa yo‘q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Reyting (komponentli)</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CAMELS, Rossiya Bankining 4336-U ko‘rsatmasi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Kompleks, xalqaro e’tirof etilgan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natijalar yopiq, vaznlar asoslanmagan</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Risklarga yo‘naltirilgan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(Buyuk Britaniya), SREP (Yevropa Ittifoqi)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resurslarini riskka qarab taqsimlaydi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Ichki axborot va yuqori malaka talab qiladi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(ekonometrik)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(avval FIMS),</w:t>
            </w:r>
            <w:r>
              <w:rPr>
                <w:rFonts w:ascii="Times New Roman" w:hAnsi="Times New Roman" w:eastAsia="Times New Roman" w:cs="Times New Roman"/>
                <w:sz w:val="24"/>
                <w:szCs w:val="24"/>
              </w:rPr>
              <w:t xml:space="preserve"> logit va probit modellar, Z-score</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Obyektiv, bashorat kuchi o‘lchanadi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Uzoq tarix va bankrotlik holatlari talab qilinadi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indikatorlariga asoslangan</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Kredit-defolt svoplari spredlari, aksiya narxlari</w:t>
            </w:r>
          </w:p>
        </w:tc>
        <w:tc>
          <w:tcPr>
            <w:tcW w:w="243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Kelajakka yo‘naltirilgan, tezkor</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6"/>
      </w:r>
      <w:r>
        <w:t xml:space="preserve">. Koeffitsiyentli yondashuv normativlar bilan bog‘liq bo‘lsa-da, ko‘rsatkichlarni yagona bahoga keltirmaydi</w:t>
      </w:r>
      <w:r>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7"/>
      </w:r>
      <w:r>
        <w:t>. Statistik yondashuvning eng sodda va samarali vositasi bo‘lgan Z-score ko‘rsatkichi distressga uchragan banklarning 75 foizini to‘g‘ri aniqlaydi</w:t>
      </w:r>
      <w:r>
        <w:rPr>
          <w:rStyle w:val="aff8"/>
        </w:rPr>
        <w:footnoteReference w:id="128"/>
      </w:r>
      <w:r>
        <w:t>, biroq u uzoq tarixiy ma’lumotlarni talab qiladi, Karminskiy esa defoltlar ulushi taxminan 1 foiz bo‘lganda tanlanmada nomutanosiblik yuzaga kelishini ko‘rsatadi</w:t>
      </w:r>
      <w:r>
        <w:rPr>
          <w:rStyle w:val="aff8"/>
        </w:rPr>
        <w:footnoteReference w:id="129"/>
      </w:r>
      <w:r>
        <w:t>. Bozor indikatorlari faqat aksiyalari birjada savdo qilinadigan banklar uchun qo‘llanishi mumkinligi</w:t>
      </w:r>
      <w:r>
        <w:rPr>
          <w:rStyle w:val="aff8"/>
        </w:rPr>
        <w:footnoteReference w:id="130"/>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 xml:space="preserve">Integral baholashning eng munozarali masalasi ko‘rsatkichlarga vazn berishdir. Lavrushin va Mamonova vazn koeffitsiyentlarini belgilash eng </w:t>
      </w:r>
      <w:r>
        <w:rPr/>
        <w:t xml:space="preserve">subyekt</w:t>
      </w:r>
      <w:r>
        <w:t xml:space="preserve">iv masalalardan biri ekanini, ammo hozircha boshqa usul topilmaganini tan oladi</w:t>
      </w:r>
      <w:r>
        <w:rPr>
          <w:rStyle w:val="aff8"/>
        </w:rPr>
        <w:footnoteReference w:id="131"/>
      </w:r>
      <w:r>
        <w:t>, Lavrushin tahriridagi monografiyada esa Rossiyadagi to‘qqizta reyting metodikasida vaznlar ko‘pincha ekspert yo‘li bilan aniqlanishi yoki umuman tushuntirilmasligi ko‘rsatilgan</w:t>
      </w:r>
      <w:r>
        <w:rPr>
          <w:rStyle w:val="aff8"/>
        </w:rPr>
        <w:footnoteReference w:id="132"/>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3"/>
      </w:r>
      <w:r>
        <w:t>, L. Izzi, G. Oricchio va L. Vitale esa vaznlarni regressiya koeffitsiyentlaridan hisoblab, rivojlanayotgan mamlakatlar banklari uchun miqdoriy modulga 80 foiz, sifat moduliga 20 foiz vazn beradi</w:t>
      </w:r>
      <w:r>
        <w:rPr>
          <w:rStyle w:val="aff8"/>
        </w:rPr>
        <w:footnoteReference w:id="134"/>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5"/>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 xml:space="preserve">birinchi darajali kapital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(2010–2017)</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 birinchi darajali kapital ≥ 6%; konservatsiya va kontrsiklik buferlar; leverej ≥ 3%; LCR, NSFR ≥ 100%; quyi chegara 72,5% (2017)</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6"/>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7"/>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8"/>
      </w:r>
      <w:r>
        <w:t>. Xususan, Yaponiya banklarida kechiktirilgan soliq aktivlari kapitalning 15–40 foizini tashkil etgan va ular chiqarib tashlansa, tuzatilgan birinchi darajali kapital taxminan 2 foizgacha tushgan</w:t>
      </w:r>
      <w:r>
        <w:rPr>
          <w:rStyle w:val="aff8"/>
        </w:rPr>
        <w:footnoteReference w:id="139"/>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40"/>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1"/>
      </w:r>
      <w:r>
        <w:t>, Modina esa yangi kelishuvning ikki maqsadini – alohida banklarning stressga chidamliligini oshirish va protsiklikni cheklashni ajratadi</w:t>
      </w:r>
      <w:r>
        <w:rPr>
          <w:rStyle w:val="aff8"/>
        </w:rPr>
        <w:footnoteReference w:id="142"/>
      </w:r>
      <w:r>
        <w:t xml:space="preserve">. Bazel III kapital talablarini ham miqdor, ham sifat jihatidan kuchaytirdi: </w:t>
      </w:r>
      <w:r>
        <w:rPr/>
        <w:t xml:space="preserve">birinchi darajali asosiy kapital talabi 2 foizdan 4,5 foizga</w:t>
      </w:r>
      <w:r>
        <w:t xml:space="preserve">, birinchi darajali kapital talabi 4 foizdan 6 foizga oshirildi, bunga qo‘shimcha ravishda </w:t>
      </w:r>
      <w:r>
        <w:rPr/>
        <w:t xml:space="preserve">2,5 foizlik kapitalni saqlash (konservatsiya) buferi va 0–2,5 foizlik</w:t>
      </w:r>
      <w:r>
        <w:t xml:space="preserve"> kontrsiklik bufer joriy etildi</w:t>
      </w:r>
      <w:r>
        <w:rPr>
          <w:rStyle w:val="aff8"/>
        </w:rPr>
        <w:footnoteReference w:id="143"/>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4"/>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5"/>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6"/>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7"/>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8"/>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9"/>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50"/>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1"/>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Moddalar</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Koeffitsiyent, %</w:t>
            </w:r>
          </w:p>
        </w:tc>
        <w:tc>
          <w:tcPr>
            <w:tcW w:w="334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yuqori sifatli likvid aktivlar</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naqd pul, markaziy bankdagi zaxiralar, nol risk vaznli davlat qimmatli qog‘ozlari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Cheklovsiz, diskontsiz</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2A-daraja: 20 foiz risk vaznli qimmatli qog‘ozlar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40 foizidan oshmaydi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2B-daraja: korporativ obligatsiyalar, aksiyalar va boshqalar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Likvidlikni qoplash me’yori: pul chiqimi koeffitsiyentlari</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334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Sug‘urtalangan, operatsion bog‘liq</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va undan yuqori</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334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Sug‘urtalanmagan qismi</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 institutlarining operatsion bo‘lmagan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mavjud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muddati bir yildan ortiq majburiyatlar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Kamroq barqaror chakana depozitlar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Nomoliyaviy korporatsiyalarning bir yilgacha mablag‘lari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shd w:val="clear" w:color="auto" w:fill="F2F2F2"/>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Sof barqaror moliyalashtirish me’yori: talab qilinadigan barqaror moliyalashtirish</w:t>
            </w:r>
          </w:p>
        </w:tc>
        <w:tc>
          <w:tcPr>
            <w:tcW w:w="1474"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c>
          <w:tcPr>
            <w:tcW w:w="3345" w:type="dxa"/>
            <w:shd w:val="clear" w:color="auto" w:fill="F2F2F2"/>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1-daraja likvid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0–5</w:t>
            </w:r>
          </w:p>
        </w:tc>
        <w:tc>
          <w:tcPr>
            <w:tcW w:w="3345" w:type="dxa"/>
          </w:tcPr>
          <w:p w:rsidR="005603EC" w:rsidRDefault="005603E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muddatli chakana va kichik biznes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vazni 35 foizgacha bo‘lgan ipoteka kreditlari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Boshqa ishlaydigan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45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3345" w:type="dxa"/>
          </w:tcPr>
          <w:p w:rsidR="005603EC" w:rsidRDefault="005603EC">
            <w:pPr>
              <w:pStyle w:val="Compact"/>
              <w:spacing w:line="240" w:lineRule="auto"/>
              <w:rPr>
                <w:rFonts w:ascii="Times New Roman" w:hAnsi="Times New Roman" w:eastAsia="Times New Roman" w:cs="Times New Roman"/>
                <w:sz w:val="24"/>
                <w:szCs w:val="24"/>
              </w:rPr>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3"/>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4"/>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5"/>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6"/>
      </w:r>
      <w:r>
        <w:t>. N.E. Sokolinskaya bu o‘zgarishni yuzaga kelgan zararlarga asoslangan yondashuv o‘rniga prognoz yondashuvining kiritilishi deb tavsiflaydi</w:t>
      </w:r>
      <w:r>
        <w:rPr>
          <w:rStyle w:val="aff8"/>
        </w:rPr>
        <w:footnoteReference w:id="157"/>
      </w:r>
      <w:r>
        <w:t>. Standartga ko‘ra, moliyaviy aktivlar kredit sifatining o‘zgarishiga qarab uch bosqichga ajratiladi</w:t>
      </w:r>
      <w:r>
        <w:rPr>
          <w:rStyle w:val="aff8"/>
        </w:rPr>
        <w:footnoteReference w:id="158"/>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 oshgan aktivlar (30 kundan ortiq kechikish)</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qadrsizlangan aktivlar (90 kundan ortiq kechikish – defolt)</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 oshgan aktivlar (30 kundan ortiq kechikish)</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qadrsizlangan aktivlar (90 kundan ortiq kechikish – defolt)</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9"/>
      </w:r>
    </w:p>
    <w:p w:rsidR="005603EC" w:rsidRDefault="00AB61AC">
      <w:pPr>
        <w:pStyle w:val="af"/>
        <w:spacing w:after="0" w:line="360" w:lineRule="auto"/>
        <w:ind w:firstLine="709"/>
        <w:jc w:val="both"/>
      </w:pPr>
      <w:r>
        <w:t xml:space="preserve">Rasmdan ko‘rinib turibdiki, </w:t>
      </w:r>
      <w:r>
        <w:rPr/>
        <w:t xml:space="preserve">MHXS 9 kutilgan kredit zararlarini muammo yuzaga kelgandan keyin emas, balki aktiv tan olingan kundan boshlab (1-bosqichda 12 oylik) aks ettiradi, kredit riski sezilarli oshgan paytdan, ya’ni 2-bosqichdan boshlab esa butun muddat uchun zaxira talab qiladi.</w:t>
      </w:r>
      <w:r>
        <w:t xml:space="preserve"> Bu xususiyat moliyaviy barqarorlikni baholash uchun ikki jihatdan muhim. Birinchidan, u aktivlar sifati ko‘rsatkichlarini, xususan, zaxiralar bilan qoplanish darajasini ishonchliroq qiladi</w:t>
      </w:r>
      <w:r>
        <w:rPr/>
        <w:t xml:space="preserve">. Masalan, </w:t>
      </w:r>
      <w:r>
        <w:rPr/>
        <w:t xml:space="preserve">N.E. Sokolinskaya hisob-kitobiga ko‘ra, MHXS 9 ga o‘tishda garovdan olingan aktivlar defolt deb hisoblansa, bitta Rossiya banki misolida zaxiralar kredit portfelining 19,1 foiziga yetib, deyarli ikki barobar oshadi.</w:t>
      </w:r>
      <w:r>
        <w:rPr>
          <w:rStyle w:val="aff8"/>
        </w:rPr>
        <w:footnoteReference w:id="160"/>
      </w:r>
      <w:r>
        <w:t xml:space="preserve"> Ikkinchidan, milliy hisobot va MHXS bo‘yicha hisoblangan ko‘rsatkichlar farqi bankning haqiqiy holatini aniqlashda qo‘shimcha axborot manbai bo‘ladi</w:t>
      </w:r>
      <w:r>
        <w:rPr/>
        <w:t xml:space="preserve">. Jumladan, N.E. Sokolinskaya</w:t>
      </w:r>
      <w:r>
        <w:t xml:space="preserve"> keltirgan misolda bitta bank 2015-yilda milliy hisobotda 63,7 mlrd rubl zarar, MHXS bo‘yicha esa 4,35 mlrd rubl foyda ko‘rsatgan</w:t>
      </w:r>
      <w:r>
        <w:rPr>
          <w:rStyle w:val="aff8"/>
        </w:rPr>
        <w:footnoteReference w:id="161"/>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2"/>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3"/>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4"/>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5"/>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Mezon</w:t>
            </w:r>
          </w:p>
        </w:tc>
        <w:tc>
          <w:tcPr>
            <w:tcW w:w="153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w="164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maqsad</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prudensial talablar</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zararlarini to‘g‘ri aks ettirish</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Sektor barqarorligini kuzatish</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Investorlarga axborot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darajasi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va tizim</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 sektori</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Bank</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Qamraydigan bloklar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 leverej, likvidlik</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64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daromad, likvidlik, bozor riski</w:t>
            </w:r>
          </w:p>
        </w:tc>
        <w:tc>
          <w:tcPr>
            <w:tcW w:w="158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aktivlar, boshqaruv, daromad, likvidlik, bozor riski</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Biznes va moliyaviy profil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Mezoniy qiymatlar</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(minimumlar)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 (tamoyillar)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(ballar)</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Ichki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Yagona integral baho</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(1–5)</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Bor (reyting)</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Natijaning oshkoraligi</w:t>
            </w:r>
          </w:p>
        </w:tc>
        <w:tc>
          <w:tcPr>
            <w:tcW w:w="153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Normativlar ochiq</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cheklovi</w:t>
            </w:r>
          </w:p>
        </w:tc>
        <w:tc>
          <w:tcPr>
            <w:tcW w:w="153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va daromadlilikni qamramaydi</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Faqat kredit zararlari (qadrsizlanish); o‘zi baholash tizimi emas</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baho yo‘q</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Subyekt</w:t>
            </w:r>
            <w:r>
              <w:rPr>
                <w:rFonts w:ascii="Times New Roman" w:hAnsi="Times New Roman" w:eastAsia="Times New Roman" w:cs="Times New Roman"/>
                <w:sz w:val="24"/>
                <w:szCs w:val="24"/>
              </w:rPr>
              <w:t xml:space="preserve">iv, yopiq</w:t>
            </w:r>
          </w:p>
        </w:tc>
        <w:tc>
          <w:tcPr>
            <w:tcW w:w="164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Hamma banklarni qamramaydi</w:t>
            </w:r>
          </w:p>
        </w:tc>
      </w:tr>
    </w:tbl>
    <w:p w:rsidR="005603EC" w:rsidRDefault="00AB61AC">
      <w:pPr>
        <w:pStyle w:val="af"/>
        <w:spacing w:after="0" w:line="360" w:lineRule="auto"/>
        <w:ind w:firstLine="709"/>
        <w:jc w:val="both"/>
      </w:pPr>
      <w: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w:t>
      </w:r>
      <w:r>
        <w:rPr/>
        <w:t xml:space="preserve">subyekt</w:t>
      </w:r>
      <w:r>
        <w:t xml:space="preserve">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7"/>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 blok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Kapital yetarliligi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Aktivlar sifati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Daromadlilik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Likvidlik</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Bozor (valyuta)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CET1 ≥ 4,5%, jami ≥ 8% (+2,5% bufer), leverej ≥ 3%</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LCR ≥ 100%, NSFR ≥ 100%</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bozor riski uchun kapital talabi</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zarar zaxiralari orqali</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kutilgan kredit zararlari, 3 bosqichli tasnif</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zaxira xarajatlari orqali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moliyaviy barqarorlik ko‘rsatkichlari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regulyativ kapital / RWA</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muammoli kreditlar / jami kreditlar</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ROA, ROE</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likvid aktivlar / jami aktivlar</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sof ochiq valyuta pozitsiyasi / kapital</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C – kapital</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 –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E – daromadlilik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L – likvidlik</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S – bozor riskiga sezgirlik</w:t>
            </w:r>
          </w:p>
        </w:tc>
      </w:tr>
      <w:tr>
        <w:tc>
          <w:tcPr>
            <w:tcW w:type="dxa" w:w="1700"/>
            <w:vAlign w:val="center"/>
            <w:shd w:val="clear" w:color="auto" w:fill="F2F2F2"/>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Reyting agentliklari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kapitallashuv</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aktivlar sifati</w:t>
            </w:r>
          </w:p>
        </w:tc>
        <w:tc>
          <w:tcPr>
            <w:tcW w:type="dxa" w:w="1531"/>
            <w:vAlign w:val="center"/>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daromadlilik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moliyalashtirish va likvidlik</w:t>
            </w:r>
          </w:p>
        </w:tc>
        <w:tc>
          <w:tcPr>
            <w:tcW w:type="dxa" w:w="1531"/>
            <w:vAlign w:val="center"/>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xorijiy valyutadagi likvidlik</w:t>
            </w:r>
          </w:p>
        </w:tc>
      </w:tr>
      <w:tr>
        <w:tc>
          <w:tcPr>
            <w:tcW w:type="dxa" w:w="1700"/>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bahoga hissasi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9 bo‘yicha baholash</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va CAMELS ko‘rsatkichlari</w:t>
            </w:r>
          </w:p>
        </w:tc>
        <w:tc>
          <w:tcPr>
            <w:tcW w:type="dxa" w:w="1531"/>
            <w:vAlign w:val="center"/>
            <w:shd w:val="clear" w:color="auto" w:fill="DEEBF7"/>
          </w:tcPr>
          <w:p>
            <w:pPr>
              <w:spacing w:line="240" w:lineRule="auto" w:before="0" w:after="0"/>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mezonlari</w:t>
            </w:r>
          </w:p>
        </w:tc>
        <w:tc>
          <w:tcPr>
            <w:tcW w:type="dxa" w:w="1531"/>
            <w:vAlign w:val="center"/>
            <w:shd w:val="clear" w:color="auto" w:fill="DEEBF7"/>
          </w:tcPr>
          <w:p>
            <w:pPr>
              <w:spacing w:line="240" w:lineRule="auto" w:before="0" w:after="0"/>
              <w:ind w:firstLine="0"/>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9"/>
      </w:r>
      <w:r>
        <w:t>.</w:t>
      </w:r>
      <w:r>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70"/>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1"/>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Tizim (joriy etilgan yili)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Turi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xususiyatlari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CAMEL (1978–1979)</w:t>
            </w:r>
            <w:r>
              <w:rPr>
                <w:rFonts w:ascii="Times New Roman" w:hAnsi="Times New Roman" w:eastAsia="Times New Roman" w:cs="Times New Roman"/>
                <w:sz w:val="24"/>
                <w:szCs w:val="24"/>
              </w:rPr>
              <w:t xml:space="preserve">, CAMELS (1997)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SEER (1993, avval FIMS), SCOR (1995)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Buyuk Britaniya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RATE (1998–2013)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BAKIS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Koeffitsiyentlar va guruhlab tahlil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47 ko‘rsatkich, teng vaznlar; guruh o‘rtachasi bilan taqqoslash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Fransiya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ORAP (1997), SAABA (1997)</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Reyting va statistik-ekspert model</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Italiya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PATROL (1993)</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Reyting</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Niderlandiya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RAST (1999)</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Risklarni kompleks baholash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t xml:space="preserve">. Masalan,</w:t>
      </w:r>
      <w:r>
        <w:t xml:space="preserve"> 1929–1933-yillarda taxminan 10 ming bank, 2009-yilning o‘zida esa 140 bank inqirozga uchragan</w:t>
      </w:r>
      <w:r>
        <w:rPr>
          <w:rStyle w:val="aff8"/>
        </w:rPr>
        <w:footnoteReference w:id="173"/>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4"/>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t xml:space="preserve">. Bunda</w:t>
      </w:r>
      <w:r>
        <w:t xml:space="preserve"> 3, 4 yoki 5 ball olgan bank “muammoli banklar” ro‘yxatiga kiritiladi, ballarning o‘zi esa omonatchilar orasida vahima chiqarmaslik uchun oshkor qilinmaydi</w:t>
      </w:r>
      <w:r>
        <w:rPr>
          <w:rStyle w:val="aff8"/>
        </w:rPr>
        <w:footnoteReference w:id="175"/>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6"/>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7"/>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8"/>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9"/>
      </w:r>
      <w:r>
        <w:t xml:space="preserve">. </w:t>
      </w:r>
      <w:r>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80"/>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1"/>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2"/>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3"/>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4"/>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5"/>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6"/>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7"/>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8"/>
      </w:r>
      <w:r>
        <w:t xml:space="preserve">. Nihoyat, 2026-yil martida Bazel III ning yakuniy standartlarini joriy etish bo‘yicha qayta ishlangan takliflar e’lon qilindi</w:t>
      </w:r>
      <w:r>
        <w:rPr/>
        <w:t xml:space="preserve">. Bu taklif</w:t>
      </w:r>
      <w:r>
        <w:t xml:space="preserve">lar faqat eng yirik banklarga tatbiq etilishi va umumiy kapital talablarini biroz pasaytirishi kutilmoqda</w:t>
      </w:r>
      <w:r>
        <w:rPr>
          <w:rStyle w:val="aff8"/>
        </w:rPr>
        <w:footnoteReference w:id="189"/>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t xml:space="preserve">. Muallif ma’lumotiga ko‘ra,</w:t>
      </w:r>
      <w:r>
        <w:t xml:space="preserve"> 1993–2007-yillarda 3,5 trln dollardan ortiq CRA kreditlari berilgan</w:t>
      </w:r>
      <w:r>
        <w:rPr>
          <w:rStyle w:val="aff8"/>
        </w:rPr>
        <w:footnoteReference w:id="190"/>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1"/>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2"/>
      </w:r>
      <w:r>
        <w:rPr>
          <w:rStyle w:val="aff8"/>
        </w:rPr>
        <w:footnoteReference w:id="193"/>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4"/>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5"/>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6"/>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r>
      <w:r>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7"/>
      </w:r>
      <w:r>
        <w:t xml:space="preserve">. Teng vaznlar baholovchining </w:t>
      </w:r>
      <w:r>
        <w:rPr/>
        <w:t xml:space="preserve">subyekt</w:t>
      </w:r>
      <w:r>
        <w:t xml:space="preserve">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8"/>
      </w:r>
      <w:r>
        <w:t>. Italiyada esa 1993-yildan PATROL tizimi masofaviy nazorat va reyting baholash uchun ishlatiladi</w:t>
      </w:r>
      <w:r>
        <w:rPr>
          <w:rStyle w:val="aff8"/>
        </w:rPr>
        <w:footnoteReference w:id="199"/>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200"/>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t xml:space="preserve">, Yevropa bank boshqarmasi esa</w:t>
      </w:r>
      <w:r>
        <w:t xml:space="preserve"> yagona qoidalar va ma’lumotlar bazasini ta’minlaydi</w:t>
      </w:r>
      <w:r>
        <w:rPr>
          <w:rStyle w:val="aff8"/>
        </w:rPr>
        <w:footnoteReference w:id="201"/>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2"/>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3"/>
      </w:r>
      <w:r>
        <w:t>. Bu banklar har bir milliy bank sektori aktivlarining kamida 50 foizini qamrab oladi</w:t>
      </w:r>
      <w:r>
        <w:rPr>
          <w:rStyle w:val="aff8"/>
        </w:rPr>
        <w:footnoteReference w:id="204"/>
      </w:r>
      <w:r>
        <w:t>. Indikatorlar to‘rt blokka – kapital yetarliligi, aktivlar sifati, rentabellik va balans tuzilmasiga ajratilgan bo‘lib, ular asosida 11 ta risk omilini aks ettiruvchi “risklar paneli” shakllantiriladi</w:t>
      </w:r>
      <w:r>
        <w:rPr>
          <w:rStyle w:val="aff8"/>
        </w:rPr>
        <w:footnoteReference w:id="205"/>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6"/>
      </w:r>
      <w:r>
        <w:t xml:space="preserve">. </w:t>
      </w:r>
      <w:r>
        <w:rPr/>
        <w:t xml:space="preserve">E. Gualandri va M. Noera</w:t>
      </w:r>
      <w:r>
        <w:t xml:space="preserve"> eng maqbul yondashuv sifatida qat’iy bazaviy qoidani va unga qo‘shiladigan, vaziyatga qarab o‘zgartiriladigan diskretsion vositalarni ko‘rsatadi</w:t>
      </w:r>
      <w:r>
        <w:rPr>
          <w:rStyle w:val="aff8"/>
        </w:rPr>
        <w:footnoteReference w:id="207"/>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8"/>
      </w:r>
      <w:r>
        <w:t>. Buyuk Britaniyada bu standartlar 2027-yil 1-yanvardan kuchga kiradi</w:t>
      </w:r>
      <w:r>
        <w:rPr>
          <w:rStyle w:val="aff8"/>
        </w:rPr>
        <w:footnoteReference w:id="209"/>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10"/>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Yil</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Hujjat</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15-3-3/668-son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CAMEL ga asoslangan, 4 parametr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457-son xat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Asoslangan mulohaza tamoyili joriy etildi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2004</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1379-U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2008</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2005-U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guruh; 12 oylik prognoz; strategik risk bloki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4336-U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qisqa muddatli likvidlik normativi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7302-U ko‘rsatma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2"/>
      </w:r>
      <w: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w:t>
      </w:r>
      <w:r>
        <w:rPr/>
        <w:t xml:space="preserve">subyekt</w:t>
      </w:r>
      <w:r>
        <w:t xml:space="preserve">ivlikni ko‘rsatadi</w:t>
      </w:r>
      <w:r>
        <w:rPr>
          <w:rStyle w:val="aff8"/>
        </w:rPr>
        <w:footnoteReference w:id="213"/>
      </w:r>
      <w:r>
        <w:t>. Bundan tashqari, komponentlar bir-biri bilan bog‘lanmagan holda baholanadi, holbuki amalda kapital, likvidlik va aktivlar sifati o‘zaro chambarchas bog‘liq</w:t>
      </w:r>
      <w:r>
        <w:rPr>
          <w:rStyle w:val="aff8"/>
        </w:rPr>
        <w:footnoteReference w:id="214"/>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5"/>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6"/>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t xml:space="preserve">. Bundan tashqari,</w:t>
      </w:r>
      <w:r>
        <w:t xml:space="preserve"> yuqori sifatli likvid aktivlarning 19 toifasidan mahalliy bozorda faqat 4 tasi mavjud edi</w:t>
      </w:r>
      <w:r>
        <w:rPr>
          <w:rStyle w:val="aff8"/>
        </w:rPr>
        <w:footnoteReference w:id="217"/>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t xml:space="preserve">. Biroq</w:t>
      </w:r>
      <w:r>
        <w:rPr/>
        <w:t xml:space="preserve"> 2024-yil dekabrida jadval o‘zgartirilib, 60 foizlik bosqich yarim yilga surildi</w:t>
      </w:r>
      <w:r>
        <w:rPr>
          <w:rStyle w:val="aff8"/>
        </w:rPr>
        <w:footnoteReference w:id="218"/>
      </w:r>
      <w:r>
        <w:rPr/>
        <w:t xml:space="preserve">.</w:t>
      </w:r>
      <w:r>
        <w:rPr>
          <w:rStyle w:val="aff8"/>
        </w:rPr>
        <w:footnoteReference w:id="219"/>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t xml:space="preserve">. U</w:t>
      </w:r>
      <w:r>
        <w:t xml:space="preserve">ning minimal darajasi 2025-yilda 80 foiz, 2026-yil 1-yanvardan 100 foiz etib belgilandi</w:t>
      </w:r>
      <w:r>
        <w:rPr>
          <w:rStyle w:val="aff8"/>
        </w:rPr>
        <w:footnoteReference w:id="220"/>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1"/>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2"/>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3"/>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4"/>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5"/>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6"/>
      </w:r>
    </w:p>
    <w:p w:rsidR="005603EC" w:rsidRDefault="00AB61AC">
      <w:pPr>
        <w:pStyle w:val="af"/>
        <w:spacing w:after="0" w:line="360" w:lineRule="auto"/>
        <w:ind w:firstLine="709"/>
        <w:jc w:val="both"/>
      </w:pPr>
      <w:r>
        <w:lastRenderedPageBreak/>
      </w:r>
      <w:r>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7"/>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8"/>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9"/>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t xml:space="preserve">edi va 2011-yil iyunidan boshlab bu ko‘rsatkich har kuni monitoring qilingan</w:t>
      </w:r>
      <w:r>
        <w:rPr/>
        <w:t xml:space="preserve">. I</w:t>
      </w:r>
      <w:r>
        <w:t xml:space="preserve">nqirozdan keyin esa kutilgan zararlar bo‘yicha 2,5 foizlik zaxira normativi joriy etilgan</w:t>
      </w:r>
      <w:r>
        <w:rPr>
          <w:rStyle w:val="aff8"/>
        </w:rPr>
        <w:footnoteReference w:id="230"/>
      </w:r>
      <w:r>
        <w:t>. Keyinchalik, 2015-yilda kreditlarning depozitlarga nisbati bo‘yicha qat’iy cheklov qonundan chiqarilib, monitoring ko‘rsatkichiga aylantirildi</w:t>
      </w:r>
      <w:r>
        <w:rPr>
          <w:rStyle w:val="aff8"/>
        </w:rPr>
        <w:footnoteReference w:id="231"/>
      </w:r>
      <w:r>
        <w:t>. Tizimli ahamiyatli banklarga yuqori kapital talablari qo‘yilgan: asosiy kapital 8,5 foiz, birinchi darajali kapital 9,5 foiz, jami kapital 11,5 foiz</w:t>
      </w:r>
      <w:r>
        <w:rPr>
          <w:rStyle w:val="aff8"/>
        </w:rPr>
        <w:footnoteReference w:id="232"/>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3"/>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4"/>
      </w:r>
      <w:r>
        <w:t>. XVJ esa 2016-yilda Xitoy kompaniyalariga berilgan tijorat kreditlarining 15,5 foizi “risk ostida” ekanini va ular bo‘yicha potensial yo‘qotishlar YaIMning qariyb 7 foiziga teng bo‘lishi mumkinligini baholagan</w:t>
      </w:r>
      <w:r>
        <w:rPr>
          <w:rStyle w:val="aff8"/>
        </w:rPr>
        <w:footnoteReference w:id="235"/>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6"/>
      </w:r>
      <w:r>
        <w:rPr/>
        <w:t xml:space="preserve">. Biroq ularning yonida “alohida e’tibor talab qiluvchi” kreditlar ham bor bo‘lib, ularning ulushi shu yillarda 2,2–2,3 foiz atrofida saqlanib kelmoqda</w:t>
      </w:r>
      <w:r>
        <w:rPr/>
        <w:t xml:space="preserve">. Ikkala toifa qo‘shilganda es</w:t>
      </w:r>
      <w:r>
        <w:rPr/>
        <w:t xml:space="preserve">a 2025-yil oxirida muammoli aktivlar ulushi 3,7 foizga yetadi.</w:t>
      </w:r>
      <w:r>
        <w:rPr>
          <w:rStyle w:val="aff8"/>
        </w:rPr>
        <w:footnoteReference w:id="237"/>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8"/>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9"/>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40"/>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1"/>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2"/>
      </w:r>
      <w:r>
        <w:t>. Braziliyada Bazel III dan oldin kapital yetarliligiga talab 11 foiz bo‘lib, talab qilib olinguncha depozitlar bo‘yicha majburiy zaxira normasi 45 foizgacha yetgan</w:t>
      </w:r>
      <w:r>
        <w:rPr>
          <w:rStyle w:val="aff8"/>
        </w:rPr>
        <w:footnoteReference w:id="243"/>
      </w:r>
      <w:r>
        <w:t>. Rossiyada esa BRIKS mamlakatlari orasida eng yuqori muddati o‘tgan qarzlar ulushi (8,35 foiz) qayd etilgan</w:t>
      </w:r>
      <w:r>
        <w:rPr>
          <w:rStyle w:val="aff8"/>
        </w:rPr>
        <w:footnoteReference w:id="244"/>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Mamlakat / tizim</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Tajriba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 uchun xulosa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PCA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Kapitalning pog‘onali chegaralari aniq nazorat choralari bilan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AQSh – FIMS; Yevropa Ittifoqi – EBA modellari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 stress-testlar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ommaga e’lon qilinadi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Buyuk Britaniya – RATE, PRA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Nazorat intensivligi bankning tizimga ta’siri toifasi va faol aralashuv tizimining bosqichiga bog‘langan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Germaniya – BAKIS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 vaznlar, guruh o‘rtachasi bilan taqqoslash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Qiyosiy (peer) baholashni joriy etish</w:t>
            </w:r>
            <w:r>
              <w:rPr>
                <w:rFonts w:ascii="Times New Roman" w:hAnsi="Times New Roman" w:eastAsia="Times New Roman" w:cs="Times New Roman"/>
                <w:sz w:val="24"/>
                <w:szCs w:val="24"/>
              </w:rPr>
              <w:t xml:space="preserve">, kredit riskiga ortiqcha urg‘u bermaslik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EBA KRI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ma’lumotlar bazasi, risklar paneli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Banklar ko‘rsatkichlarini ochiq e’lon qilish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Yevropa Ittifoqi – ESRB</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Qat’iy baza va diskretsion makroprudensial vositalar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 va makroprudensial baholashni uyg‘unlashtirish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Rossiya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1–4 ballik tizim; dinamika va prognoz yo‘qligi tanqid qilingan</w:t>
            </w:r>
            <w:r>
              <w:rPr>
                <w:rFonts w:ascii="Times New Roman" w:hAnsi="Times New Roman" w:eastAsia="Times New Roman" w:cs="Times New Roman"/>
                <w:sz w:val="24"/>
                <w:szCs w:val="24"/>
              </w:rPr>
              <w:t xml:space="preserve">; 2025-yildan tizimli banklar uchun Bazel LCR o‘rniga milliy normativ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 vaznli integral baholashga dinamik va prognoz elementlarini qo‘shish</w:t>
            </w:r>
            <w:r>
              <w:rPr>
                <w:rFonts w:ascii="Times New Roman" w:hAnsi="Times New Roman" w:eastAsia="Times New Roman" w:cs="Times New Roman"/>
                <w:sz w:val="24"/>
                <w:szCs w:val="24"/>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Xitoy</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Rasmiy NPL bilan haqiqiy risk o‘rtasida katta tafovut</w:t>
            </w:r>
            <w:r>
              <w:rPr>
                <w:rFonts w:ascii="Times New Roman" w:hAnsi="Times New Roman" w:eastAsia="Times New Roman" w:cs="Times New Roman"/>
                <w:sz w:val="24"/>
                <w:szCs w:val="24"/>
              </w:rPr>
              <w:t xml:space="preserve">; 2024-yildan banklar hajmiga qarab proporsional talablar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MHXS 9 bo‘yicha va mustaqil baholash; davlat banklariga alohida e’tibor</w:t>
            </w:r>
            <w:r>
              <w:rPr>
                <w:rFonts w:ascii="Times New Roman" w:hAnsi="Times New Roman" w:eastAsia="Times New Roman" w:cs="Times New Roman"/>
                <w:sz w:val="24"/>
                <w:szCs w:val="24"/>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6"/>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7"/>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8"/>
      </w:r>
      <w:r>
        <w:t>. Shu bilan Bazel III ning makroprudensial elementlari – kapital buferlari ham joriy etildi.</w:t>
      </w:r>
    </w:p>
    <w:p w:rsidR="005603EC" w:rsidRDefault="00AB61AC">
      <w:pPr>
        <w:pStyle w:val="FirstParagraph"/>
        <w:spacing w:after="0" w:line="360" w:lineRule="auto"/>
        <w:ind w:firstLine="709"/>
        <w:jc w:val="both"/>
      </w:pPr>
      <w:r>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9"/>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5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Bazel III minimumi</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Izoh</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8% (2025-yilgacha); ≥ 4,5%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 (2025-yilgacha); ≥ 6%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6%</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13% (2025-yilgacha); ≥ 8% + buferlar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Leverej koeffitsiyenti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6% (2025-yilgacha); ≥ 3% (2026-yildan)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2026-yildan Bazel III minimumiga tenglashtirildi</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saqlash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(CET1 hisobidan)</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 (2025-yilgacha – 3%, I darajali kapital tarkibida)</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Kontrsiklik bufer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2026-yil 1-yanvardan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ahamiyatli banklar buferi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(G-SIB)</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ta bank uchun</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2018-yildan to‘liq</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100% (2025-yil 23-maygacha)</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jami aktivlar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prudensial me’yor</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Joriy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Lahzali likvidlik</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1"/>
      </w:r>
      <w:r>
        <w:rPr/>
        <w:t>, 2026-yildan amal qiladigan talablar va buferlar esa Markaziy bankning moliyaviy barqarorlik sharhi bo‘yicha keltirildi</w:t>
      </w:r>
      <w:r>
        <w:rPr>
          <w:rStyle w:val="aff8"/>
        </w:rPr>
        <w:footnoteReference w:id="252"/>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3"/>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4"/>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5"/>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6"/>
      </w:r>
      <w:r>
        <w:t xml:space="preserve">. Yo‘l xaritasida ham avtomatik reyting tuzatishlarini muntazam tekshirish va ularning asoslanganligini ta’minlash uchun alohida “sifat nazorati” bo‘linmasini tashkil etish ko‘zda tutilgani bu muammo hali </w:t>
      </w:r>
      <w:r>
        <w:rPr/>
        <w:t xml:space="preserve">ham dolzarb ekan</w:t>
      </w:r>
      <w:r>
        <w:t xml:space="preserve">ini ko‘rsatadi</w:t>
      </w:r>
      <w:r>
        <w:rPr>
          <w:rStyle w:val="aff8"/>
        </w:rPr>
        <w:footnoteReference w:id="257"/>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8"/>
      </w:r>
      <w:r>
        <w:t xml:space="preserve">. 2023-yildan boshlab tizimli ahamiyatga molik banklar har yili aniqlanadi</w:t>
      </w:r>
      <w:r>
        <w:rPr/>
        <w:t xml:space="preserve">. Xususan,</w:t>
      </w:r>
      <w:r>
        <w:t xml:space="preserve"> 2026-yil uchun ro‘yxatga yetti bank – O‘zmilliybank, Agrobank, O‘zsanoatqurilishbank, Xalq banki, Ipoteka-bank, Kapitalbank va Asakabank kiritilgan</w:t>
      </w:r>
      <w:r>
        <w:rPr>
          <w:rStyle w:val="aff8"/>
        </w:rPr>
        <w:footnoteReference w:id="259"/>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60"/>
      </w:r>
      <w:r>
        <w:rPr/>
        <w:t xml:space="preserve">, 2025-yil oxirida esa 18,3 foizga yetgan</w:t>
      </w:r>
      <w:r>
        <w:lastRenderedPageBreak/>
      </w:r>
      <w:r>
        <w:rPr>
          <w:rStyle w:val="aff8"/>
        </w:rPr>
        <w:footnoteReference w:id="261"/>
      </w:r>
      <w:r>
        <w:t xml:space="preserve">. </w:t>
      </w:r>
      <w:r>
        <w:rPr/>
        <w:t xml:space="preserve">Rasmiy muammoli kreditlar ulushi ham</w:t>
      </w:r>
      <w:r>
        <w:t xml:space="preserve"> 2021-yil oxiridagi 5,2 foizdan 2025-yil oxirida 3,0 foizgacha kamaygan</w:t>
      </w:r>
      <w:r>
        <w:rPr>
          <w:rStyle w:val="aff8"/>
        </w:rPr>
        <w:footnoteReference w:id="262"/>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Soha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talab</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O‘zbekistondagi holat (FSAP)</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chora</w:t>
            </w:r>
          </w:p>
        </w:tc>
        <w:tc>
          <w:tcPr>
            <w:tcW w:w="0" w:type="auto"/>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Muddat</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ta’rifi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instrumentlari yo‘qotishni qoplash qobiliyatiga ega bo‘lishi kerak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va II darajali kapital tarkibi va mezonlarini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Risk bo‘yicha tortilgan aktivlar</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metodikasi bo‘yicha kredit, operatsion va bozor risklarini hisoblash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jihatlarda Bazel metodikasidan chetlanish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kredit, operatsion va bozor risklarini hisoblash tartibini takomillashtirish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Saqlash, kontrsiklik va tizimli banklar buferlari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 aniqlangan, ammo ularga bufer qo‘llanmagan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Uchala bufer joriy etildi (2025–2026)</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2025–2026-y.</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2-ustun (ICAAP, SREP)</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talabi bank risk profiliga moslashtiriladi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2-ustun metodikasi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Tizimli banklarda ICAAP ni majburiy joriy etish; foiz riski asosida 2-ustunni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2026–2028-y.; ICAAP – 2027-y. III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va restrukturizatsiya qilingan aktivlarning Bazel ta’riflari; MHXS 9</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Aktivlar sifati to‘g‘risida hisobotlarda kamsitib ko‘rsatish holatlari, </w:t>
            </w:r>
            <w:r>
              <w:rPr>
                <w:rFonts w:ascii="Times New Roman" w:hAnsi="Times New Roman" w:eastAsia="Times New Roman" w:cs="Times New Roman"/>
                <w:sz w:val="24"/>
                <w:szCs w:val="24"/>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 ta’rifini kengaytirish, MHXS 9 ning 3-bosqichini to‘liq qamrash, “forborne exposures” ta’rifini joriy etish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 Bazel III ga to‘liq mos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Ayrim elementlar va koeffitsiyentlar Bazel III dan farq qiladi</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va NSFR elementlarini to‘liq moslashtirish, 2026-yil 1-yanvardan monitoring</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3-ustun (oshkoralik)</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Moliyaviy va nazorat hisobotlarini oshkor qilish bo‘yicha minimal talablar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Minimal talablar belgilanmagan</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 bo‘yicha minimal talablar nizomini ishlab chiqish</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Konsolidatsiyalangan nazorat</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guruhlari, shu jumladan nobank ona kompaniyalar ustidan nazorat</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Huquqiy asos to‘liq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Qonunga o‘zgartirish; konsolidatsiyalangan nazorat nizomi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2027-y. II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aralashuv</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va tezkor tuzatuvchi choralar</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Mavjud emas</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tizimi (EWS) va tezkor tuzatuvchi choralar (PCA) tizimini joriy etish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2026-y. I chorak – 2027-y. I chorak</w:t>
            </w:r>
          </w:p>
        </w:tc>
      </w:tr>
      <w:tr w:rsidR="005603EC" w:rsidTr="005603EC">
        <w:trPr>
          <w:cantSplit/>
        </w:trPr>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sanatsiya qilish</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rejimi, sanatsiya rejalari va jamg‘armasi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Shakllanish bosqichida</w:t>
            </w:r>
          </w:p>
        </w:tc>
        <w:tc>
          <w:tcPr>
            <w:tcW w:w="0" w:type="auto"/>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Sanatsiya tizimini yaratish; tizimli banklar uchun birinchi sanatsiya rejalari</w:t>
            </w:r>
          </w:p>
        </w:tc>
        <w:tc>
          <w:tcPr>
            <w:tcW w:w="0" w:type="auto"/>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t xml:space="preserve">. B</w:t>
      </w:r>
      <w:r>
        <w:t xml:space="preserve">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t xml:space="preserve">. Shu sababli</w:t>
      </w:r>
      <w:r>
        <w:t xml:space="preserve">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80"/>
      </w:r>
      <w:r>
        <w:rPr>
          <w:rStyle w:val="aff8"/>
        </w:rPr>
        <w:footnoteReference w:id="281"/>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asosiy kapital (CET1) monandligi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darajali kapitalning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jami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davlat ulushi mavjud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shundan, boshqa banklarda</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Maxsus zaxiralarning muammoli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Zaxiralar chegirilgan muammoli kreditlarning kapitalga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rentabelligi (soliq to‘lagunga qadar)</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rentabelligi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 va moliyalashtirish tuzilmasi</w:t>
            </w: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c>
          <w:tcPr>
            <w:tcW w:w="1179" w:type="dxa"/>
          </w:tcPr>
          <w:p w:rsidR="005603EC" w:rsidRDefault="005603EC">
            <w:pPr>
              <w:pStyle w:val="Compact"/>
              <w:spacing w:line="240" w:lineRule="auto"/>
              <w:rPr>
                <w:rFonts w:ascii="Times New Roman" w:hAnsi="Times New Roman" w:eastAsia="Times New Roman" w:cs="Times New Roman"/>
                <w:sz w:val="24"/>
                <w:szCs w:val="24"/>
              </w:rPr>
            </w:pP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aktivlarning jami aktivlarga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Mijozlar depozitlarining jami kreditlarga nisbati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Xorijiy valyutadagi kreditlar ulushi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rPr/>
        <w:t xml:space="preserve">Rasmda</w:t>
      </w:r>
      <w:r>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r>
      <w:r>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w:t>
      </w:r>
      <w:r>
        <w:rPr/>
        <w:t xml:space="preserve">Soliq to‘lagunga qadar foyda bo‘yicha aktivlar rentabelligi 2021-yilda 1,3 foiz, sof foyda bo‘yicha kapital rentabelligi esa 6,1 foiz bo‘lgan bo‘lsa</w:t>
      </w:r>
      <w:r>
        <w:t xml:space="preserve">, 2022–2023-yillarda ular mos ravishda 2,5–2,6 va 13,3–14,2 foizgacha oshgan. 2024-yilda kredit zararlari va </w:t>
      </w:r>
      <w:r>
        <w:rPr/>
        <w:t xml:space="preserve">foizsiz xarajatlarning</w:t>
      </w:r>
      <w:r>
        <w:t xml:space="preserve">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8"/>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w:t>
      </w:r>
      <w:r>
        <w:rPr/>
        <w:t xml:space="preserve">3-bosqich kreditlari ulushi 7,5 foizni</w:t>
      </w:r>
      <w:r>
        <w:rPr/>
        <w:t xml:space="preserve">, 2-bosqich kreditlari ulushi esa 35,7 foizni tashkil etgan</w:t>
      </w:r>
      <w:r>
        <w:rPr>
          <w:rStyle w:val="aff8"/>
        </w:rPr>
        <w:footnoteReference w:id="312"/>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3"/>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w:t>
      </w:r>
      <w:r>
        <w:rPr/>
        <w:t xml:space="preserve">Kapital monandligi “O‘zsanoatqurilishbank” ATB nikiga nisbatan aksariyat yillarda yuqoriroq bo‘lsa-da, keskin tebranadi</w:t>
      </w:r>
      <w:r>
        <w:rPr/>
        <w:t xml:space="preserve">: 2021-yilda 13,8 foiz bilan minimum chegarasida bo‘lgan ko‘rsatkich 2022-yilda 20,7 foizga ko‘tarilgan, 2024-yilda 15,4 foizgacha tushib, 2025-yilda yana 18,5 foizga yetgan. Bu tebranishlarning sababi kapital manbalari</w:t>
      </w:r>
      <w:r>
        <w:rPr/>
        <w:t xml:space="preserve"> bilan bog‘liq. Xususan,</w:t>
      </w:r>
      <w:r>
        <w:rPr/>
        <w:t xml:space="preserve"> bankning xususiy kapitali 2022-yilda 2,3 trln so‘mdan 3,6 trln so‘mga oshgan, holbuki shu yili bank atigi 21,3 mlrd so‘m sof foyda olgan</w:t>
      </w:r>
      <w:r>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5"/>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6"/>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Jami aktivlar, trln so‘m</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Regulyativ kapital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 darajali asosiy kapital (CET1) monandligi,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Muammoli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Substandart kreditlar ulushi,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ROA,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ROE,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LCR,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226,8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NSFR,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108,0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Kreditlar / depozitlar,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8"/>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vAlign w:val="center"/>
          </w:tcPr>
          <w:p w:rsidR="004069DA" w:rsidRDefault="004069DA">
            <w:pPr>
              <w:jc w:val="center"/>
              <w:rPr>
                <w:rFonts w:ascii="Times New Roman" w:hAnsi="Times New Roman" w:eastAsia="Times New Roman" w:cs="Times New Roman"/>
                <w:sz w:val="24"/>
                <w:szCs w:val="24"/>
              </w:rPr>
            </w:pP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41" w:type="dxa"/>
            <w:vAlign w:val="center"/>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5B9BD5"/>
                <w:sz w:val="24"/>
                <w:szCs w:val="24"/>
              </w:rPr>
              <w:t xml:space="preserve">━ ━ </w:t>
            </w:r>
            <w:r>
              <w:rPr>
                <w:rFonts w:ascii="Times New Roman" w:hAnsi="Times New Roman" w:eastAsia="Times New Roman" w:cs="Times New Roman"/>
                <w:b/>
                <w:sz w:val="24"/>
                <w:szCs w:val="24"/>
              </w:rPr>
              <w:t>SQB: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1F4E79"/>
                <w:sz w:val="24"/>
                <w:szCs w:val="24"/>
              </w:rPr>
              <w:t xml:space="preserve">━━━ </w:t>
            </w:r>
            <w:r>
              <w:rPr>
                <w:rFonts w:ascii="Times New Roman" w:hAnsi="Times New Roman" w:eastAsia="Times New Roman" w:cs="Times New Roman"/>
                <w:b/>
                <w:sz w:val="24"/>
                <w:szCs w:val="24"/>
              </w:rPr>
              <w:t>SQB: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 </w:t>
            </w:r>
            <w:r>
              <w:rPr>
                <w:rFonts w:ascii="Times New Roman" w:hAnsi="Times New Roman" w:eastAsia="Times New Roman" w:cs="Times New Roman"/>
                <w:b/>
                <w:sz w:val="24"/>
                <w:szCs w:val="24"/>
              </w:rPr>
              <w:t>MKB: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4,8</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4,4</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375623"/>
                <w:sz w:val="24"/>
                <w:szCs w:val="24"/>
              </w:rPr>
              <w:t xml:space="preserve">━━━ </w:t>
            </w:r>
            <w:r>
              <w:rPr>
                <w:rFonts w:ascii="Times New Roman" w:hAnsi="Times New Roman" w:eastAsia="Times New Roman" w:cs="Times New Roman"/>
                <w:b/>
                <w:sz w:val="24"/>
                <w:szCs w:val="24"/>
              </w:rPr>
              <w:t>MKB: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17,4</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13,5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16,6</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15,2</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12,3</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ED7D31"/>
                <w:sz w:val="24"/>
                <w:szCs w:val="24"/>
              </w:rPr>
              <w:t xml:space="preserve">━ ━ </w:t>
            </w:r>
            <w:r>
              <w:rPr>
                <w:rFonts w:ascii="Times New Roman" w:hAnsi="Times New Roman" w:eastAsia="Times New Roman" w:cs="Times New Roman"/>
                <w:b/>
                <w:sz w:val="24"/>
                <w:szCs w:val="24"/>
              </w:rPr>
              <w:t>Aloqabank: rasmiy muammoli</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w:t>
            </w:r>
          </w:p>
        </w:tc>
      </w:tr>
      <w:tr w:rsidR="004069DA">
        <w:trPr>
          <w:jc w:val="center"/>
        </w:trPr>
        <w:tc>
          <w:tcPr>
            <w:tcW w:w="3555" w:type="dxa"/>
          </w:tcPr>
          <w:p w:rsidR="004069DA"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color w:val="C00000"/>
                <w:sz w:val="24"/>
                <w:szCs w:val="24"/>
              </w:rPr>
              <w:t xml:space="preserve">━━━ </w:t>
            </w:r>
            <w:r>
              <w:rPr>
                <w:rFonts w:ascii="Times New Roman" w:hAnsi="Times New Roman" w:eastAsia="Times New Roman" w:cs="Times New Roman"/>
                <w:b/>
                <w:sz w:val="24"/>
                <w:szCs w:val="24"/>
              </w:rPr>
              <w:t>Aloqabank: 3-bosqich (MHXS)</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10,0</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9,9</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7,5</w:t>
            </w:r>
          </w:p>
        </w:tc>
        <w:tc>
          <w:tcPr>
            <w:tcW w:w="1141" w:type="dxa"/>
          </w:tcPr>
          <w:p w:rsidR="004069DA"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9"/>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20"/>
      </w:r>
      <w:r>
        <w:rPr>
          <w:rStyle w:val="aff8"/>
        </w:rPr>
        <w:footnoteReference w:id="321"/>
      </w:r>
      <w:r>
        <w:t>. Bundan ham muhimi, bankda 2-bosqich, ya’ni kredit riski sezilarli oshgan kreditlar ulushi 2023-yildagi 15,8 foizdan 2024-yilda 27,1 foizga, 2025-yilda esa 35,7 foizga ko‘tarilgan</w:t>
      </w:r>
      <w:r>
        <w:rPr>
          <w:rStyle w:val="aff8"/>
        </w:rPr>
        <w:footnoteReference w:id="32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3"/>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4"/>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5"/>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9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tizimi</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“O‘zsanoatqurilishbank”</w:t>
            </w:r>
          </w:p>
        </w:tc>
        <w:tc>
          <w:tcPr>
            <w:tcW w:w="10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“Mikrokreditbank”</w:t>
            </w:r>
          </w:p>
        </w:tc>
        <w:tc>
          <w:tcPr>
            <w:tcW w:w="10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c>
          <w:tcPr>
            <w:tcW w:w="15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Xalqaro mezon</w:t>
            </w:r>
          </w:p>
        </w:tc>
        <w:tc>
          <w:tcPr>
            <w:tcW w:w="189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Baho</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w:t>
            </w:r>
          </w:p>
        </w:tc>
        <w:tc>
          <w:tcPr>
            <w:tcW w:w="15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10,5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r>
            <w:r>
              <w:rPr>
                <w:rFonts w:ascii="Times New Roman" w:hAnsi="Times New Roman" w:eastAsia="Times New Roman" w:cs="Times New Roman"/>
                <w:sz w:val="24"/>
                <w:szCs w:val="24"/>
              </w:rPr>
              <w:t xml:space="preserve">I darajali asosiy kapital (CET1) monandligi,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 (Bazel III, bufer bilan)</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SQB va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 (erta ogohlantirish)</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Rasmiy jihatdan qoniqarli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 (2023)</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5</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va muammoli kreditlar,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&lt; 10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zaif</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&gt; 1 (CAMELS 1-reyting)</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Tizim va SQB yuqori, MK va Aloqabank past</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LCR,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231,9</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142,0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Yuqori</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NSFR,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119,9</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113,0</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103,0</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 (Bazel III)</w:t>
            </w:r>
          </w:p>
        </w:tc>
        <w:tc>
          <w:tcPr>
            <w:tcW w:w="189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Yetarli, Aloqabank da zaxira kichik</w:t>
            </w:r>
          </w:p>
        </w:tc>
      </w:tr>
      <w:tr w:rsidR="005603EC" w:rsidTr="005603EC">
        <w:trPr>
          <w:cantSplit/>
        </w:trPr>
        <w:tc>
          <w:tcPr>
            <w:tcW w:w="190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9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w:t>
            </w:r>
          </w:p>
        </w:tc>
        <w:tc>
          <w:tcPr>
            <w:tcW w:w="10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w:t>
            </w:r>
          </w:p>
        </w:tc>
        <w:tc>
          <w:tcPr>
            <w:tcW w:w="10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w:t>
            </w:r>
          </w:p>
        </w:tc>
        <w:tc>
          <w:tcPr>
            <w:tcW w:w="15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189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t xml:space="preserve">, chunki</w:t>
      </w:r>
      <w:r>
        <w:t xml:space="preserve">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Belgi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prudensial hisobot</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bo‘yicha hisobot</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Ko‘rsatkichlarga ta’siri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doirasi</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bank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Bank guruhi (sho‘ba korxonalari bo‘lsa – konsolidatsiyalangan), aks holda alohida bank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kapital va foyda tarkibi o‘zgaradi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Kreditlarni tasniflash asosi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toifa: standart, substandart, qoniqarsiz, shubhali, umidsiz; asosiy mezon – muddati o‘tgan kunlar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Uch bosqich: kredit riski sezilarli oshmagan 1-bosqich,</w:t>
            </w:r>
            <w:r>
              <w:rPr>
                <w:rFonts w:ascii="Times New Roman" w:hAnsi="Times New Roman" w:eastAsia="Times New Roman" w:cs="Times New Roman"/>
                <w:sz w:val="24"/>
                <w:szCs w:val="24"/>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MHXS bo‘yicha yuqori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 shakllantirish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Toifa bo‘yicha qat’iy stavkalar: 1, 10, 25, 50 va 100 foiz</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Kutilgan kredit zararlari: defolt ehtimoli, defolt holatidagi yo‘qotish va riskdagi summa asosida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stavkasidan past stavkadagi kreditlar va resurslar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Nominal qiymatda aks ettiriladi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Haqqoniy qiymatda tan olinadi, farq dastlabki tan olishdagi foyda yoki zarar sifatida ko‘rsatiladi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buxgalteriya hisobi asosida hisoblanadi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Hisoblanmaydi; izohlarda milliy me’yorlar bo‘yicha hisoblangan qiymat oshkor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bo‘yicha kapital farqi kapital monandligida aks etmaydi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muddati va oshkoralik</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Yillik, auditorlik xulosasi bilan, olti oy kechikib e’lon qilinadi;</w:t>
            </w:r>
            <w:r>
              <w:rPr>
                <w:rFonts w:ascii="Times New Roman" w:hAnsi="Times New Roman" w:eastAsia="Times New Roman" w:cs="Times New Roman"/>
                <w:sz w:val="24"/>
                <w:szCs w:val="24"/>
              </w:rPr>
              <w:t xml:space="preserve"> bosqichlar, garov va risklar bo‘yicha batafsil izohlar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1,7–4,9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13–18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 xml:space="preserve">Tafovut: 1–3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1,7–4,9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13–18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 xml:space="preserve">Tafovut: 1–3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t xml:space="preserve">NPLtuz = (NPL / Lmilliy) × Kykr,  (2.3)</w:t>
      </w:r>
    </w:p>
    <w:p w:rsidR="005603EC" w:rsidRDefault="00AB61AC">
      <w:pPr>
        <w:pStyle w:val="af"/>
        <w:spacing w:after="0" w:line="360" w:lineRule="auto"/>
        <w:ind w:firstLine="709"/>
        <w:jc w:val="both"/>
      </w:pPr>
      <w:r>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t xml:space="preserve">. Bunday davrlar</w:t>
      </w:r>
      <w:r>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56 511,3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64 263,8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74 634,4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87 597,0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102 438,7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55 731,9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63 189,3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73 293,3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84 800,2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97 184,4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7 700,9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7 828,1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8 728,4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10 025,4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6 944,8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7 581,2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8 439,9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9 352,8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1 303,2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1 115,0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 kreditlar,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 6,2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 4,8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 20,4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 14,7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 15,8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 27,1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 35,7</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9"/>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w:t>
      </w:r>
      <w:r>
        <w:rPr/>
        <w:t xml:space="preserve">2,77–3,28</w:t>
      </w:r>
      <w:r>
        <w:t xml:space="preserve"> oralig‘ida yuqori darajada saqlangan, uning eng yuqori qiymati esa 2024-yilga to‘g‘ri kelgan</w:t>
      </w:r>
      <w:r>
        <w:rPr>
          <w:rStyle w:val="aff8"/>
        </w:rPr>
        <w:footnoteReference w:id="352"/>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13 483,4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16 782,5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19 061,5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23 542,5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30 728,8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12 802,3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16 521,3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18 244,1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23 851,4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30 969,3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2 321,1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3 643,9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3 933,6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3 550,6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5 739,2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2 291,6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3 650,9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3 578,1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4 101,3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6 270,8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−1 703,8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−471,2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 17,4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 13,5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 16,6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 15,2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12,3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2,83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60"/>
      </w:r>
      <w:r>
        <w:rPr/>
        <w:t>, 2709-son nizomning 2025-yil 23-maygacha amal qilgan tahririda (54-band) ham regulyativ kapital belgilangan edi, bankning 2025-yil 30-dekabr holatidagi prudensial hisobot shaklida esa xususiy kapital ko‘rsatilgan</w:t>
      </w:r>
      <w:r>
        <w:rPr>
          <w:rStyle w:val="aff8"/>
        </w:rPr>
        <w:footnoteReference w:id="361"/>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2"/>
      </w:r>
      <w:r>
        <w:rPr/>
        <w:t>, “yo‘l xaritasi”ga ko‘ra esa ular Bazel III ga to‘liq moslashtirilib, 2026-yil 1-yanvardan monitoring qilinadi</w:t>
      </w:r>
      <w:r>
        <w:rPr>
          <w:rStyle w:val="aff8"/>
        </w:rPr>
        <w:footnoteReference w:id="363"/>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Milliy hisobot va metodika</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MHXS va Bazel III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Tafovut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(3-bosqich)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+4,95 p.p. (2,96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(2-bosqich)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+17,22 p.p. (1,93 barobar)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Kredit zaxiralari,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2 947,5</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4 250,9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+44,2%</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1 880,1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1 543,8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8,87</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−1,34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12,66</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Regulyativ kapital monandligi,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p.p.</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barqaror moliyalashtirish me’yori,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122,2</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124,8</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+2,6 p.p. (metodika +5,4; hisobot −2,8)</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Banklardagi mablag‘larning yuqori likvid aktivlardagi ulushi,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bo‘yicha yuqori likvid aktiv emas</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Likvidlikni qoplash koeffitsiyenti, %</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222,9</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−68,8 p.p. (banklardagi mablag‘lar yuqori likvid aktivlardan chiqarilganda)</w:t>
            </w:r>
          </w:p>
        </w:tc>
      </w:tr>
    </w:tbl>
    <w:p w:rsidR="005603EC" w:rsidRDefault="00AB61AC">
      <w:pPr>
        <w:pStyle w:val="af"/>
        <w:spacing w:after="0" w:line="360" w:lineRule="auto"/>
        <w:ind w:firstLine="709"/>
        <w:jc w:val="both"/>
      </w:pPr>
      <w:r>
        <w:rPr>
          <w:i/>
          <w:iCs/>
        </w:rPr>
        <w:t xml:space="preserve">Izoh: kapital monandligi ko‘rsatkichlari Markaziy bank metodikasi bo‘yicha MHXS ma’lumotlari asosida qayta hisoblandi; NSFR va LCR – Bazel III metodikasi bo‘yicha.</w:t>
      </w:r>
    </w:p>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6"/>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8"/>
      </w:r>
      <w:r>
        <w:rPr/>
        <w:t xml:space="preserve"> va auditdan o‘tgan MHXS bo‘yicha konsolidatsiyalangan moliyaviy hisobotlari</w:t>
      </w:r>
      <w:r>
        <w:rPr>
          <w:rStyle w:val="aff8"/>
        </w:rPr>
        <w:footnoteReference w:id="369"/>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 xml:space="preserve">“Aloqabank” ATB ning asosiy ko‘rsatkichlari: milliy hisobot va MHXS, 2021–2025-yillar</w:t>
      </w:r>
      <w:r>
        <w:rPr>
          <w:rStyle w:val="aff8"/>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117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Jami aktivlar,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12 638,5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16 083,6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16 044,7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23 251,3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31 527,5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12 566,0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15 866,3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15 778,2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22 669,2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31 344,2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Xususiy kapital,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1 673,5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2 643,2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3 082,2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3 846,9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1 604,3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1 799,0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2 397,7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3 099,7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3 491,0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Tafovut,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foyda (zarar), mlrd so‘m: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252,9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(milliy) / 3-bosqich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 / 10,0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9,9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6,1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 7,5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7,2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Substandart kreditlar (milliy) / 2-bosqich (MHXS), %</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 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9,5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 / 17,7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 12,6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 / 6,6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Birinchi darajali asosiy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9,38</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10,09</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11,53</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9,76</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Regulyativ kapital monandligi, %: milliy</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16,45</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asosida qayta hisoblangan</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12,54</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15,07</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14,02</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4,90</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w:t>
            </w:r>
          </w:p>
        </w:tc>
        <w:tc>
          <w:tcPr>
            <w:tcW w:w="1179"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r>
    </w:tbl>
    <w:p w:rsidR="005603EC" w:rsidRDefault="00AB61AC">
      <w:pPr>
        <w:pStyle w:val="af"/>
        <w:spacing w:after="0" w:line="360" w:lineRule="auto"/>
        <w:ind w:firstLine="709"/>
        <w:jc w:val="both"/>
      </w:pPr>
      <w:r>
        <w:rPr/>
        <w:t xml:space="preserve">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w:t>
      </w:r>
      <w:r>
        <w:rPr/>
        <w:t xml:space="preserve">Bunga, birinchidan, bozor stavkasidan past stavkadagi joylashtirishlarni dastlabki tan olishdan ko‘rilgan 283,7 mlrd so‘m zarar (shu jumladan “O‘zbektelekom” AJ ga joylashtirilgan mablag‘lar bo‘yicha 260,5 mlrd so‘m), ikkinchidan, kutilgan kredit zararlari zaxirasining 2023-yil yakunidagi 156,2 mlrd so‘mdan 2025-yil yakunida 513,1 mlrd so‘mgacha oshishi sabab bo‘lgan.</w:t>
      </w:r>
      <w:r>
        <w:rPr/>
        <w:t xml:space="preserve">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1"/>
      </w:r>
      <w:r>
        <w:rPr/>
        <w:t xml:space="preserve">. Demak, uchinchi bank misolida ham milliy hisobot asosidagi baholash aktivlar sifati va daromadlilikni oshirib, likvidlik buferining sifatini esa haqiqiydan yuqori ko‘rsatadi, bu esa </w:t>
      </w:r>
      <w:r>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w:t>
      </w:r>
      <w:r>
        <w:rPr/>
        <w:t xml:space="preserve">2,77–3,28</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Aniqlangan muammo</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Dalil (II bob)</w:t>
            </w:r>
          </w:p>
        </w:tc>
        <w:tc>
          <w:tcPr>
            <w:tcW w:w="328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Metodika elementi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turli yo‘nalishda signal beradi, yagona baho yo‘q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kapital va likvidlik yuqori, aktivlar sifati zaif</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baholarini vaznlab birlashtiruvchi integral indeks</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muammoli kreditlar ko‘rsatkichi kredit riskini kamsitadi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w:t>
            </w:r>
            <w:r>
              <w:rPr>
                <w:rFonts w:ascii="Times New Roman" w:hAnsi="Times New Roman" w:eastAsia="Times New Roman" w:cs="Times New Roman"/>
                <w:sz w:val="24"/>
                <w:szCs w:val="24"/>
              </w:rPr>
              <w:t xml:space="preserve">yashirin kredit riski koeffitsiyenti </w:t>
            </w:r>
            <w:r>
              <w:rPr>
                <w:rFonts w:ascii="Times New Roman" w:hAnsi="Times New Roman" w:eastAsia="Times New Roman" w:cs="Times New Roman"/>
                <w:sz w:val="24"/>
                <w:szCs w:val="24"/>
              </w:rPr>
              <w:t xml:space="preserve">1,65–4,90</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MHXS bo‘yicha kam, tafovut ortib bormoqda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me’yorlari Bazel III dan soddalashtirilgan va ochiq e’lon qilinmaydi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faqat “bajarildi – bajarilmadi” shaklida</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2.1-§: </w:t>
            </w:r>
            <w:r>
              <w:rPr>
                <w:rFonts w:ascii="Times New Roman" w:hAnsi="Times New Roman" w:eastAsia="Times New Roman" w:cs="Times New Roman"/>
                <w:sz w:val="24"/>
                <w:szCs w:val="24"/>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valyuta riski baholanmaydi</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2.2-§: xorijiy valyutadagi kreditlar ulushi 38–49%</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 bloki</w:t>
            </w:r>
          </w:p>
        </w:tc>
      </w:tr>
      <w:tr w:rsidR="005603EC" w:rsidTr="005603EC">
        <w:trPr>
          <w:cantSplit/>
        </w:trPr>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banklarida kapital davlat ko‘magiga bog‘liq</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 </w:t>
            </w:r>
            <w:r>
              <w:rPr>
                <w:rFonts w:ascii="Times New Roman" w:hAnsi="Times New Roman" w:eastAsia="Times New Roman" w:cs="Times New Roman"/>
                <w:sz w:val="24"/>
                <w:szCs w:val="24"/>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409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 va ko‘rsatkich</w:t>
            </w:r>
          </w:p>
        </w:tc>
        <w:tc>
          <w:tcPr>
            <w:tcW w:w="145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 ball</w:t>
            </w:r>
          </w:p>
        </w:tc>
        <w:tc>
          <w:tcPr>
            <w:tcW w:w="80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 ball</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1.</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Kapital yetarliligi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Birinchi darajali asosiy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1.3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 Bazel III</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2.</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Aktivlar sifati</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2.3</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Zaxira bilan qoplanmagan muammoli kreditlar / kapital,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30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3.</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Likvidlik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jami aktivlar,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3.2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mijozlar depozitlari,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80</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4.</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Daromadlilik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Aktivlar rentabelligi (ROA),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Kapital rentabelligi (ROE),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15</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4.3</w:t>
            </w:r>
          </w:p>
        </w:tc>
        <w:tc>
          <w:tcPr>
            <w:tcW w:w="409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100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45</w:t>
            </w:r>
          </w:p>
        </w:tc>
      </w:tr>
      <w:tr w:rsidR="005603EC" w:rsidTr="005603EC">
        <w:trPr>
          <w:cantSplit/>
        </w:trPr>
        <w:tc>
          <w:tcPr>
            <w:tcW w:w="600"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i/>
                <w:iCs/>
                <w:sz w:val="24"/>
                <w:szCs w:val="24"/>
              </w:rPr>
              <w:t xml:space="preserve">5.</w:t>
            </w:r>
          </w:p>
        </w:tc>
        <w:tc>
          <w:tcPr>
            <w:tcW w:w="4092" w:type="dxa"/>
            <w:shd w:val="clear" w:color="auto" w:fill="F2F2F2"/>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i/>
                <w:iCs/>
                <w:sz w:val="24"/>
                <w:szCs w:val="24"/>
              </w:rPr>
              <w:lastRenderedPageBreak/>
              <w:t>Valyuta riskiga sezgirlik</w:t>
            </w:r>
          </w:p>
        </w:tc>
        <w:tc>
          <w:tcPr>
            <w:tcW w:w="145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c>
          <w:tcPr>
            <w:tcW w:w="800" w:type="dxa"/>
            <w:shd w:val="clear" w:color="auto" w:fill="F2F2F2"/>
          </w:tcPr>
          <w:p w:rsidR="005603EC" w:rsidRDefault="005603EC">
            <w:pPr>
              <w:pStyle w:val="Compact"/>
              <w:spacing w:line="240" w:lineRule="auto"/>
              <w:jc w:val="center"/>
              <w:rPr>
                <w:rFonts w:ascii="Times New Roman" w:hAnsi="Times New Roman" w:eastAsia="Times New Roman" w:cs="Times New Roman"/>
                <w:sz w:val="24"/>
                <w:szCs w:val="24"/>
              </w:rPr>
            </w:pP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5.1</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Xorijiy valyutadagi kreditlar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65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20</w:t>
            </w:r>
          </w:p>
        </w:tc>
      </w:tr>
      <w:tr w:rsidR="005603EC" w:rsidTr="005603EC">
        <w:trPr>
          <w:cantSplit/>
        </w:trPr>
        <w:tc>
          <w:tcPr>
            <w:tcW w:w="6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 xml:space="preserve">5.2</w:t>
            </w:r>
          </w:p>
        </w:tc>
        <w:tc>
          <w:tcPr>
            <w:tcW w:w="409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Xorijiy valyutadagi majburiyatlar ulushi, %</w:t>
            </w:r>
          </w:p>
        </w:tc>
        <w:tc>
          <w:tcPr>
            <w:tcW w:w="145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XVJ</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70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w:t>
            </w:r>
          </w:p>
        </w:tc>
        <w:tc>
          <w:tcPr>
            <w:tcW w:w="80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90"/>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4"/>
      </w:r>
      <w:r>
        <w:rPr>
          <w:rStyle w:val="aff8"/>
        </w:rPr>
        <w:footnoteReference w:id="395"/>
      </w:r>
      <w:r>
        <w:t xml:space="preserve">. Kreditlarning depozitlarga nisbati uchun esa likvidlik nizomida </w:t>
      </w:r>
      <w:r>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1"/>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2"/>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3"/>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t xml:space="preserve">gan holda,</w:t>
      </w:r>
      <w:r>
        <w:t xml:space="preserve"> boshqa yo‘l yo‘qligini ta’kidlaydi</w:t>
      </w:r>
      <w:r>
        <w:rPr>
          <w:rStyle w:val="aff8"/>
        </w:rPr>
        <w:footnoteReference w:id="404"/>
      </w:r>
      <w:r>
        <w:t>. Rossiyadagi reyting metodikalarini tahlil qilgan mualliflar ham vaznlar ko‘pincha asoslanmagan ekspert yo‘li bilan belgilanishini qayd etgan</w:t>
      </w:r>
      <w:r>
        <w:rPr>
          <w:rStyle w:val="aff8"/>
        </w:rPr>
        <w:footnoteReference w:id="405"/>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vazn</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Teng vaznlar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 nisbati (O‘zbekiston)</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Asoslash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bobda eng zaif bo‘g‘in, milliy va MHXS tafovuti eng katta</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ning ikki me’yori, tashqi moliyalashtirishga tayanish</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ichki manbadan to‘ldirish imkoniyati</w:t>
            </w:r>
            <w:r>
              <w:rPr>
                <w:rFonts w:ascii="Times New Roman" w:hAnsi="Times New Roman" w:eastAsia="Times New Roman" w:cs="Times New Roman"/>
                <w:sz w:val="24"/>
                <w:szCs w:val="24"/>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7"/>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8"/>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Sinf</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Tavsifi</w:t>
            </w:r>
          </w:p>
        </w:tc>
        <w:tc>
          <w:tcPr>
            <w:tcW w:w="36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Tavsiya etiladigan choralar</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 ≤ 4,00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Odatdagi nazorat</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 qoniqarli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Ayrim bloklarda zaiflik, ko‘rsatkichlar asosan me’yoriy talablar darajasida (2–3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Bir nechta blokda ko‘rsatkichlar me’yorga yaqin yoki undan past (1–2 ball)</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 MBII &lt; 1,75</w:t>
            </w:r>
          </w:p>
        </w:tc>
        <w:tc>
          <w:tcPr>
            <w:tcW w:w="294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Ko‘rsatkichlarning ko‘pchiligi minimal xalqaro talablardan past (1 ball atrofida)</w:t>
            </w:r>
          </w:p>
        </w:tc>
        <w:tc>
          <w:tcPr>
            <w:tcW w:w="36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10"/>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w:t>
      </w:r>
      <w:r>
        <w:rPr/>
        <w:t xml:space="preserve">hamda MHXS hisobotlari asosida (3.1.6-jadval)</w:t>
      </w:r>
      <w:r>
        <w:rPr/>
        <w:t xml:space="preserve">.</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10,21 (3,88)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16,39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10,09 (3,83)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14,14 (3,45)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12,2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Muammoli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4,4 (3,30)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Substandart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(2,66)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6,4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−8,1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10,3 (2,97)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(3,41)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206,5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208,5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121,1 (2,58)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 (3,96)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0,6 (1,85)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0,9 (2,31)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 (1,69)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7,3 (2,45)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36,5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65,5 (2,72)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82,2 (1,89)</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60,1 (1,33)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37,0 (2,87)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60,9 (1,61)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31,6 (3,56)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3,42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3,99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3,21</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3,13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3,248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Ko‘rsatkich</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SQB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MKB</w:t>
            </w:r>
          </w:p>
        </w:tc>
        <w:tc>
          <w:tcPr>
            <w:tcW w:w="175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Aloqabank</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K1. CET1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8,87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9,76 (3,70)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K2. Regulyativ kapital monandligi,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15,32 (3,93)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19,96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13,11 (3,04)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K3. Kapital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10,6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11,1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A1. 3-bosqich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7,5 (2,50)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12,3 (1,53)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7,2 (2,56)</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A2. 2-bosqich kreditlar ulushi,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35,7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25,3 (1,97)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6,6 (4,00)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A3. Qoplanmagan muammoli kreditlar / kapital,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6,5 (3,35)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29,1 (1,09)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17,8 (2,22)</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L1. Yuqori likvid aktivlar / aktivlar,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18,3 (3,66)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15,5 (3,09)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12,7 (2,54)</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L2. Kreditlar / depozitlar,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221,0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324,5 (1,00)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140,1 (2,20)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D1. ROA,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1,7 (3,49)</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0,2 (1,22)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−0,7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D2. ROE,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15,7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0,8 (1,16)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−5,9 (1,00)</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D3. Xarajatlar / daromadlar,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41,5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87,6 (1,62)</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89,0 (1,55)</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V1. Xorijiy valyutadagi kreditlar,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61,2 (1,25)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V2. Xorijiy valyutadagi majburiyatlar, %</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60,4 (1,64)</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22,4 (4,00)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31,4 (3,57)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Kapital yetarliligi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3,76</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Aktivlar sifati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2,28</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1,53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2,93</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Likvidlik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2,05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2,37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Daromadlilik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3,83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1,33</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1,18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Valyuta riskiga sezgirlik bloki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1,45</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4,00</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3,57</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MBII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2,81</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2,47</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2,78</w:t>
            </w:r>
          </w:p>
        </w:tc>
      </w:tr>
      <w:tr w:rsidR="005603EC" w:rsidTr="005603EC">
        <w:trPr>
          <w:cantSplit/>
        </w:trPr>
        <w:tc>
          <w:tcPr>
            <w:tcW w:w="408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Barqarorlik sinfi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III</w:t>
            </w:r>
          </w:p>
        </w:tc>
        <w:tc>
          <w:tcPr>
            <w:tcW w:w="175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w:t>
      </w:r>
      <w:r>
        <w:rPr>
          <w:i/>
          <w:iCs/>
        </w:rPr>
        <w:t xml:space="preserve">(2.3.3–2.3.5-jadvallar; “Mikrokreditbank” ATB ning regulyativ kapital monandligi – 19,96 foiz – xuddi shu usulda hisoblandi)</w:t>
      </w:r>
      <w:r>
        <w:rPr>
          <w:i/>
          <w:iCs/>
        </w:rPr>
        <w:t xml:space="preserve">,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 turi</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3,14</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milliy hisobot</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3,53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548235"/>
                <w:sz w:val="24"/>
                <w:szCs w:val="24"/>
              </w:rPr>
              <w:t xml:space="preserve">╍╍ </w:t>
            </w:r>
            <w:r>
              <w:rPr>
                <w:rFonts w:ascii="Times New Roman" w:hAnsi="Times New Roman" w:eastAsia="Times New Roman" w:cs="Times New Roman"/>
                <w:b w:val="0"/>
                <w:sz w:val="24"/>
                <w:szCs w:val="24"/>
              </w:rPr>
              <w:t>“Aloqabank”: MHXS</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after="0" w:line="360" w:lineRule="auto"/>
        <w:ind w:firstLine="709"/>
        <w:jc w:val="both"/>
      </w:pPr>
      <w:r>
        <w:rPr>
          <w:i/>
          <w:iCs/>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rPr>
        <w:t xml:space="preserve">3.1.3-rasm. Uch bankda moliyaviy barqarorlikning integral indeksi: milliy hisobot va MHXS asosida, 2021–2025-yillar, ball</w:t>
      </w:r>
      <w:r>
        <w:rPr>
          <w:rStyle w:val="aff8"/>
        </w:rPr>
        <w:footnoteReference w:id="413"/>
      </w:r>
    </w:p>
    <w:p w:rsidR="005603EC" w:rsidRDefault="00AB61AC">
      <w:pPr>
        <w:pStyle w:val="af"/>
        <w:spacing w:after="0" w:line="360" w:lineRule="auto"/>
        <w:ind w:firstLine="709"/>
        <w:jc w:val="both"/>
      </w:pPr>
      <w:r>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3.1.4</w:t>
      </w:r>
      <w:r>
        <w:rPr>
          <w:b/>
        </w:rPr>
        <w:t xml:space="preserve">-rasm</w:t>
      </w:r>
      <w:r>
        <w:rPr>
          <w:b/>
        </w:rPr>
        <w:t xml:space="preserve">. Moliyaviy barqarorlikning integral indeksi qiymatlarining vaznlar tizimiga sezgirligi, 2025-yil</w:t>
      </w:r>
      <w:r>
        <w:rPr>
          <w:rStyle w:val="aff8"/>
        </w:rPr>
        <w:footnoteReference w:id="414"/>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Taqqoslash mezoni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CAMELS (AQSh)</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Rossiya Banki metodikasi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XVJ barqarorlik ko‘rsatkichlari</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MBII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Natija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ballik kompozit reyting</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Bloklar bo‘yicha ball, guruhlarga ajratish</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to‘plami, yagona baho 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1–4 oraliqdagi uzluksiz indeks va 4 sinf</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Ochiqlik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 siri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ochiq, natija yopiq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Ochiq</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Metodika va ma’lumotlar ochiq</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Xalqaro standartlarga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Qisman</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normativlarga bog‘langan</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Bazel III ga yaqin ta’riflar (XVJ qo‘llanmasi, 2019)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Bazel III, MHXS 9, XVJ</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Nazoratchi bahosi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90 kunlik mezon (amalda milliy ta’rif)</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bosqichlari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Hisobot standarti farqi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Hisobga olinmaydi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ΔMBII va tuzatish koeffitsiyentlari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Ball shkalasi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Pog‘onali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Uzluksiz (chiziqli interpolyatsiya)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Vaznlar</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Qat’iy belgilanmagan, nazoratchi mulohazasi</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Har bir ko‘rsatkichga 1–3 vazn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Qo‘llanmaydi</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Bozor riski doirasida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 yo‘q</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ochiq pozitsiya</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blok</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 komponenti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sifati va shaffoflik guruhlari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Yo‘q (ochiq ma’lumotlarda baholanmaydi)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choralari bilan bog‘liqlik</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92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Bevosita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Yo‘q</w:t>
            </w:r>
          </w:p>
        </w:tc>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Sinflar va erta ogohlantirish zonalari bo‘yicha</w:t>
            </w:r>
            <w:r>
              <w:rPr>
                <w:rFonts w:ascii="Times New Roman" w:hAnsi="Times New Roman" w:eastAsia="Times New Roman" w:cs="Times New Roman"/>
                <w:sz w:val="24"/>
                <w:szCs w:val="24"/>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w:t>
      </w:r>
      <w:r>
        <w:rPr/>
        <w:t xml:space="preserve">subyekt</w:t>
      </w:r>
      <w:r>
        <w:t xml:space="preserve">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6"/>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7"/>
      </w:r>
      <w:r>
        <w:t>. Moliyaviy stress indekslarini qurishda ham M. Illing va Y. Liu turli vaznlash usullarini solishtirib, eng yaxshi usulni indeksning haqiqiy stress davrlarini aniqlash qobiliyati bo‘yicha tanlagan</w:t>
      </w:r>
      <w:r>
        <w:rPr>
          <w:rStyle w:val="aff8"/>
        </w:rPr>
        <w:footnoteReference w:id="418"/>
      </w:r>
      <w:r>
        <w:t>. A.M. Karminskiy esa reyting modellarida vaznlar ekspert yo‘li bilan belgilansa ham, ular albatta statistik tekshiruvdan o‘tkazilishi lozimligini ta’kidlaydi</w:t>
      </w:r>
      <w:r>
        <w:rPr>
          <w:rStyle w:val="aff8"/>
        </w:rPr>
        <w:footnoteReference w:id="419"/>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Usul</w:t>
            </w:r>
          </w:p>
        </w:tc>
        <w:tc>
          <w:tcPr>
            <w:tcW w:w="30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Vazn nimani aks ettiradi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Qo‘llangan ma’lumotlar</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Entropiya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 Shannon</w:t>
            </w:r>
            <w:r>
              <w:rPr>
                <w:rFonts w:ascii="Times New Roman" w:hAnsi="Times New Roman" w:eastAsia="Times New Roman" w:cs="Times New Roman"/>
                <w:sz w:val="24"/>
                <w:szCs w:val="24"/>
              </w:rPr>
              <w:t xml:space="preserve"> entropiyasi asosida har bir ko‘rsatkich</w:t>
            </w:r>
            <w:r>
              <w:rPr>
                <w:rFonts w:ascii="Times New Roman" w:hAnsi="Times New Roman" w:eastAsia="Times New Roman" w:cs="Times New Roman"/>
                <w:sz w:val="24"/>
                <w:szCs w:val="24"/>
              </w:rPr>
              <w:t xml:space="preserve"> ballarining 25 ta bank-yil kuzatuvi</w:t>
            </w:r>
            <w:r>
              <w:rPr>
                <w:rFonts w:ascii="Times New Roman" w:hAnsi="Times New Roman" w:eastAsia="Times New Roman" w:cs="Times New Roman"/>
                <w:sz w:val="24"/>
                <w:szCs w:val="24"/>
              </w:rPr>
              <w:t xml:space="preserve"> o‘rtasidagi tarqoqligi </w:t>
            </w:r>
            <w:r>
              <w:rPr>
                <w:rFonts w:ascii="Times New Roman" w:hAnsi="Times New Roman" w:eastAsia="Times New Roman" w:cs="Times New Roman"/>
                <w:sz w:val="24"/>
                <w:szCs w:val="24"/>
              </w:rPr>
              <w:t xml:space="preserve">o‘lchanadi;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 bir-biridan qanchalik farqlashi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Variatsiya koeffitsiyenti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Ko‘rsatkich ballarining standart chetlanishi </w:t>
            </w:r>
            <w:r>
              <w:rPr>
                <w:rFonts w:ascii="Times New Roman" w:hAnsi="Times New Roman" w:eastAsia="Times New Roman" w:cs="Times New Roman"/>
                <w:sz w:val="24"/>
                <w:szCs w:val="24"/>
              </w:rPr>
              <w:t xml:space="preserve">o‘rtacha qiymatga nisbati; ko‘rsatkichlar vaznlari bloklar bo‘yicha jamlanadi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 qiymatlarining nisbiy o‘zgaruvchanligi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13 ko‘rsatkich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Bosh komponentlar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Bloklar ballarining korrelyatsiya tuzilmasi asosida </w:t>
            </w:r>
            <w:r>
              <w:rPr>
                <w:rFonts w:ascii="Times New Roman" w:hAnsi="Times New Roman" w:eastAsia="Times New Roman" w:cs="Times New Roman"/>
                <w:sz w:val="24"/>
                <w:szCs w:val="24"/>
              </w:rPr>
              <w:t xml:space="preserve">umumiy omillar ajratiladi; blok vazni o‘z qiymati birdan katta komponentlar (Kayzer mezoni) yuklamalari kvadratlarining izohlangan dispersiya ulushi bilan tortilgan yig‘indisi sifatida aniqlanadi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umumiy barqarorlik omiliga hissasi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5 bank, 2021–2025-yillar, 5 blok (MHXS)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Logit (bashorat) usuli</w:t>
            </w:r>
          </w:p>
        </w:tc>
        <w:tc>
          <w:tcPr>
            <w:tcW w:w="30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hodisasi ehtimoli bloklar ballariga regressiya qilinadi</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Blokning muammolarni oldindan aniqlashdagi hissasi</w:t>
            </w:r>
            <w:r>
              <w:rPr>
                <w:rFonts w:ascii="Times New Roman" w:hAnsi="Times New Roman" w:eastAsia="Times New Roman" w:cs="Times New Roman"/>
                <w:sz w:val="24"/>
                <w:szCs w:val="24"/>
              </w:rPr>
              <w:t xml:space="preserve"> (koeffitsiyentlar modulining ulushi; kutilganiga teskari ishorali koeffitsiyentga ega </w:t>
            </w:r>
            <w:r>
              <w:rPr>
                <w:rFonts w:ascii="Times New Roman" w:hAnsi="Times New Roman" w:eastAsia="Times New Roman" w:cs="Times New Roman"/>
                <w:sz w:val="24"/>
                <w:szCs w:val="24"/>
              </w:rPr>
              <w:t xml:space="preserve">blok vazni – 0; kapital va valyuta bloklari uchun tayanch vaznlar saqlanadi)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25 bank, 2021–2024-yillar choraklik ma’lumotlari</w:t>
            </w:r>
            <w:r>
              <w:rPr>
                <w:rFonts w:ascii="Times New Roman" w:hAnsi="Times New Roman" w:eastAsia="Times New Roman" w:cs="Times New Roman"/>
                <w:sz w:val="24"/>
                <w:szCs w:val="24"/>
              </w:rPr>
              <w:t xml:space="preserve"> (308 kuzatuv), 8 ko‘rsatkichli panel indeksining 3 bloki (aktivlar sifati, likvidlik, daromadlilik)</w:t>
            </w:r>
            <w:r>
              <w:rPr>
                <w:rFonts w:ascii="Times New Roman" w:hAnsi="Times New Roman" w:eastAsia="Times New Roman" w:cs="Times New Roman"/>
                <w:sz w:val="24"/>
                <w:szCs w:val="24"/>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1"/>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2"/>
      </w:r>
      <w:r>
        <w:rPr>
          <w:rStyle w:val="aff8"/>
        </w:rPr>
        <w:footnoteReference w:id="423"/>
      </w:r>
      <w:r>
        <w:rPr>
          <w:rStyle w:val="aff8"/>
        </w:rPr>
        <w:footnoteReference w:id="424"/>
      </w:r>
      <w:r>
        <w:rPr>
          <w:rStyle w:val="aff8"/>
        </w:rPr>
        <w:footnoteReference w:id="425"/>
      </w:r>
      <w:r>
        <w:rPr>
          <w:rStyle w:val="aff8"/>
        </w:rPr>
        <w:footnoteReference w:id="426"/>
      </w:r>
      <w:r>
        <w:t>. Yuqori likvid aktivlar ulushi esa “SNS” reyting agentligi bazasidan olindi</w:t>
      </w:r>
      <w:r>
        <w:rPr>
          <w:rStyle w:val="aff8"/>
        </w:rPr>
        <w:footnoteReference w:id="427"/>
      </w:r>
      <w:r>
        <w:t>. Logit usuli uchun 3.3-paragrafda shakllantirilgan 25 ta bank paneli qo‘llandi</w:t>
      </w:r>
      <w:r>
        <w:rPr/>
        <w:t xml:space="preserve"> (panelning tarkibi 3.3-paragrafda, muammo hodisasining ta’rifi esa 4.1-paragrafda batafsil yoritiladi</w:t>
      </w:r>
      <w:r>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8"/>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r>
              <w:rPr>
                <w:rFonts w:ascii="Times New Roman" w:hAnsi="Times New Roman" w:eastAsia="Times New Roman" w:cs="Times New Roman"/>
                <w:b/>
                <w:sz w:val="24"/>
                <w:szCs w:val="24"/>
              </w:rPr>
              <w:t xml:space="preserve"> (3.1-§)</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Likvidlik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riskiga sezgirlik</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t xml:space="preserve">(0,30)</w:t>
      </w:r>
      <w:r>
        <w:rPr/>
        <w:t xml:space="preserve"> deyarli teng. Biroq tarqoqlikka asoslangan usullarda eng yuqori vazn daromadlilik blokiga (0,30–0,46) berilgan, ya’ni ularda aktivlar sifati bloki ikkinchi o‘rinda turadi</w:t>
      </w:r>
      <w:r>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t xml:space="preserve">Jadval ma’lumotlaridan</w:t>
      </w:r>
      <w:r>
        <w:t xml:space="preserve"> ko‘rinib turibdiki, usullar o‘rtasidagi farq asosan </w:t>
      </w:r>
      <w:r>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30"/>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 xml:space="preserve">Tanlangan banklarning</w:t>
      </w:r>
      <w:r>
        <w:rPr>
          <w:b/>
          <w:bCs/>
        </w:rPr>
        <w:t xml:space="preserve"> integral indeksi turli usullar vaznlari bo‘yicha, 2025-yil</w:t>
      </w:r>
      <w:r>
        <w:rPr>
          <w:rStyle w:val="aff8"/>
        </w:rPr>
        <w:footnoteReference w:id="4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 ko‘rsatkich</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Tayanch vaznlar</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Variatsiya koeffitsiyenti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Bosh komponentlar usuli</w:t>
            </w:r>
          </w:p>
        </w:tc>
        <w:tc>
          <w:tcPr>
            <w:tcW w:w="112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Logit usuli</w:t>
            </w:r>
          </w:p>
        </w:tc>
        <w:tc>
          <w:tcPr>
            <w:tcW w:w="1176"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Empirik usullar o‘rtachasi</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“Aloqabank” ATB (tanlanmadan tashqari)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2,23</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2,49</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3,01</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Sinfi </w:t>
            </w: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mos kuzatuvlar (25 tadan, 2021–2025-yillar)</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Tayanch vaznlar</w:t>
            </w:r>
            <w:r>
              <w:rPr>
                <w:rFonts w:ascii="Times New Roman" w:hAnsi="Times New Roman" w:eastAsia="Times New Roman" w:cs="Times New Roman"/>
                <w:sz w:val="24"/>
                <w:szCs w:val="24"/>
              </w:rPr>
              <w:t xml:space="preserve">dagi bilan tartib bo‘yicha korrelyatsiya (Spirmen)</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0,96</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0,98</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0,97</w:t>
            </w:r>
          </w:p>
        </w:tc>
      </w:tr>
      <w:tr w:rsidR="005603EC" w:rsidTr="005603EC">
        <w:trPr>
          <w:cantSplit/>
        </w:trPr>
        <w:tc>
          <w:tcPr>
            <w:tcW w:w="2560"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hodisalarini bashorat qilish kuchi (AUC, 25 bank paneli)</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0,875</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0,878</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0,865</w:t>
            </w:r>
          </w:p>
        </w:tc>
        <w:tc>
          <w:tcPr>
            <w:tcW w:w="112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0,907</w:t>
            </w:r>
          </w:p>
        </w:tc>
        <w:tc>
          <w:tcPr>
            <w:tcW w:w="1176"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0,871</w:t>
            </w:r>
          </w:p>
        </w:tc>
      </w:tr>
    </w:tbl>
    <w:p w:rsidR="005603EC" w:rsidRDefault="00AB61AC">
      <w:pPr>
        <w:pStyle w:val="af"/>
        <w:spacing w:line="240" w:lineRule="auto"/>
        <w:jc w:val="both"/>
      </w:pPr>
      <w:r>
        <w:rPr>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t xml:space="preserve">AUC 0,865–0,907, tayanch vaznlarda – 0,864)</w:t>
      </w:r>
      <w:r>
        <w:t xml:space="preserve">, biroq farq katta emas, </w:t>
      </w:r>
      <w:r>
        <w:rPr/>
        <w:t xml:space="preserve">tayanch vaznlar</w:t>
      </w:r>
      <w:r>
        <w:t xml:space="preserve">ning bashorat kuchi esa bosh komponentlar usuli bilan </w:t>
      </w:r>
      <w:r>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2"/>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t xml:space="preserve"> (Dirixle taqsimotining parametri α = 20·w, bu yerda w – blokning tayanch vazni)</w:t>
      </w:r>
      <w:r>
        <w:t xml:space="preserve"> va vaznlar to‘liq tasodifiy, ya’ni hech qanday dastlabki farazsiz tanlangan holatda </w:t>
      </w:r>
      <w:r>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rPr>
        <w:t xml:space="preserve">3.2.1-rasm</w:t>
      </w:r>
      <w:r>
        <w:rPr>
          <w:b/>
        </w:rPr>
        <w:t xml:space="preserve">. Monte-Karlo tahlilida banklar barqarorlik sinfining saqlanish ulushi, foizda</w:t>
      </w:r>
      <w:r>
        <w:rPr>
          <w:rStyle w:val="aff8"/>
        </w:rPr>
        <w:footnoteReference w:id="433"/>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t xml:space="preserve">Vaznlardan tashqari, i</w:t>
      </w:r>
      <w:r>
        <w:t xml:space="preserve">ntegral indeksning ikkinchi metodik elementi – barqarorlik sinflari chegaralari, ya’ni 3,25; 2,5 va 1,75 ball</w:t>
      </w:r>
      <w:r>
        <w:rPr/>
        <w:t xml:space="preserve"> hisoblanadi</w:t>
      </w:r>
      <w:r>
        <w:t xml:space="preserve">. </w:t>
      </w:r>
      <w:r>
        <w:rPr/>
        <w:t xml:space="preserve">Ular 3.1-paragrafda 1–4 ballik shkalani teng to‘rt oraliqqa bo‘lish yo‘li bilan oldindan belgilangan edi.</w:t>
      </w:r>
      <w:r>
        <w:t xml:space="preserve"> Ularni empirik tekshirish uchun 25 ta bank panelida</w:t>
      </w:r>
      <w:r>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rPr>
        <w:t xml:space="preserve">2021–2024-yillar kuzatuvlari</w:t>
      </w:r>
      <w:r>
        <w:rPr>
          <w:rStyle w:val="aff8"/>
        </w:rPr>
        <w:footnoteReference w:id="4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Barqarorlik sinfi</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ball</w:t>
            </w:r>
          </w:p>
        </w:tc>
        <w:tc>
          <w:tcPr>
            <w:tcW w:w="128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217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Keyingi to‘rt chorakda muammo hodisasi yuz bergan kuzatuvlar</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Ulushi, %</w:t>
            </w:r>
          </w:p>
        </w:tc>
        <w:tc>
          <w:tcPr>
            <w:tcW w:w="148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 (Wilson), %</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 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 MBII</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0,8–5,0</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II – qoniqarli</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 MBII &lt; 3,25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7,9–21,4</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 zaif</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 MBII &lt; 2,50</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90,0</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59,6–98,2</w:t>
            </w:r>
          </w:p>
        </w:tc>
      </w:tr>
      <w:tr w:rsidR="005603EC" w:rsidTr="005603EC">
        <w:trPr>
          <w:cantSplit/>
        </w:trPr>
        <w:tc>
          <w:tcPr>
            <w:tcW w:w="167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IV – nobarqaror</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MBII &lt; 1,75</w:t>
            </w:r>
          </w:p>
        </w:tc>
        <w:tc>
          <w:tcPr>
            <w:tcW w:w="128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217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8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 xml:space="preserve">Izoh: 25 ta bank paneli, milliy hisobot asosidagi 8 ko‘rsatkichli choraklik indeks</w:t>
      </w:r>
      <w:r>
        <w:rPr>
          <w:sz w:val="24"/>
        </w:rPr>
        <w:t xml:space="preserve"> (MBII-8)</w:t>
      </w:r>
      <w:r>
        <w:rPr>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5"/>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t xml:space="preserve">Shundan so‘ng </w:t>
      </w:r>
      <w:r>
        <w:rPr/>
        <w:t xml:space="preserve">empirik tekshiruvdan o‘tgan, tayanch vaznli indeks</w:t>
      </w:r>
      <w:r>
        <w:t xml:space="preserve"> beshta bankning 2021–2025-yillardagi moliyaviy barqarorligi dinamikasini baholash uchun qo‘llandi </w:t>
      </w:r>
      <w:r>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type="dxa" w:w="1020"/>
            <w:vAlign w:val="center"/>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AD47"/>
                <w:sz w:val="24"/>
                <w:szCs w:val="24"/>
              </w:rPr>
              <w:t xml:space="preserve">━━ </w:t>
            </w:r>
            <w:r>
              <w:rPr>
                <w:rFonts w:ascii="Times New Roman" w:hAnsi="Times New Roman" w:eastAsia="Times New Roman" w:cs="Times New Roman"/>
                <w:b w:val="0"/>
                <w:sz w:val="24"/>
                <w:szCs w:val="24"/>
              </w:rPr>
              <w:t>“Xalq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2,96</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3,38</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FFC000"/>
                <w:sz w:val="24"/>
                <w:szCs w:val="24"/>
              </w:rPr>
              <w:t xml:space="preserve">━━ </w:t>
            </w:r>
            <w:r>
              <w:rPr>
                <w:rFonts w:ascii="Times New Roman" w:hAnsi="Times New Roman" w:eastAsia="Times New Roman" w:cs="Times New Roman"/>
                <w:b w:val="0"/>
                <w:sz w:val="24"/>
                <w:szCs w:val="24"/>
              </w:rPr>
              <w:t>“Biznesni rivojlantirish banki”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2,03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2,58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3,23</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7030A0"/>
                <w:sz w:val="24"/>
                <w:szCs w:val="24"/>
              </w:rPr>
              <w:t xml:space="preserve">━━ </w:t>
            </w:r>
            <w:r>
              <w:rPr>
                <w:rFonts w:ascii="Times New Roman" w:hAnsi="Times New Roman" w:eastAsia="Times New Roman" w:cs="Times New Roman"/>
                <w:b w:val="0"/>
                <w:sz w:val="24"/>
                <w:szCs w:val="24"/>
              </w:rPr>
              <w:t>“Ipoteka-bank”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3,37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2,69</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3,13</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2A78D6"/>
                <w:sz w:val="24"/>
                <w:szCs w:val="24"/>
              </w:rPr>
              <w:t xml:space="preserve">━━ </w:t>
            </w:r>
            <w:r>
              <w:rPr>
                <w:rFonts w:ascii="Times New Roman" w:hAnsi="Times New Roman" w:eastAsia="Times New Roman" w:cs="Times New Roman"/>
                <w:b w:val="0"/>
                <w:sz w:val="24"/>
                <w:szCs w:val="24"/>
              </w:rPr>
              <w:t>“O‘zsanoatqurilishbank”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2,81</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EB6834"/>
                <w:sz w:val="24"/>
                <w:szCs w:val="24"/>
              </w:rPr>
              <w:t xml:space="preserve">━━ </w:t>
            </w:r>
            <w:r>
              <w:rPr>
                <w:rFonts w:ascii="Times New Roman" w:hAnsi="Times New Roman" w:eastAsia="Times New Roman" w:cs="Times New Roman"/>
                <w:b w:val="0"/>
                <w:sz w:val="24"/>
                <w:szCs w:val="24"/>
              </w:rPr>
              <w:t>“Mikrokreditbank”</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2,18</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2,31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2,22</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2,25</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2,47</w:t>
            </w:r>
          </w:p>
        </w:tc>
      </w:tr>
      <w:tr>
        <w:tc>
          <w:tcPr>
            <w:tcW w:type="dxa" w:w="3685"/>
          </w:tcPr>
          <w:p>
            <w:pPr>
              <w:spacing w:before="0" w:after="0" w:line="240" w:lineRule="auto"/>
              <w:ind w:firstLine="0"/>
              <w:jc w:val="both"/>
              <w:rPr>
                <w:rFonts w:ascii="Times New Roman" w:hAnsi="Times New Roman" w:eastAsia="Times New Roman" w:cs="Times New Roman"/>
                <w:sz w:val="24"/>
                <w:szCs w:val="24"/>
              </w:rPr>
            </w:pPr>
            <w:r>
              <w:rPr>
                <w:rFonts w:ascii="Times New Roman" w:hAnsi="Times New Roman" w:eastAsia="Times New Roman" w:cs="Times New Roman"/>
                <w:b/>
                <w:color w:val="00A3A3"/>
                <w:sz w:val="24"/>
                <w:szCs w:val="24"/>
              </w:rPr>
              <w:t xml:space="preserve">╍╍ </w:t>
            </w:r>
            <w:r>
              <w:rPr>
                <w:rFonts w:ascii="Times New Roman" w:hAnsi="Times New Roman" w:eastAsia="Times New Roman" w:cs="Times New Roman"/>
                <w:b w:val="0"/>
                <w:sz w:val="24"/>
                <w:szCs w:val="24"/>
              </w:rPr>
              <w:t>“Aloqabank” (tanlanmadan tashqari)</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3,01</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2,97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3,17</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3,10</w:t>
            </w:r>
          </w:p>
        </w:tc>
        <w:tc>
          <w:tcPr>
            <w:tcW w:type="dxa" w:w="1020"/>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b w:val="0"/>
                <w:sz w:val="24"/>
                <w:szCs w:val="24"/>
              </w:rPr>
              <w:t>2,78</w:t>
            </w:r>
          </w:p>
        </w:tc>
      </w:tr>
    </w:tbl>
    <w:p w:rsidR="005603EC" w:rsidRDefault="00AB61AC">
      <w:pPr>
        <w:pStyle w:val="af"/>
        <w:spacing w:line="240" w:lineRule="auto"/>
        <w:jc w:val="both"/>
      </w:pPr>
      <w:r>
        <w:rPr>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rPr>
        <w:t xml:space="preserve">3.2.2-rasm</w:t>
      </w:r>
      <w:r>
        <w:rPr>
          <w:b/>
        </w:rPr>
        <w:t xml:space="preserve">. Tanlangan banklarda moliyaviy barqarorlikning integral indeksi, MHXS hisobotlari asosida, 2021–2025-yillar</w:t>
      </w:r>
      <w:r>
        <w:rPr>
          <w:rStyle w:val="aff8"/>
        </w:rPr>
        <w:footnoteReference w:id="436"/>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7"/>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t xml:space="preserve">Natijalarning umumiyligini tekshirish maqsadida i</w:t>
      </w:r>
      <w:r>
        <w:rPr/>
        <w:t xml:space="preserve">ndeks empirik vaznlar baholanishida qatnashmagan oltinchi bank – “Aloqabank” ATB ma’lumotlarida ham tekshirildi </w:t>
      </w:r>
      <w:r>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8"/>
      </w:r>
      <w:r>
        <w:t>, L. Laeven va R. Levine esa bankning to‘lovga qobiliyatsizlik riskini Z-score ko‘rsatkichi orqali o‘lchab, uning mulkchilik tuzilmasi va tartibga solish bilan bog‘liqligini aniqlagan</w:t>
      </w:r>
      <w:r>
        <w:rPr>
          <w:rStyle w:val="aff8"/>
        </w:rPr>
        <w:footnoteReference w:id="439"/>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40"/>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Mazmuni</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Kutilgan ta’sir</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H1</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banklarining moliyaviy barqarorligi xususiy banklarnikidan past</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H2</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Jadal kreditlash bir yildan keyin barqarorlikni pasaytiradi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4 va 8 chorak lag bilan</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manfiy</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H3</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Barqaror depozit bazasi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H4</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faoliyatdan daromad olish qobiliyati barqarorlikni oshiradi</w:t>
            </w:r>
          </w:p>
        </w:tc>
        <w:tc>
          <w:tcPr>
            <w:tcW w:w="260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musbat</w:t>
            </w:r>
          </w:p>
        </w:tc>
      </w:tr>
      <w:tr w:rsidR="005603EC" w:rsidTr="005603EC">
        <w:trPr>
          <w:cantSplit/>
        </w:trPr>
        <w:tc>
          <w:tcPr>
            <w:tcW w:w="90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H5</w:t>
            </w:r>
          </w:p>
        </w:tc>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Iqtisodiy o‘sish kredit riskini kamaytiradi, pul-kredit siyosatining qat’iylashuvi esa oshiradi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asosiy stavka, so‘m kursi, inflyatsiya</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 manfiy, stavka – musbat (muammoli kreditlarga)</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2"/>
      </w:r>
      <w:r>
        <w:rPr>
          <w:rStyle w:val="aff8"/>
        </w:rPr>
        <w:footnoteReference w:id="443"/>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4"/>
      </w:r>
      <w:r>
        <w:t>. Uchinchi gipoteza A. Demirgüç-Kunt va H. Huizinga xulosasiga tayanadi: depozit bo‘lmagan, ya’ni ulgurji moliyalashtirishga ko‘proq tayanadigan banklar riskliroq bo‘ladi</w:t>
      </w:r>
      <w:r>
        <w:rPr>
          <w:rStyle w:val="aff8"/>
        </w:rPr>
        <w:footnoteReference w:id="445"/>
      </w:r>
      <w:r>
        <w:t xml:space="preserve">. </w:t>
      </w:r>
      <w:r>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6"/>
      </w:r>
      <w:r>
        <w:rPr>
          <w:rStyle w:val="aff8"/>
        </w:rPr>
        <w:footnoteReference w:id="447"/>
      </w:r>
      <w:r>
        <w:rPr>
          <w:rStyle w:val="aff8"/>
        </w:rPr>
        <w:footnoteReference w:id="448"/>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9"/>
      </w:r>
      <w:r>
        <w:t>, yuqori likvid aktivlar, kredit zaxiralari, foizli daromad va xarajatlar, operatsion xarajatlar va sof foyda “SNS” reyting agentligining banklar ko‘rsatkichlari bazasidan</w:t>
      </w:r>
      <w:r>
        <w:rPr>
          <w:rStyle w:val="aff8"/>
        </w:rPr>
        <w:footnoteReference w:id="450"/>
      </w:r>
      <w:r>
        <w:t>, makroiqtisodiy ko‘rsatkichlar esa Markaziy bankning statistik byulletenidan olindi</w:t>
      </w:r>
      <w:r>
        <w:rPr>
          <w:rStyle w:val="aff8"/>
        </w:rPr>
        <w:footnoteReference w:id="451"/>
      </w:r>
      <w:r>
        <w:t>. Ikki bank manbasi bank nomlari bo‘yicha birlashtirildi, ma’lum xato qiymatlar tahlildan chiqarildi</w:t>
      </w:r>
      <w:r>
        <w:rPr>
          <w:rStyle w:val="aff8"/>
        </w:rPr>
        <w:footnoteReference w:id="452"/>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3"/>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4"/>
      </w:r>
      <w:r>
        <w:rPr>
          <w:rStyle w:val="aff8"/>
        </w:rPr>
        <w:footnoteReference w:id="455"/>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6"/>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Standart chetlanish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Minimum</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Maksimum</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Panel integral indeksi (MBII),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 ball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Yuqori likvid aktivlar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78,1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 depozitlar,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ROE,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 mlrd so‘m)</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11,89</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(yillik),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349,1</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86,7</w:t>
            </w:r>
          </w:p>
        </w:tc>
      </w:tr>
      <w:tr w:rsidR="005603EC" w:rsidTr="005603EC">
        <w:trPr>
          <w:cantSplit/>
        </w:trPr>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9"/>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60"/>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1"/>
      </w:r>
      <w:r>
        <w:rPr>
          <w:rStyle w:val="aff8"/>
        </w:rPr>
        <w:footnoteReference w:id="462"/>
      </w:r>
      <w:r>
        <w:t>. Usullar o‘rtasida tanlov Breusch–Pagan va Hausman testlari asosida amalga oshirildi</w:t>
      </w:r>
      <w:r>
        <w:rPr>
          <w:rStyle w:val="aff8"/>
        </w:rPr>
        <w:footnoteReference w:id="463"/>
      </w:r>
      <w:r>
        <w:rPr>
          <w:rStyle w:val="aff8"/>
        </w:rPr>
        <w:footnoteReference w:id="464"/>
      </w:r>
      <w:r>
        <w:t>. Standart xatolar heteroskedastiklik va avtokorrelyatsiyani hisobga olish uchun bank bo‘yicha klasterlangan. Indeksning inersiyasini hisobga oluvchi dinamik model esa qisqa panellardagi siljishni</w:t>
      </w:r>
      <w:r>
        <w:rPr>
          <w:rStyle w:val="aff8"/>
        </w:rPr>
        <w:footnoteReference w:id="465"/>
      </w:r>
      <w:r>
        <w:t xml:space="preserve"> bartaraf etish maqsadida </w:t>
      </w:r>
      <w:r>
        <w:lastRenderedPageBreak/>
        <w:t>T. Anderson va C. Hsiao usuli bo‘yicha birinchi farqlarda, indeksning ikki chorak oldingi qiymatini instrument sifatida qo‘llab baholandi</w:t>
      </w:r>
      <w:r>
        <w:rPr>
          <w:rStyle w:val="aff8"/>
        </w:rPr>
        <w:footnoteReference w:id="466"/>
      </w:r>
      <w:r>
        <w:rPr>
          <w:rStyle w:val="aff8"/>
        </w:rPr>
        <w:footnoteReference w:id="467"/>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Dinamik (Anderson–Hsiao)</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(t−1)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0,502*** (0,185)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0,057 (0,084)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−0,071 (0,091)</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 (0,139)</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0,275*** (0,095)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−0,0009*** (0,0003)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0,0001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−0,0003 (0,0003)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0,007**</w:t>
            </w:r>
            <w:r>
              <w:rPr>
                <w:rFonts w:ascii="Times New Roman" w:hAnsi="Times New Roman" w:eastAsia="Times New Roman" w:cs="Times New Roman"/>
                <w:sz w:val="24"/>
                <w:szCs w:val="24"/>
              </w:rPr>
              <w:t xml:space="preserve"> (0,003)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0,008*** (0,001)</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0,021</w:t>
            </w:r>
            <w:r>
              <w:rPr>
                <w:rFonts w:ascii="Times New Roman" w:hAnsi="Times New Roman" w:eastAsia="Times New Roman" w:cs="Times New Roman"/>
                <w:sz w:val="24"/>
                <w:szCs w:val="24"/>
              </w:rPr>
              <w:t xml:space="preserve"> (0,013)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0,009** (0,004)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0,022*** (0,003)</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−0,278 (0,205)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0,364* (0,215)</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r>
      <w:tr w:rsidR="005603EC" w:rsidTr="005603EC">
        <w:trPr>
          <w:cantSplit/>
        </w:trPr>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 (umumiy)</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(bank ichidagi)</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Testlar</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Breusch–Pagan LM = 616,1 (p &lt; 0,001)</w:t>
            </w:r>
          </w:p>
        </w:tc>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χ²(4) = 17,34 (p = 0,002)</w:t>
            </w:r>
          </w:p>
        </w:tc>
        <w:tc>
          <w:tcPr>
            <w:tcW w:w="181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9"/>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70"/>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1"/>
      </w:r>
      <w:r>
        <w:t xml:space="preserve">, biroq inersiyaning nisbatan pastligi bir martalik zararlar va qayta kapitallashtirishlar bilan izohlanadi. </w:t>
      </w:r>
      <w:r>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funding nazoratisiz</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depozitlar va foiz marjasi nazorati bilan</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−0,690*** (0,185)</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−0,344* (0,202)</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0,095 (0,093)</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0,119 (0,080)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0,0109*** (0,0025)</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(0,014)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ta’sirining funding modeli orqali izohlanadigan qismi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c>
          <w:tcPr>
            <w:tcW w:w="232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RE</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va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0,184 (0,134)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−0,245 (0,150)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−0,776* (0,430)</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−0,0021*** (0,0008)</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−0,0017** (0,0008)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−0,0027** (0,0012)</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Depozitlar / aktivlar,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−0,012** (0,006)</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−0,011 (0,008)</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−0,013 (0,009)</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Sof foiz marjasi, %</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0,017 (0,025)</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 (0,014)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−0,016 (0,016)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−0,371 (0,427)</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0,544 (0,413)</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Hausman testi</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2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χ²(4) = 6,83 (p = 0,145)</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4"/>
      </w:r>
      <w:r>
        <w:t xml:space="preserve">. </w:t>
      </w:r>
      <w:r>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FE (bank effektlari)</w:t>
            </w:r>
          </w:p>
        </w:tc>
        <w:tc>
          <w:tcPr>
            <w:tcW w:w="294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Pooled OLS</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0,623*** (0,051)</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0,805*** (0,061)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(t−4),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0,0011 (0,0037)</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0,0055 (0,0038)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Kreditlar o‘sishi (t−8),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−0,0012 (0,0014)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−0,0006 (0,0010)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1,119 (1,216)</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0,205 (0,151)</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−1,437*** (0,498)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−1,927*** (0,588)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0,705* (0,398)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0,999** (0,438)</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AQSh dollari kursi o‘zgarishi,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−0,018 (0,040)</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 (0,023)</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 %</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−0,165 (0,118)</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−0,188 (0,130)</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0,133 (0,304)</w:t>
            </w:r>
          </w:p>
        </w:tc>
      </w:tr>
      <w:tr w:rsidR="005603EC" w:rsidTr="005603EC">
        <w:trPr>
          <w:cantSplit/>
        </w:trPr>
        <w:tc>
          <w:tcPr>
            <w:tcW w:w="340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r>
      <w:tr w:rsidR="005603EC" w:rsidTr="005603EC">
        <w:trPr>
          <w:cantSplit/>
        </w:trPr>
        <w:tc>
          <w:tcPr>
            <w:tcW w:w="340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 (bank ichidagi)</w:t>
            </w:r>
          </w:p>
        </w:tc>
        <w:tc>
          <w:tcPr>
            <w:tcW w:w="294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6"/>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7"/>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8"/>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Gipoteza</w:t>
            </w:r>
          </w:p>
        </w:tc>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Integral indeks (MBII)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Z-score</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Xulosa</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H1. Davlat ulushi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−0,69*** (yarmi moliyalashtirish modeli orqali)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 Z-score uni aniqlamaydi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H2. Jadal kreditlash barqarorlikni pasaytiradi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 (4 va 8 chorak lag), bank ichida ahamiyatsiz</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modellarda manfiy (**/***) (4 chorak lag); 8 chorak lag – 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H3. Depozit bazasi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barcha modellarda </w:t>
            </w:r>
            <w:r>
              <w:rPr>
                <w:rFonts w:ascii="Times New Roman" w:hAnsi="Times New Roman" w:eastAsia="Times New Roman" w:cs="Times New Roman"/>
                <w:sz w:val="24"/>
                <w:szCs w:val="24"/>
              </w:rPr>
              <w:t>musbat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Pooled modelda manfiy**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bo‘yicha 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H4. Sof foiz marjasi barqarorlikni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musbat (</w:t>
            </w:r>
            <w:r>
              <w:rPr>
                <w:rFonts w:ascii="Times New Roman" w:hAnsi="Times New Roman" w:eastAsia="Times New Roman" w:cs="Times New Roman"/>
                <w:sz w:val="24"/>
                <w:szCs w:val="24"/>
              </w:rPr>
              <w:t>RE, FE va dinamik modellarda **/***</w:t>
            </w: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ahamiyatsiz</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H5. YaIM o‘sishi kredit riskini kamaytiradi, asosiy stavka oshiradi</w:t>
            </w:r>
          </w:p>
        </w:tc>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chorak effektlari orqali nazorat qilindi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manfiy***, stavka: musbat (*/**)</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80"/>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1"/>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Yondashuv</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Mohiyati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Afzalligi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Cheklovi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Nazorat reytinglari (CAMELS)</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tekshiruv natijasida bankka 1–5 ball beriladi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Sifat omillarini, jumladan boshqaruv sifatini hisobga oladi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Tekshiruvlar oralig‘ida eskiradi, bashorat elementi yo‘q</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Signallar usuli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bir ko‘rsatkich chegaradan o‘tganda signal beriladi, chegara xatolar nisbati bo‘yicha tanlanadi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Sodda, natijasi oson talqin qilinadi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Ko‘rsatkichlar alohida baholanadi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Statistik bashorat modellari (logit, probit)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ehtimoli bir nechta ko‘rsatkich orqali baholanadi (AQSh Federal rezerv tizimidagi FIMS modeli)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Ehtimol shaklidagi miqdoriy natija beradi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Bozor va buxgalteriya ko‘rsatkichlari (Z-score)</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va daromadlilikning tebranuvchanlikka nisbati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Kam ma’lumot talab qiladi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 asosidagi tizim (taklif)</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 qiymatiga qarab bank uch zonadan biriga kiritiladi, har bir zona uchun choralar belgilanadi</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Bashorat kuchini bloklar bo‘yicha sabab tahlili bilan birlashtiradi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3"/>
      </w:r>
      <w:r>
        <w:rPr>
          <w:rStyle w:val="aff8"/>
        </w:rPr>
        <w:footnoteReference w:id="484"/>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5"/>
      </w:r>
      <w:r>
        <w:t>. E. Davis va D. Karim bu ikki yondashuvni solishtirib, logit modellar ko‘p mamlakatli global tizimlar uchun, signallar usuli esa alohida mamlakat uchun qurilgan tizimlarda maqbulroq ekanini ko‘rsatgan</w:t>
      </w:r>
      <w:r>
        <w:rPr>
          <w:rStyle w:val="aff8"/>
        </w:rPr>
        <w:footnoteReference w:id="486"/>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7"/>
      </w:r>
      <w:r>
        <w:t>. Yevropa banklari misolida F. Betz va hammualliflar bank darajasidagi ko‘rsatkichlarni makroiqtisodiy ko‘rsatkichlar bilan birlashtirish bashorat aniqligini oshirishini aniqlagan</w:t>
      </w:r>
      <w:r>
        <w:rPr>
          <w:rStyle w:val="aff8"/>
        </w:rPr>
        <w:footnoteReference w:id="488"/>
      </w:r>
      <w:r>
        <w:t>, L. Chiaramonte va F. Poli esa Z-score muammoga uchragan banklarning 75 foizini to‘g‘ri aniqlashini ko‘rsatgan</w:t>
      </w:r>
      <w:r>
        <w:rPr>
          <w:rStyle w:val="aff8"/>
        </w:rPr>
        <w:footnoteReference w:id="489"/>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90"/>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w:t>
            </w:r>
          </w:p>
        </w:tc>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Chorak zararining kapitalga nisbati, %</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III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r>
      <w:tr w:rsidR="005603EC" w:rsidTr="005603EC">
        <w:trPr>
          <w:cantSplit/>
        </w:trPr>
        <w:tc>
          <w:tcPr>
            <w:tcW w:w="3969"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4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2022-y. IV chorak</w:t>
            </w:r>
          </w:p>
        </w:tc>
        <w:tc>
          <w:tcPr>
            <w:tcW w:w="2835"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1"/>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2"/>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Kuzatuvlar soni</w:t>
            </w:r>
          </w:p>
        </w:tc>
        <w:tc>
          <w:tcPr>
            <w:tcW w:w="158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Shundan hodisadan oldingi</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AUC</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95 % ishonch oralig‘i</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0,895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0,81 – 0,96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0,862</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 – 0,94</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0,777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 – 0,86</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0,751</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 – 0,85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0,579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 – 0,69</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 aktivlar</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0,34 – 0,55</w:t>
            </w:r>
          </w:p>
        </w:tc>
      </w:tr>
      <w:tr w:rsidR="005603EC" w:rsidTr="005603EC">
        <w:trPr>
          <w:cantSplit/>
        </w:trPr>
        <w:tc>
          <w:tcPr>
            <w:tcW w:w="283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58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4"/>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5"/>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6"/>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7"/>
      </w:r>
      <w:r>
        <w:rPr>
          <w:rStyle w:val="aff8"/>
        </w:rPr>
        <w:footnoteReference w:id="498"/>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4-model</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5-model</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9,61*** (3,18)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(2,31)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19,14*** (5,99)</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(1,92)</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12,29*** (3,99)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(1,12)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−7,05*** (1,88)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−4,49*** (1,27)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ln(Z-score)</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 (0,78)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 (0,53)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 (0,50)</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 (0,34)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banki (dummy)</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(0,79)</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Psevdo-R²</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0,53</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0,35</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AUC</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0,864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0,581</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0,955</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0,911</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500"/>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t xml:space="preserve">ning</w:t>
      </w:r>
      <w:r>
        <w:t xml:space="preserve"> signallar usuli qo‘llandi</w:t>
      </w:r>
      <w:r>
        <w:rPr>
          <w:rStyle w:val="aff8"/>
        </w:rPr>
        <w:footnoteReference w:id="501"/>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chegarasi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30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rsidTr="005603EC">
        <w:trPr>
          <w:cantSplit/>
        </w:trPr>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30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3"/>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4"/>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6"/>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 qiymati</w:t>
            </w:r>
          </w:p>
        </w:tc>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Bir yil ichida muammo ehtimoli (logit model)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Tahlil davrida kuzatilgan hodisalar ulushi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Nazorat organining choralari</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rahbariyatining choralari</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 va undan yuqori</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 dan past</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 (200 kuzatuvdan 4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Odatiy masofaviy monitoring, yiliga bir marta indeks bloklarini tahlil qilish</w:t>
            </w:r>
          </w:p>
        </w:tc>
        <w:tc>
          <w:tcPr>
            <w:tcW w:w="215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Odatiy risklarni boshqarish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 3,25</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5–27 %</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6,8 % (74 kuzatuvdan 5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 dan past</w:t>
            </w:r>
          </w:p>
        </w:tc>
        <w:tc>
          <w:tcPr>
            <w:tcW w:w="124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 dan yuqori</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50,0 % (34 kuzatuvdan 17 tasi)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8"/>
      </w:r>
      <w:r>
        <w:t>. M. Sorge va K. Virolainen esa makro stress-testlarda kredit riskining makroiqtisodiy omillarga sezgirligini baholovchi “satellit” modellardan foydalanishni asosiy yondashuv sifatida ko‘rsatadi</w:t>
      </w:r>
      <w:r>
        <w:rPr>
          <w:rStyle w:val="aff8"/>
        </w:rPr>
        <w:footnoteReference w:id="509"/>
      </w:r>
      <w:r>
        <w:t>. Bazel qo‘mitasining stress-test tamoyillari ham ssenariylar haqiqiy tarixiy shoklarga asoslanishi va model natijalari muntazam tekshirilishi lozimligini talab qiladi</w:t>
      </w:r>
      <w:r>
        <w:rPr>
          <w:rStyle w:val="aff8"/>
        </w:rPr>
        <w:footnoteReference w:id="510"/>
      </w:r>
      <w:r>
        <w:t>. O‘zbekistonda esa bu yo‘nalishdagi ilmiy ishlar alohida ko‘rsatkichlarni prognoz qilish bilan cheklangan: B.T. Berdiyarov likvidlik ko‘rsatkichini ARIMA modeli yordamida prognoz qilgan</w:t>
      </w:r>
      <w:r>
        <w:rPr>
          <w:rStyle w:val="aff8"/>
        </w:rPr>
        <w:footnoteReference w:id="511"/>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2026-yil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2027-yil</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2028-yil</w:t>
            </w:r>
          </w:p>
        </w:tc>
        <w:tc>
          <w:tcPr>
            <w:tcW w:w="476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Ssenariyning asosi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2021–2025-yillardagi o‘rtacha o‘sish sur’ati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Ijobiy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Tahlil davridagi eng yuqori o‘sish sur’ati (2021-yil)</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Keskin salbiy</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w:t>
            </w:r>
          </w:p>
        </w:tc>
        <w:tc>
          <w:tcPr>
            <w:tcW w:w="476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3"/>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O‘zgaruvchi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1-model: tizim, muammoli kreditlar ulushi</w:t>
            </w:r>
          </w:p>
        </w:tc>
        <w:tc>
          <w:tcPr>
            <w:tcW w:w="238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2-model: bank paneli, muammoli kreditlar ulushi</w:t>
            </w:r>
          </w:p>
        </w:tc>
        <w:tc>
          <w:tcPr>
            <w:tcW w:w="226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3-model: bank paneli, ROA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(t−1)</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0,494*** (0,134)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0,684*** (0,100)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−0,151*** (0,059)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−0,153** (0,060)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−0,201*** (0,076)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Konstanta</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2,983*** (0,874)</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2,049*** (0,536)</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3,353*** (0,266)</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effektlari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ha</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 chorak – 2025-y. IV chorak (YaIM laglari 2020-yildan)</w:t>
            </w:r>
          </w:p>
        </w:tc>
        <w:tc>
          <w:tcPr>
            <w:tcW w:w="238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2021-y. IV chorak – 2025-y. IV chorak</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Kuzatuvlar soni</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420</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rsidTr="005603EC">
        <w:trPr>
          <w:cantSplit/>
        </w:trPr>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R²</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 (bank ichidagi)</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 (bank ichidagi)</w:t>
            </w:r>
          </w:p>
        </w:tc>
      </w:tr>
      <w:tr w:rsidR="005603EC" w:rsidTr="005603EC">
        <w:trPr>
          <w:cantSplit/>
        </w:trPr>
        <w:tc>
          <w:tcPr>
            <w:tcW w:w="226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o‘sishining 1 foiz punktga barqaror pasayishining uzoq muddatli ta’siri, foiz punkt</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238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2268"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5"/>
      </w:r>
      <w:r>
        <w:rPr>
          <w:rStyle w:val="aff8"/>
        </w:rPr>
        <w:footnoteReference w:id="516"/>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Prognoz qilingan yil</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Haqiqiy qiymat (I–IV chorak), %</w:t>
            </w:r>
          </w:p>
        </w:tc>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etilgan usul bo‘yicha prognoz, %</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taklif etilgan usul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o‘zgarishsiz holat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O‘rtacha xato: o‘rtachaga qaytuvchi model</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3,38; 3,73; 3,53</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 3,84; 3,77; 3,65</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0,21</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1,08</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2024</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4,52; 4,05; 4,18; 3,97</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3,40; 3,43; 3,48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0,65</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0,33</w:t>
            </w:r>
          </w:p>
        </w:tc>
      </w:tr>
      <w:tr w:rsidR="005603EC" w:rsidTr="005603EC">
        <w:trPr>
          <w:cantSplit/>
        </w:trPr>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2025</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 3,80; 3,65; 2,99</w:t>
            </w:r>
          </w:p>
        </w:tc>
        <w:tc>
          <w:tcPr>
            <w:tcW w:w="204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 3,98; 3,99; 3,98</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0,44</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t xml:space="preserve">.</w:t>
      </w:r>
      <w:r>
        <w:t xml:space="preserve"> Bazel qo‘mitasining tamoyillari ham stress-test natijalarini aynan shu ma’noda talqin qilishni tavsiya etadi</w:t>
      </w:r>
      <w:r>
        <w:rPr>
          <w:rStyle w:val="aff8"/>
        </w:rPr>
        <w:footnoteReference w:id="518"/>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9"/>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2028</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7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2028</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 soni: yashil / sariq / qizil zona</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 9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10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 8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 / 7 / 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 9 / 2</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9 / 1</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 9 / 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 8 / 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aktivlari ulushi, %</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79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1"/>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Guruh</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kreditlar ulushi,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0,62</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ROA,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 medianasi, ball</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r>
      <w:tr w:rsidR="005603EC" w:rsidTr="005603EC">
        <w:trPr>
          <w:cantSplit/>
        </w:trPr>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Qizil zonadagi banklar soni</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Boshqa banklar</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 va hisobot</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41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 2,7 %)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 2,5 %)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 3,3 %)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 4,0 %)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“O‘zsanoatqurilishbank”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 7,5 %)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(sariq; 8,1 %)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(sariq; 7,3 %)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 9,7 %)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(qizil; 11,8 %)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milliy hisobot (MBII-8)</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 4,4 %)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 4,8 %)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 4,3 %)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 5,7 %)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 7,0 %)</w:t>
            </w:r>
          </w:p>
        </w:tc>
      </w:tr>
      <w:tr w:rsidR="005603EC" w:rsidTr="005603EC">
        <w:trPr>
          <w:cantSplit/>
        </w:trPr>
        <w:tc>
          <w:tcPr>
            <w:tcW w:w="204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“Mikrokreditbank” ATB, </w:t>
            </w:r>
            <w:r>
              <w:rPr>
                <w:rFonts w:ascii="Times New Roman" w:hAnsi="Times New Roman" w:eastAsia="Times New Roman" w:cs="Times New Roman"/>
                <w:sz w:val="24"/>
                <w:szCs w:val="24"/>
              </w:rPr>
              <w:t>MHXS hisoboti (MBII-13)</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 (qizil; 12,3 %)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(qizil; 13,3 %)</w:t>
            </w:r>
          </w:p>
        </w:tc>
        <w:tc>
          <w:tcPr>
            <w:tcW w:w="147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2,49 (qizil; 12,0 %)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16,1 %)</w:t>
            </w:r>
          </w:p>
        </w:tc>
        <w:tc>
          <w:tcPr>
            <w:tcW w:w="141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4"/>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t xml:space="preserve">ning</w:t>
      </w:r>
      <w:r>
        <w:t xml:space="preserve">, ayniqsa davlat banklarining kapital monandligi minimal talabdan pastga tushadi</w:t>
      </w:r>
      <w:r>
        <w:rPr>
          <w:rStyle w:val="aff8"/>
        </w:rPr>
        <w:footnoteReference w:id="525"/>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6"/>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7"/>
      </w:r>
      <w:r>
        <w:t>. Hatto asosiy ssenariyda ham to‘qqizta davlat bankidan beshtasi, jumladan ikkita tizimli ahamiyatga molik bank minimal talabdan pastga tushadi</w:t>
      </w:r>
      <w:r>
        <w:rPr>
          <w:rStyle w:val="aff8"/>
        </w:rPr>
        <w:footnoteReference w:id="528"/>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9"/>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30"/>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Yo‘nalish</w:t>
            </w:r>
          </w:p>
        </w:tc>
        <w:tc>
          <w:tcPr>
            <w:tcW w:w="260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FSAP tavsiyasi va “yo‘l xaritasi” chorasi</w:t>
            </w:r>
          </w:p>
        </w:tc>
        <w:tc>
          <w:tcPr>
            <w:tcW w:w="249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Tadqiqot natijasi</w:t>
            </w:r>
          </w:p>
        </w:tc>
        <w:tc>
          <w:tcPr>
            <w:tcW w:w="272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Muallif taklifi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sifatini to‘g‘ri aks ettirish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2.3-§: </w:t>
            </w:r>
            <w:r>
              <w:rPr>
                <w:rFonts w:ascii="Times New Roman" w:hAnsi="Times New Roman" w:eastAsia="Times New Roman" w:cs="Times New Roman"/>
                <w:sz w:val="24"/>
                <w:szCs w:val="24"/>
              </w:rPr>
              <w:t xml:space="preserve">yashirin kredit riski koeffitsiyenti 1,65–4,90</w:t>
            </w:r>
            <w:r>
              <w:rPr>
                <w:rFonts w:ascii="Times New Roman" w:hAnsi="Times New Roman" w:eastAsia="Times New Roman" w:cs="Times New Roman"/>
                <w:sz w:val="24"/>
                <w:szCs w:val="24"/>
              </w:rPr>
              <w:t xml:space="preserve">; 3-bosqich kreditlarining 57,2 % milliy tasnifda “standart” yoki “substandart”</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5-chora: oshkor qilishga minimal talablar; 19-chora: MHXS asosidagi nazorat hisobotlari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2.3, 3.2-§: ochiq ma’lumotlarda MHXS 9 bosqichlari va bank kesimidagi prudensial ko‘rsatkichlar yo‘q</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Masofaviy baholash</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masofaviy nazoratda banklarning risk profilini baholashni takomillashtirish (8-tavsiya)</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3.1-§: 5 blok va 13 ko‘rsatkichdan iborat integral indeks; 3.3-§: indeks iqtisodiy omillar bilan ahamiyatli bog‘langan</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Erta ogohlantirish va tezkor choralar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4.1-§: indeksning bashorat kuchi AUC = 0,86; qizil zonada muammo ehtimoli 50 %, yashil zonada 2 %</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stress-test ma’lumotlarini qoidalardagi bo‘shliqlarga tuzatish (1-tavsiya); “yo‘l xaritasi”, 7, 12-choralar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ishtirokidagi banklar</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Banklarning ichki baholashi</w:t>
            </w:r>
          </w:p>
        </w:tc>
        <w:tc>
          <w:tcPr>
            <w:tcW w:w="260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“yo‘l xaritasi”, 7-chora: tizimli banklarda ICAAP</w:t>
            </w:r>
          </w:p>
        </w:tc>
        <w:tc>
          <w:tcPr>
            <w:tcW w:w="249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3.3, 4.1-§: likvidlik bloki eng zaif; aktivlar sifati bloki eng kuchli signal beradi</w:t>
            </w:r>
          </w:p>
        </w:tc>
        <w:tc>
          <w:tcPr>
            <w:tcW w:w="272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2"/>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3"/>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4"/>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5"/>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6"/>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7"/>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milliy, %</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3-bosqich kreditlari ulushi: MHXS, %</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Yashirin kredit riski koeffitsiyenti</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MBII-8: milliy hisobot</w:t>
            </w:r>
          </w:p>
        </w:tc>
        <w:tc>
          <w:tcPr>
            <w:tcW w:w="1020"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MBII-13: MHXS hisoboti</w:t>
            </w:r>
          </w:p>
        </w:tc>
        <w:tc>
          <w:tcPr>
            <w:tcW w:w="107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milliy hisobot</w:t>
            </w:r>
          </w:p>
        </w:tc>
        <w:tc>
          <w:tcPr>
            <w:tcW w:w="113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Zona: MHXS hisoboti</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qizil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r w:rsidR="005603EC" w:rsidTr="005603EC">
        <w:trPr>
          <w:cantSplit/>
        </w:trPr>
        <w:tc>
          <w:tcPr>
            <w:tcW w:w="1928"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“Aloqabank” ATB</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020"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077"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yashil</w:t>
            </w:r>
          </w:p>
        </w:tc>
        <w:tc>
          <w:tcPr>
            <w:tcW w:w="1134"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9"/>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40"/>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1"/>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2"/>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3"/>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Jihat</w:t>
            </w:r>
          </w:p>
        </w:tc>
        <w:tc>
          <w:tcPr>
            <w:tcW w:w="3742"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Amaldagi amaliyot</w:t>
            </w:r>
          </w:p>
        </w:tc>
        <w:tc>
          <w:tcPr>
            <w:tcW w:w="385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Taklif etilayotgan tizim</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Baholash asosi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Prudensial normativlarga rioya qilish va kuratorlarning asoslangan mulohazasi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Milliy tasnif bo‘yicha muammoli kreditlar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ko‘magi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Alohida baholanmaydi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 banklari uchun davlat ko‘magisiz indeks</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Signal va choralar</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Choralar asosan normativ buzilgandan keyin qo‘llanadi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lastRenderedPageBreak/>
              <w:t>Bashorat elementi</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Tizim darajasidagi stress-test</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Empirik tekshiruv</w:t>
            </w:r>
          </w:p>
        </w:tc>
        <w:tc>
          <w:tcPr>
            <w:tcW w:w="3742"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Natijalar e’lon qilinmaydi</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Oshkoralik</w:t>
            </w:r>
          </w:p>
        </w:tc>
        <w:tc>
          <w:tcPr>
            <w:tcW w:w="3742"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Bank kesimida cheklangan ko‘rsatkichlar</w:t>
            </w:r>
          </w:p>
        </w:tc>
        <w:tc>
          <w:tcPr>
            <w:tcW w:w="385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5"/>
      </w:r>
      <w:r>
        <w:t>.</w:t>
      </w:r>
    </w:p>
    <w:p w:rsidR="005603EC" w:rsidRDefault="00AB61AC">
      <w:pPr>
        <w:pStyle w:val="af"/>
        <w:spacing w:after="0" w:line="360" w:lineRule="auto"/>
        <w:ind w:firstLine="709"/>
        <w:jc w:val="both"/>
      </w:pPr>
      <w:r>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6"/>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Bosqich</w:t>
            </w:r>
          </w:p>
        </w:tc>
        <w:tc>
          <w:tcPr>
            <w:tcW w:w="3175"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Chora-tadbirlar</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Mas’ul</w:t>
            </w:r>
          </w:p>
        </w:tc>
        <w:tc>
          <w:tcPr>
            <w:tcW w:w="1361"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“Yo‘l xaritasi”dagi bog‘liq chora</w:t>
            </w:r>
          </w:p>
        </w:tc>
        <w:tc>
          <w:tcPr>
            <w:tcW w:w="2154" w:type="dxa"/>
            <w:shd w:val="clear" w:color="auto" w:fill="DEEBF7"/>
            <w:vAlign w:val="center"/>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Natija ko‘rsatkichi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 bosqich (2026-yil)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5, 18,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 bosqich (2027-yil)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 Iqtisodiyot va moliya vazirligi, banklar</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 12, 17-choralar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III bosqich (2028-yil)</w:t>
            </w:r>
          </w:p>
        </w:tc>
        <w:tc>
          <w:tcPr>
            <w:tcW w:w="3175"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Markaziy bank</w:t>
            </w:r>
          </w:p>
        </w:tc>
        <w:tc>
          <w:tcPr>
            <w:tcW w:w="1361" w:type="dxa"/>
          </w:tcPr>
          <w:p w:rsidR="005603EC" w:rsidRDefault="00AB61AC">
            <w:pPr>
              <w:pStyle w:val="Compact"/>
              <w:spacing w:line="240" w:lineRule="auto"/>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19-choralar</w:t>
            </w:r>
          </w:p>
        </w:tc>
        <w:tc>
          <w:tcPr>
            <w:tcW w:w="2154" w:type="dxa"/>
          </w:tcPr>
          <w:p w:rsidR="005603EC" w:rsidRDefault="00AB61AC">
            <w:pPr>
              <w:pStyle w:val="Compact"/>
              <w:spacing w:line="24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 xml:space="preserve">Milliy hisobotdagi muammoli kreditlar ko‘rsatkichining kredit riskini kamsitib ko‘rsatish darajasini o‘lchash uchun yashirin kredit riski koeffitsiyenti taklif etildi. U tahlil qilingan banklarda 1,7–5,6 ni, “O‘zsanoatqurilishbank” ATB da 1,65–2,96 ni, “Mikrokreditbank” ATB da </w:t>
      </w:r>
      <w:r>
        <w:rPr/>
        <w:t xml:space="preserve">2,77–3,28</w:t>
      </w:r>
      <w:r>
        <w:t xml:space="preserve">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t xml:space="preserve">(</w:t>
      </w:r>
      <w:r>
        <w:t xml:space="preserve">kapital yetarliligi, aktivlar sifati, likvidlik, daromadlilik va valyuta riskiga sezgirlik</w:t>
      </w:r>
      <w:r>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t xml:space="preserve">. Shu bilan birga, banklar tartibi</w:t>
      </w:r>
      <w:r>
        <w:t xml:space="preserve"> vaznlarning oqilona o‘zgarishlariga barqaror </w:t>
      </w:r>
      <w:r>
        <w:rPr/>
        <w:t>(tartib korrelyatsiyasi 0,95–0,98)</w:t>
      </w:r>
      <w:r>
        <w:t xml:space="preserve">. </w:t>
      </w:r>
      <w:r>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 xml:space="preserve">90.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415 с.</w:t>
      </w:r>
    </w:p>
    <w:p w:rsidR="005603EC" w:rsidRPr="009E01BD" w:rsidRDefault="00AB61AC">
      <w:pPr>
        <w:pStyle w:val="af"/>
        <w:spacing w:after="0" w:line="360" w:lineRule="auto"/>
        <w:ind w:firstLine="709"/>
        <w:jc w:val="both"/>
        <w:rPr>
          <w:lang w:val="ru-RU"/>
        </w:rPr>
      </w:pPr>
      <w:r>
        <w:rPr>
          <w:lang w:val="ru-RU"/>
        </w:rPr>
        <w:t>91.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92.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94.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95.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96.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97.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98.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99. Adrian T., Brunnermeier M.K. CoVaR // American Economic Review. – 2016. – Vol. 106, No. 7. – P. 1705–1741.</w:t>
      </w:r>
    </w:p>
    <w:p w:rsidR="005603EC" w:rsidRDefault="00AB61AC">
      <w:pPr>
        <w:pStyle w:val="af"/>
        <w:spacing w:after="0" w:line="360" w:lineRule="auto"/>
        <w:ind w:firstLine="709"/>
        <w:jc w:val="both"/>
      </w:pPr>
      <w:r>
        <w:t>100.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101.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102.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103.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104.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105.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106.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107.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108.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109. Charoenwong B., Miao M., Ruan T. Nonperforming Loan Disposals Without Resolution // Management Science. – 2025. – Vol. 71, No. 1. – P. 898–916.</w:t>
      </w:r>
    </w:p>
    <w:p w:rsidR="005603EC" w:rsidRDefault="00AB61AC">
      <w:pPr>
        <w:pStyle w:val="af"/>
        <w:spacing w:after="0" w:line="360" w:lineRule="auto"/>
        <w:ind w:firstLine="709"/>
        <w:jc w:val="both"/>
      </w:pPr>
      <w:r>
        <w:t>110.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111.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112.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113.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114. Correia S., Luck S., Verner E. Failing Banks // Quarterly Journal of Economics. – 2026. – Vol. 141, No. 1. – P. 147–204.</w:t>
      </w:r>
    </w:p>
    <w:p w:rsidR="005603EC" w:rsidRDefault="00AB61AC">
      <w:pPr>
        <w:pStyle w:val="af"/>
        <w:spacing w:after="0" w:line="360" w:lineRule="auto"/>
        <w:ind w:firstLine="709"/>
        <w:jc w:val="both"/>
      </w:pPr>
      <w:r>
        <w:t>115.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116.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117.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118.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119.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120. Diamond D.W., Dybvig P.H. Bank Runs, Deposit Insurance, and Liquidity // Journal of Political Economy. – 1983. – Vol. 91, No. 3. – P. 401–419.</w:t>
      </w:r>
    </w:p>
    <w:p w:rsidR="005603EC" w:rsidRDefault="00AB61AC">
      <w:pPr>
        <w:pStyle w:val="af"/>
        <w:spacing w:after="0" w:line="360" w:lineRule="auto"/>
        <w:ind w:firstLine="709"/>
        <w:jc w:val="both"/>
      </w:pPr>
      <w:r>
        <w:rPr/>
        <w:t xml:space="preserve">121. Diamond D.W., Rajan R.G. Liquidity Risk, Liquidity Creation, and Financial Fragility: A Theory of Banking // Journal of Political Economy. – 2001. – Vol. 109, No. 2. – P. 287–327.</w:t>
      </w:r>
    </w:p>
    <w:p w:rsidR="005603EC" w:rsidRDefault="00AB61AC">
      <w:pPr>
        <w:pStyle w:val="af"/>
        <w:spacing w:after="0" w:line="360" w:lineRule="auto"/>
        <w:ind w:firstLine="709"/>
        <w:jc w:val="both"/>
      </w:pPr>
      <w:r>
        <w:t>122. Fawcett T. An introduction to ROC analysis // Pattern Recognition Letters. – 2006. – Vol. 27, No. 8. – P. 861–874.</w:t>
      </w:r>
    </w:p>
    <w:p w:rsidR="005603EC" w:rsidRDefault="00AB61AC">
      <w:pPr>
        <w:pStyle w:val="af"/>
        <w:spacing w:after="0" w:line="360" w:lineRule="auto"/>
        <w:ind w:firstLine="709"/>
        <w:jc w:val="both"/>
      </w:pPr>
      <w:r>
        <w:t>123. Foos D., Norden L., Weber M. Loan growth and riskiness of banks // Journal of Banking &amp; Finance. – 2010. – Vol. 34, No. 12. – P. 2929–2940.</w:t>
      </w:r>
    </w:p>
    <w:p w:rsidR="005603EC" w:rsidRDefault="00AB61AC">
      <w:pPr>
        <w:pStyle w:val="af"/>
        <w:spacing w:after="0" w:line="360" w:lineRule="auto"/>
        <w:ind w:firstLine="709"/>
        <w:jc w:val="both"/>
      </w:pPr>
      <w:r>
        <w:t>124.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125. Hausman J.A. Specification Tests in Econometrics // Econometrica. – 1978. – Vol. 46, No. 6. – P. 1251–1271.</w:t>
      </w:r>
    </w:p>
    <w:p w:rsidR="005603EC" w:rsidRDefault="00AB61AC">
      <w:pPr>
        <w:pStyle w:val="af"/>
        <w:spacing w:after="0" w:line="360" w:lineRule="auto"/>
        <w:ind w:firstLine="709"/>
        <w:jc w:val="both"/>
      </w:pPr>
      <w:r>
        <w:t>126.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127.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128.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129. Kaminsky G., Lizondo S., Reinhart C.M. Leading Indicators of Currency Crises // IMF Staff Papers. – 1998. – Vol. 45, No. 1. – P. 1–48.</w:t>
      </w:r>
    </w:p>
    <w:p w:rsidR="005603EC" w:rsidRDefault="00AB61AC">
      <w:pPr>
        <w:pStyle w:val="af"/>
        <w:spacing w:after="0" w:line="360" w:lineRule="auto"/>
        <w:ind w:firstLine="709"/>
        <w:jc w:val="both"/>
      </w:pPr>
      <w:r>
        <w:t>130.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131. Laeven L., Levine R. Bank governance, regulation and risk taking // Journal of Financial Economics. – 2009. – Vol. 93, No. 2. – P. 259–275.</w:t>
      </w:r>
    </w:p>
    <w:p w:rsidR="005603EC" w:rsidRDefault="00AB61AC">
      <w:pPr>
        <w:pStyle w:val="af"/>
        <w:spacing w:after="0" w:line="360" w:lineRule="auto"/>
        <w:ind w:firstLine="709"/>
        <w:jc w:val="both"/>
      </w:pPr>
      <w:r>
        <w:t>132. Laeven L., Valencia F. Systemic Banking Crises Database II // IMF Economic Review. – 2020. – Vol. 68, No. 2. – P. 307–361.</w:t>
      </w:r>
    </w:p>
    <w:p w:rsidR="005603EC" w:rsidRDefault="00AB61AC">
      <w:pPr>
        <w:pStyle w:val="af"/>
        <w:spacing w:after="0" w:line="360" w:lineRule="auto"/>
        <w:ind w:firstLine="709"/>
        <w:jc w:val="both"/>
      </w:pPr>
      <w:r>
        <w:t>133.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134.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135.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136.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137.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138. Mishkin F.S. Global Financial Instability: Framework, Events, Issues // Journal of Economic Perspectives. – 1999. – Vol. 13, No. 4. – P. 3–20.</w:t>
      </w:r>
    </w:p>
    <w:p w:rsidR="005603EC" w:rsidRDefault="00AB61AC">
      <w:pPr>
        <w:pStyle w:val="af"/>
        <w:spacing w:after="0" w:line="360" w:lineRule="auto"/>
        <w:ind w:firstLine="709"/>
        <w:jc w:val="both"/>
      </w:pPr>
      <w:r>
        <w:t>139. Nickell S. Biases in Dynamic Models with Fixed Effects // Econometrica. – 1981. – Vol. 49, No. 6. – P. 1417–1426.</w:t>
      </w:r>
    </w:p>
    <w:p w:rsidR="005603EC" w:rsidRDefault="00AB61AC">
      <w:pPr>
        <w:pStyle w:val="af"/>
        <w:spacing w:after="0" w:line="360" w:lineRule="auto"/>
        <w:ind w:firstLine="709"/>
        <w:jc w:val="both"/>
      </w:pPr>
      <w:r>
        <w:t>140. Roy A.D. Safety First and the Holding of Assets // Econometrica. – 1952. – Vol. 20, No. 3. – P. 431–449.</w:t>
      </w:r>
    </w:p>
    <w:p w:rsidR="005603EC" w:rsidRDefault="00AB61AC">
      <w:pPr>
        <w:pStyle w:val="af"/>
        <w:spacing w:after="0" w:line="360" w:lineRule="auto"/>
        <w:ind w:firstLine="709"/>
        <w:jc w:val="both"/>
      </w:pPr>
      <w:r>
        <w:t>141.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142. Shannon C.E. A Mathematical Theory of Communication // Bell System Technical Journal. – 1948. – Vol. 27, No. 3. – P. 379–423.</w:t>
      </w:r>
    </w:p>
    <w:p w:rsidR="005603EC" w:rsidRDefault="00AB61AC">
      <w:pPr>
        <w:pStyle w:val="af"/>
        <w:spacing w:after="0" w:line="360" w:lineRule="auto"/>
        <w:ind w:firstLine="709"/>
        <w:jc w:val="both"/>
      </w:pPr>
      <w:r>
        <w:t>143.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144.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145.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146.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147.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148.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149.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150.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151.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152.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153.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154.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155.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156.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157.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158.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159.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160.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161.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162.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163.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164.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165.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166.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167.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168.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169.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170. O‘zbekiston Respublikasi Markaziy banki. Statistik byulleten: 2021-yil. – Toshkent, 2022. – https://cbu.uz/uz/statistics/buleten/.</w:t>
      </w:r>
    </w:p>
    <w:p w:rsidR="005603EC" w:rsidRDefault="00AB61AC">
      <w:pPr>
        <w:pStyle w:val="af"/>
        <w:spacing w:after="0" w:line="360" w:lineRule="auto"/>
        <w:ind w:firstLine="709"/>
        <w:jc w:val="both"/>
      </w:pPr>
      <w:r>
        <w:t>171. O‘zbekiston Respublikasi Markaziy banki. Statistik byulleten: 2026-yil mart. – Toshkent, 2026. – https://cbu.uz/uz/statistics/buleten/.</w:t>
      </w:r>
    </w:p>
    <w:p w:rsidR="005603EC" w:rsidRDefault="00AB61AC">
      <w:pPr>
        <w:pStyle w:val="af"/>
        <w:spacing w:after="0" w:line="360" w:lineRule="auto"/>
        <w:ind w:firstLine="709"/>
        <w:jc w:val="both"/>
      </w:pPr>
      <w:r>
        <w:t>172. O‘zbekiston Respublikasi Markaziy banki. Moliyaviy barqarorlik sharhi: 2022-yil. – Toshkent, 2023.</w:t>
      </w:r>
    </w:p>
    <w:p w:rsidR="005603EC" w:rsidRDefault="00AB61AC">
      <w:pPr>
        <w:pStyle w:val="af"/>
        <w:spacing w:after="0" w:line="360" w:lineRule="auto"/>
        <w:ind w:firstLine="709"/>
        <w:jc w:val="both"/>
      </w:pPr>
      <w:r>
        <w:t>173. The Central Bank of the Republic of Uzbekistan. Financial Stability Report for 2023. – Tashkent, 2024.</w:t>
      </w:r>
    </w:p>
    <w:p w:rsidR="005603EC" w:rsidRDefault="00AB61AC">
      <w:pPr>
        <w:pStyle w:val="af"/>
        <w:spacing w:after="0" w:line="360" w:lineRule="auto"/>
        <w:ind w:firstLine="709"/>
        <w:jc w:val="both"/>
      </w:pPr>
      <w:r>
        <w:t>174. O‘zbekiston Respublikasi Markaziy banki. 2024-yil uchun moliyaviy barqarorlik sharhi. – Toshkent, 2025.</w:t>
      </w:r>
    </w:p>
    <w:p w:rsidR="005603EC" w:rsidRDefault="00AB61AC">
      <w:pPr>
        <w:pStyle w:val="af"/>
        <w:spacing w:after="0" w:line="360" w:lineRule="auto"/>
        <w:ind w:firstLine="709"/>
        <w:jc w:val="both"/>
      </w:pPr>
      <w:r>
        <w:t>175. The Central Bank of the Republic of Uzbekistan. Financial Stability Report for 2025. – Tashkent, 2026.</w:t>
      </w:r>
    </w:p>
    <w:p w:rsidR="005603EC" w:rsidRDefault="00AB61AC">
      <w:pPr>
        <w:pStyle w:val="af"/>
        <w:spacing w:after="0" w:line="360" w:lineRule="auto"/>
        <w:ind w:firstLine="709"/>
        <w:jc w:val="both"/>
      </w:pPr>
      <w:r>
        <w:t>176. The Central Bank of the Republic of Uzbekistan. Annual Report 2023. – Tashkent, 2024.</w:t>
      </w:r>
    </w:p>
    <w:p w:rsidR="005603EC" w:rsidRDefault="00AB61AC">
      <w:pPr>
        <w:pStyle w:val="af"/>
        <w:spacing w:after="0" w:line="360" w:lineRule="auto"/>
        <w:ind w:firstLine="709"/>
        <w:jc w:val="both"/>
      </w:pPr>
      <w:r>
        <w:t>177.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178.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179.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180.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181.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 xml:space="preserve">183.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184.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 xml:space="preserve">185.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 xml:space="preserve">187.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 xml:space="preserve">189.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190.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191.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192.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193.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194.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t xml:space="preserve">195.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t xml:space="preserve">196.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t xml:space="preserve">197.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198.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199.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t xml:space="preserve">200.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201.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t xml:space="preserve">203.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204.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t xml:space="preserve">205.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206. </w:t>
      </w:r>
      <w:r>
        <w:rPr/>
        <w:t>O‘zbekiston Respublikasi Markaziy banki. Moliyaviy barqarorlik sharhi: 2025-yil. – Toshkent, 2026.</w:t>
      </w:r>
    </w:p>
    <w:p w:rsidR="005603EC" w:rsidRDefault="00AB61AC">
      <w:pPr>
        <w:pStyle w:val="af"/>
        <w:spacing w:after="0" w:line="360" w:lineRule="auto"/>
        <w:ind w:firstLine="709"/>
        <w:jc w:val="both"/>
      </w:pPr>
      <w:r>
        <w:t>207. The Central Bank of the Republic of Uzbekistan. Financial Stability Report for H1 2025. – Tashkent, 2025. – https://cbu.uz.</w:t>
      </w:r>
    </w:p>
    <w:p w:rsidR="005603EC" w:rsidRDefault="00AB61AC">
      <w:pPr>
        <w:pStyle w:val="af"/>
        <w:spacing w:after="0" w:line="360" w:lineRule="auto"/>
        <w:ind w:firstLine="709"/>
        <w:jc w:val="both"/>
      </w:pPr>
      <w:r>
        <w:t>208.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209.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210.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20,4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 (1,79)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(3,03)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 (3,35)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421,6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221,0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(3,49)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(3,14)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64,9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63,0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62,4 (1,17)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61,2 (1,25)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60,4 (1,64)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2,72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 (1,30)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(1,83)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 (1,88)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(1,92)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 (1,97)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 (1,58)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(1,09)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 (1,07)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(1,16)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(2,79)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71,1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87,6 (1,62)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2,18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2,31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2,22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(3,16)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(1,49)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14,3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 (2,75)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(1,82)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 (2,37)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(3,69)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(3,00)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 (1,73)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21,4 (1,86)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9,7 (1,93)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(3,60)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425,4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242,2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 (3,20)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(1,13)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62,2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50,7 (3,62)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47,6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81,0 (1,95)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27,4 (3,51)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(3,91)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(3,59)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 (3,47)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2,25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2,03 (zaif)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2,58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(3,90)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8,8 (3,33)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(1,25)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 (2,96)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(2,86)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 (3,89)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(2,17)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(1,99)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448,1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417,2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−7,9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12,0 (3,40)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 (3,95)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46,8 (3,88)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(3,75)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2,96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(3,81)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16,6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(2,62)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10,9 (2,91)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14,6 (2,91)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227,3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276,4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228,9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47,5 (3,83)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(3,06)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 (3,67)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44,3 (2,71)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 (3,37)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(3,72)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3,32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3,37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9,6 (3,65)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9,8 (3,71)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14,4 (3,55)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12,5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(3,83)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 (3,41)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13,1 (3,04)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 (2,01)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7,5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 (2,56)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(2,73)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(3,48)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(2,30)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(2,28)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 (2,22)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(2,78)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12,7 (2,54)</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123,1 (2,54)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128,0 (2,44)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124,9 (2,50)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105,6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140,1 (2,20)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(2,82)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(3,32)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 (2,84)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57,1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 (2,94)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52,2 (3,52)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(1,63)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89,0 (1,55)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45,3 (2,65)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41,7 (2,89)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2,97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3,17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3,10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11,9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10,2 (3,88)</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15,3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11,6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 (3,61)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14,8 (3,04)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(2,66)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(3,92)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17,7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 (2,98)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12,9 (2,59)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10,6 (2,12)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18,3 (3,66)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315,7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(3,82)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 (2,88)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(3,34)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 (3,96)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 (2,52)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(3,20)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13,9 (3,78)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21,5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(1,06)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62,6 (1,16)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60,1 (1,33)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70,8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69,8 (1,01)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66,0 (1,27)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60,9 (1,61)</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3,29 (barqaror)</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3,14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3,09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13,0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13,8 (3,30)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 (3,95)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18,5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17,2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21,7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20,6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18,7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 (2,81)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 (2,80)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(3,19)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(3,30)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 (4,00)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19,3 (2,57)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 (2,05)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21,3 (2,37)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9,0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 (2,39)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6,2 (3,38)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 (2,74)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 (3,54)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 (2,97)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 (2,09)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 (2,00)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11,0 (2,20)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12,3 (2,46)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15,5 (3,09)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246,2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222,4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208,5 (1,00)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 (1,46)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(1,20)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 (1,33)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 (1,85)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 (1,38)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 (1,14)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(1,22)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−45,5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(1,69)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70,6 (2,47)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89,7 (1,52)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103,1 (1,00)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65,5 (2,72)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(3,46)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 (3,63)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 (3,86)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18,4 (4,00)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 (3,12)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(3,42)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(3,71)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 (3,66)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(3,57)</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2,05</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r>
      <w:tr w:rsidR="005603EC">
        <w:trPr>
          <w:cantSplit/>
        </w:trPr>
        <w:tc>
          <w:tcPr>
            <w:tcW w:w="481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MBII (sinf)</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2,81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2,79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2,65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2,78 (qoniqarli)</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Tarkibiy qismlar</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1-variant: Markaziy bank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2-variant: Bazel III metodikasi, milliy hisobot</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3-variant: Markaziy bank metodikasi, MHXS</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4-variant: Bazel III metodikasi, MHXS</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11 875,2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10 273,8</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50 126,3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Bir yilgacha va muddatsiz majburiyatlar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12 131,2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16 156,4</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Mavjud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74 132,6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78 157,9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72 531,3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76 556,6</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yildan ortiq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42 221,4</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35 639,3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39 837,5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33 613,0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Muddati bir yilgacha aktivlar (koeffitsiyent bilan)</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11 317,3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16 926,9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10 852,7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16 152,3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Muammoli va sud jarayonidagi kreditlar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2 639,0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436,0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5 539,9</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3 336,9</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vositalar va boshqa nolikvid aktivlar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3 767,7</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7 949,0</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Balansdan tashqari majburiyatlar</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702,2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304,1</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Talab qilinadigan barqaror moliyalashtirish</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60 647,6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61 255,3</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60 700,0</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61 355,3</w:t>
            </w:r>
          </w:p>
        </w:tc>
      </w:tr>
      <w:tr w:rsidR="005603EC">
        <w:trPr>
          <w:cantSplit/>
        </w:trPr>
        <w:tc>
          <w:tcPr>
            <w:tcW w:w="5499"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Sof barqaror moliyalashtirish me’yori,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122,2</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127,6</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119,5</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 IV</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III</w:t>
            </w:r>
          </w:p>
        </w:tc>
        <w:tc>
          <w:tcPr>
            <w:tcW w:w="12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2,22</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2,35</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3,53</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3,61</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3,48</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3,49</w:t>
            </w:r>
          </w:p>
        </w:tc>
        <w:tc>
          <w:tcPr>
            <w:tcW w:w="12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 IV</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III</w:t>
            </w:r>
          </w:p>
        </w:tc>
        <w:tc>
          <w:tcPr>
            <w:tcW w:w="139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IV</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3,93</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3,66</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r>
      <w:tr w:rsidR="005603EC">
        <w:trPr>
          <w:cantSplit/>
        </w:trPr>
        <w:tc>
          <w:tcPr>
            <w:tcW w:w="3402"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b/>
                <w:sz w:val="24"/>
                <w:szCs w:val="24"/>
              </w:rPr>
              <w:t>Mediana</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3,39</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3,57</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3,38</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3,44</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3,42</w:t>
            </w:r>
          </w:p>
        </w:tc>
        <w:tc>
          <w:tcPr>
            <w:tcW w:w="139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vAlign w:val="center"/>
          </w:tcPr>
          <w:p w:rsidR="005603EC" w:rsidRDefault="005603EC">
            <w:pPr>
              <w:jc w:val="center"/>
              <w:rPr>
                <w:rFonts w:ascii="Times New Roman" w:hAnsi="Times New Roman" w:eastAsia="Times New Roman" w:cs="Times New Roman"/>
                <w:sz w:val="24"/>
                <w:szCs w:val="24"/>
              </w:rPr>
            </w:pP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MBII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ln(Z)</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ln(aktivlar)</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Kredit o‘sishi (t−4)</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Depozit/aktiv</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NIM</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Davlat</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YaIM o‘sishi</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Inflyatsiya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stavka</w:t>
            </w:r>
          </w:p>
        </w:tc>
        <w:tc>
          <w:tcPr>
            <w:tcW w:w="124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USD kursi</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MBII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ln(Z)</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ln(aktivlar)</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Kredit o‘sishi (t−4)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Depozit/aktiv</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NIM</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Davlat</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YaIM o‘sishi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Inflyatsiya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−0,15</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−0,68</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Asosiy stavka</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0,04</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r>
      <w:tr w:rsidR="005603EC">
        <w:trPr>
          <w:cantSplit/>
        </w:trPr>
        <w:tc>
          <w:tcPr>
            <w:tcW w:w="1928"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USD kursi</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0,16</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0,07</w:t>
            </w:r>
          </w:p>
        </w:tc>
        <w:tc>
          <w:tcPr>
            <w:tcW w:w="124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Chegara (MBII)</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O‘tkazib yuborilgan hodisa</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Noto‘g‘ri signal</w:t>
            </w:r>
          </w:p>
        </w:tc>
        <w:tc>
          <w:tcPr>
            <w:tcW w:w="1587"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To‘g‘ri “signalsiz”</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 tur xato, %</w:t>
            </w:r>
          </w:p>
        </w:tc>
        <w:tc>
          <w:tcPr>
            <w:tcW w:w="147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II tur xato, %</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Shovqin/signal nisbati</w:t>
            </w:r>
          </w:p>
        </w:tc>
        <w:tc>
          <w:tcPr>
            <w:tcW w:w="170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Youden indeksi, %</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42,3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60,7</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216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208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58,4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54,1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0,38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101</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48,8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0,48</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43,8</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122</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43,3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41,4</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133</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149</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147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135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52,1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156</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126</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55,3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168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59,6</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178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104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63,1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0,71</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25,3</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24</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188</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94</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66,7</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0,72</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25,6</w:t>
            </w:r>
          </w:p>
        </w:tc>
      </w:tr>
      <w:tr w:rsidR="005603EC">
        <w:trPr>
          <w:cantSplit/>
        </w:trPr>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3,80</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197</w:t>
            </w:r>
          </w:p>
        </w:tc>
        <w:tc>
          <w:tcPr>
            <w:tcW w:w="1587"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w:t>
            </w:r>
          </w:p>
        </w:tc>
        <w:tc>
          <w:tcPr>
            <w:tcW w:w="147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69,9</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0,73</w:t>
            </w:r>
          </w:p>
        </w:tc>
        <w:tc>
          <w:tcPr>
            <w:tcW w:w="170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 (haqiqiy)</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Asosiy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Ijobiy 2027</w:t>
            </w:r>
          </w:p>
        </w:tc>
        <w:tc>
          <w:tcPr>
            <w:tcW w:w="187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Salbiy 2027</w:t>
            </w:r>
          </w:p>
        </w:tc>
        <w:tc>
          <w:tcPr>
            <w:tcW w:w="1984"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Keskin salbiy 2027</w:t>
            </w:r>
          </w:p>
        </w:tc>
        <w:tc>
          <w:tcPr>
            <w:tcW w:w="243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Muammoli kreditlar ulushi: 2025 → keskin salbiy 2027, %</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Agrobank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2,67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 → 5,2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Aloqa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Anor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4,7 → 7,5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Asaka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2,70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 → 5,7</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Asia Alliance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4,00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3,17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2,81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4,5 → 7,1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Davr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3,11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 → 5,1</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Garant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3,22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3,09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3,00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4,9 → 7,8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Hamkorbank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0,8 → 1,3</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Invest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3,31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3,18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Ipak yo‘li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1,1 → 1,8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3,24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3,14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5,6</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KDB Bank O‘zbekiston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 → 0,0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Kapital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3,75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2,84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2,91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2,72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2,58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4,4 → 6,9</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Orient Finance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3,86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 → 0,2</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O‘zmilliybank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3,33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3,57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3,49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 → 4,0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Tenge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3,34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3,252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3,15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 → 4,4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Tibisi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2,96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2,99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2,92 (sariq)</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2,87 (sariq)</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5,7 → 9,0</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Trast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3,82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3,70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 → 5,5</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Turon bank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2,88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2,83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2,90 (sariq)</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2,69 (qizil)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2,55 (qizil)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 → 5,4</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Universal bank</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3,98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0,5 → 0,8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(D)</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3,42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3,254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3,1 → 4,8</w:t>
            </w:r>
          </w:p>
        </w:tc>
      </w:tr>
      <w:tr w:rsidR="005603EC">
        <w:trPr>
          <w:cantSplit/>
        </w:trPr>
        <w:tc>
          <w:tcPr>
            <w:tcW w:w="317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Ziraat Bank Uzbekistan</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3,60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3,56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3,61 (yashil)</w:t>
            </w:r>
          </w:p>
        </w:tc>
        <w:tc>
          <w:tcPr>
            <w:tcW w:w="187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3,45 (yashil)</w:t>
            </w:r>
          </w:p>
        </w:tc>
        <w:tc>
          <w:tcPr>
            <w:tcW w:w="1984"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3,37 (yashil)</w:t>
            </w:r>
          </w:p>
        </w:tc>
        <w:tc>
          <w:tcPr>
            <w:tcW w:w="243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Ko‘rsatkich</w:t>
            </w:r>
          </w:p>
        </w:tc>
        <w:tc>
          <w:tcPr>
            <w:tcW w:w="2268"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Entropiya vazni</w:t>
            </w:r>
          </w:p>
        </w:tc>
        <w:tc>
          <w:tcPr>
            <w:tcW w:w="6066"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Blok</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K1. CET1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0,015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K2. Regulyativ kapital monandligi,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K3. Kapital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Kapital yetarliligi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A1. 3-bosqich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A2. 2-bosqich kreditlari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0,066</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A3. Qoplanmagan NPL / kapital,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0,125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Aktivlar sifati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L1. Yuqori likvid aktivlar / aktivlar,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0,029</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L2. Kreditlar / depozitlar,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0,000</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Likvidlik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D1. ROA,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0,193</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D2. ROE,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0,207</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D3. Xarajatlar / daromadlar,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0,062</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Daromadlilik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V1. Valyutadagi kreditlar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0,085</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r w:rsidR="005603EC">
        <w:trPr>
          <w:cantSplit/>
        </w:trPr>
        <w:tc>
          <w:tcPr>
            <w:tcW w:w="6236"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V2. Valyutadagi majburiyatlar ulushi, %</w:t>
            </w:r>
          </w:p>
        </w:tc>
        <w:tc>
          <w:tcPr>
            <w:tcW w:w="2268"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0,084</w:t>
            </w:r>
          </w:p>
        </w:tc>
        <w:tc>
          <w:tcPr>
            <w:tcW w:w="6066"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Bank</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2021</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2022</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2023</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2024</w:t>
            </w:r>
          </w:p>
        </w:tc>
        <w:tc>
          <w:tcPr>
            <w:tcW w:w="2041" w:type="dxa"/>
            <w:shd w:val="clear" w:color="auto" w:fill="DEEBF7"/>
            <w:vAlign w:val="center"/>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2025</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“O‘zsanoatqurilishbank”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92,8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93,0 / 55,8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92,3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86,0 / 50,5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95,2 / 62,2</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“Mikrokreditbank”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87,5 / 63,2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77,9 / 55,5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81,4 / 49,9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81,2 / 50,9</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56,2 / 43,1</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“Biznesni rivojlantirish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51,2 / 48,2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85,7 / 56,0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99,6 / 80,6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64,1 / 60,8</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56,8 / 47,3</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“Xalq banki”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76,6 / 59,6</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87,2 / 63,7</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92,9 / 55,0</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59,2 / 39,4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74,5 / 70,6</w:t>
            </w:r>
          </w:p>
        </w:tc>
      </w:tr>
      <w:tr w:rsidR="005603EC">
        <w:trPr>
          <w:cantSplit/>
        </w:trPr>
        <w:tc>
          <w:tcPr>
            <w:tcW w:w="4365" w:type="dxa"/>
          </w:tcPr>
          <w:p w:rsidR="005603EC" w:rsidRDefault="00AB61AC">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“Ipoteka-bank” ATB</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72,5 / 58,5</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77,1 / 60,3</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83,2 / 62,4</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73,1 / 41,2</w:t>
            </w:r>
          </w:p>
        </w:tc>
        <w:tc>
          <w:tcPr>
            <w:tcW w:w="2041" w:type="dxa"/>
          </w:tcPr>
          <w:p w:rsidR="005603EC" w:rsidRDefault="00AB61AC">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w:t>
            </w:r>
          </w:p>
        </w:tc>
        <w:tc>
          <w:tcPr>
            <w:tcW w:w="2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Bank, mamlakat</w:t>
            </w:r>
          </w:p>
        </w:tc>
        <w:tc>
          <w:tcPr>
            <w:tcW w:w="7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Yil</w:t>
            </w:r>
          </w:p>
        </w:tc>
        <w:tc>
          <w:tcPr>
            <w:tcW w:w="630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Rasmiy hisobotlarda qayd etilgan sabablar</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B</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A</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N</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F</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L</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S</w:t>
            </w:r>
          </w:p>
        </w:tc>
        <w:tc>
          <w:tcPr>
            <w:tcW w:w="42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D</w:t>
            </w:r>
          </w:p>
        </w:tc>
        <w:tc>
          <w:tcPr>
            <w:tcW w:w="1330" w:type="dxa"/>
            <w:shd w:val="clear" w:color="auto" w:fill="DEEBF7"/>
            <w:vAlign w:val="center"/>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Manba</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Greensill Bank AG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2021</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Balansdagi GFG Alliance guruhi debitorlik qarzlari mavjudligini tasdiqlay olmaslik (kredit konsentratsiyasi); balansni soxtalashtirish bo‘yicha jinoiy ariza</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Silicon Valley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Boshqaruv tez o‘sish va konsentratsiya risklarini nazorat qilmagan; foiz stavkasi riski xedjlari olib tashlangan; 40 mlrd dollarlik depozitlar oqimi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2023-SR-B-013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Signature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Likvidlik va favqulodda moliyalashtirish mexanizmlarining yetarli emasligi; boshqaruvning risk menejmenti amaliyoti zaif</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EVAL-24-02</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Republic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Sug‘urtalanmagan depozitlar konsentratsiyasi, aktiv va passivlar muddatlarining nomutanosibligi, foiz stavkasi riski; boshqa banklar inqirozining yuqumli ta’siri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EVAL-24-03</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Heartland Tri-State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direktorning firibgarlik bilan bog‘liq 47,1 mln dollarlik pul o‘tkazmalari; ichki nazoratning buzilishi va rahbarning hukmron mavqei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FRT OIG, 2024-SR-B-004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Citizens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Kengash va boshqaruvning sust kreditlash amaliyoti; yirik yuk tashish kompaniyalari kreditlarining yomonlashuvi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AEC 24-01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North Channel Bank (Germaniya)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Surunkali zarar va barqaror biznes modelining yo‘qligi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BaFin</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SVB UK (Buyuk Britaniya)</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2023</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Bosh bank inqirozi sababli depozitlar oqimi va likvidlik tanqisligi; mijozlar bazasining texnologiya sohasida konsentratsiyasi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Angliya banki</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Republic First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Muddatigacha saqlanadigan qimmatli qog‘ozlar bo‘yicha zararlarni tan olish (foiz stavkasi riski); kengash va boshqaruvning samarasizligi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EVAL-25-01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First National Bank of Lindsay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2024</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 va likvid aktivlarga ta’sir qilgan firibgarlik</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OIG-25-024</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2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Pulaski Savings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Kapitalning qadrsizlanishi: buxgalteriya tizimida aks ettirilmagan 20,7 mln dollarlik depozit sertifikatlari; kengash va boshqaruv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FDIC OIG, REV-25-02, EVAL-26-01</w:t>
            </w:r>
          </w:p>
        </w:tc>
      </w:tr>
      <w:tr>
        <w:trPr>
          <w:cantSplit/>
        </w:trPr>
        <w:tc>
          <w:tcPr>
            <w:tcW w:w="6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27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Santa Anna National Bank (AQSh)</w:t>
            </w:r>
          </w:p>
        </w:tc>
        <w:tc>
          <w:tcPr>
            <w:tcW w:w="70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2025</w:t>
            </w:r>
          </w:p>
        </w:tc>
        <w:tc>
          <w:tcPr>
            <w:tcW w:w="6300" w:type="dxa"/>
          </w:tcPr>
          <w:p>
            <w:pPr>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Ichki nazoratning keskin buzilishi natijasida kredit portfeliga ta’sir qilgan firibgarlik; kengash nazoratining zaifligi</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t>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42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
            </w:r>
          </w:p>
        </w:tc>
        <w:tc>
          <w:tcPr>
            <w:tcW w:w="1330" w:type="dxa"/>
          </w:tcPr>
          <w:p>
            <w:pPr>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G‘aznachilik OIG, OIG-26-023</w:t>
            </w:r>
          </w:p>
        </w:tc>
      </w:tr>
      <w:tr>
        <w:trPr>
          <w:cantSplit/>
        </w:trPr>
        <w:tc>
          <w:tcPr>
            <w:tcW w:w="6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2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Jami, %</w:t>
            </w:r>
          </w:p>
        </w:tc>
        <w:tc>
          <w:tcPr>
            <w:tcW w:w="7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c>
          <w:tcPr>
            <w:tcW w:w="630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12 ta bank bo‘yicha ulush</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58</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17</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33</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25</w:t>
            </w:r>
          </w:p>
        </w:tc>
        <w:tc>
          <w:tcPr>
            <w:tcW w:w="420" w:type="dxa"/>
            <w:shd w:val="clear" w:color="auto" w:fill="DEEBF7"/>
          </w:tcPr>
          <w:p>
            <w:pPr>
              <w:jc w:val="cente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8</w:t>
            </w:r>
          </w:p>
        </w:tc>
        <w:tc>
          <w:tcPr>
            <w:tcW w:w="1330" w:type="dxa"/>
            <w:shd w:val="clear" w:color="auto" w:fill="DEEBF7"/>
          </w:tcPr>
          <w:p>
            <w:pPr>
              <w:rPr>
                <w:rFonts w:ascii="Times New Roman" w:hAnsi="Times New Roman" w:eastAsia="Times New Roman" w:cs="Times New Roman"/>
                <w:sz w:val="24"/>
                <w:szCs w:val="24"/>
              </w:rPr>
            </w:pPr>
            <w:r>
              <w:rPr>
                <w:rFonts w:ascii="Times New Roman" w:hAnsi="Times New Roman" w:eastAsia="Times New Roman" w:cs="Times New Roman"/>
                <w:b/>
                <w:sz w:val="24"/>
                <w:szCs w:val="24"/>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w:t>
      </w:r>
      <w:r>
        <w:rPr>
          <w:lang w:val="ru-RU"/>
        </w:rPr>
        <w:t xml:space="preserve">С. 14–15, 49, 57–61</w:t>
      </w:r>
      <w:r w:rsidRPr="009E01BD">
        <w:rPr>
          <w:lang w:val="ru-RU"/>
        </w:rPr>
        <w:t xml:space="preserve">;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w:t>
      </w:r>
      <w:r>
        <w:rPr>
          <w:lang w:val="ru-RU"/>
        </w:rPr>
        <w:t xml:space="preserve"> – 18 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w:t>
      </w:r>
      <w:r>
        <w:rPr>
          <w:lang w:val="ru-RU"/>
        </w:rPr>
        <w:t xml:space="preserve">Финансы и статистика, 1999. – С. 17;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 </w:t>
      </w:r>
      <w:r w:rsidRPr="009E01BD">
        <w:rPr>
          <w:lang w:val="ru-RU"/>
        </w:rPr>
        <w:t xml:space="preserve">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w:t>
      </w:r>
      <w:r>
        <w:rPr>
          <w:lang w:val="ru-RU"/>
        </w:rPr>
        <w:t xml:space="preserve">Финансы и статистика, 1999. – С. 17; </w:t>
      </w:r>
      <w:r w:rsidRPr="009E01BD">
        <w:rPr>
          <w:lang w:val="ru-RU"/>
        </w:rPr>
        <w:t xml:space="preserve">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Default="00AB61AC">
      <w:pPr>
        <w:pStyle w:val="aff9"/>
      </w:pPr>
      <w:r>
        <w:rPr>
          <w:rStyle w:val="aff8"/>
        </w:rPr>
        <w:footnoteRef/>
      </w:r>
      <w:r>
        <w:rPr/>
        <w:t xml:space="preserve"> Ларионова И.В. Стабильность банковской системы в условиях переходной экономики: дис. … д-ра экон. наук: 08.00.10. – М.: Финансовая академия при Правительстве Российской Федерации, 2001. – С. 35–37.</w:t>
      </w:r>
    </w:p>
  </w:footnote>
  <w:footnote w:id="61">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2">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3">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5">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7">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9">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70">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1">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2">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3">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4">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5">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6">
    <w:p w:rsidR="00AB61AC" w:rsidRDefault="00AB61AC">
      <w:pPr>
        <w:pStyle w:val="aff9"/>
      </w:pPr>
      <w:r>
        <w:rPr>
          <w:rStyle w:val="aff8"/>
        </w:rPr>
        <w:footnoteRef/>
      </w:r>
      <w:r>
        <w:t xml:space="preserve"> Tadqiqot natijasida muallif tomonidan ishlab chiqildi.</w:t>
      </w:r>
    </w:p>
  </w:footnote>
  <w:footnote w:id="7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8">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4">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5">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6">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7">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8">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90">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1">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3">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4">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5">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6">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7">
    <w:p w:rsidR="00AB61AC" w:rsidRDefault="00AB61AC">
      <w:pPr>
        <w:pStyle w:val="aff9"/>
      </w:pPr>
      <w:r>
        <w:rPr>
          <w:rStyle w:val="aff8"/>
        </w:rPr>
        <w:footnoteRef/>
      </w:r>
      <w:r>
        <w:t xml:space="preserve"> Roy A.D. Safety First and the Holding of Assets // Econometrica. – 1952. – Vol. 20, No. 3. – P. 431–449.</w:t>
      </w:r>
    </w:p>
  </w:footnote>
  <w:footnote w:id="98">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9">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100">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1">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2">
    <w:p w:rsidR="00AB61AC" w:rsidRDefault="00AB61AC">
      <w:pPr>
        <w:pStyle w:val="aff9"/>
      </w:pPr>
      <w:r>
        <w:rPr>
          <w:rStyle w:val="aff8"/>
        </w:rPr>
        <w:footnoteRef/>
      </w:r>
      <w:r>
        <w:t xml:space="preserve"> Adrian T., Brunnermeier M.K. CoVaR // American Economic Review. – 2016. – Vol. 106, No. 7. – P. 1705–1741.</w:t>
      </w:r>
    </w:p>
  </w:footnote>
  <w:footnote w:id="103">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4">
    <w:p w:rsidR="00AB61AC" w:rsidRDefault="00AB61AC">
      <w:pPr>
        <w:pStyle w:val="aff9"/>
      </w:pPr>
      <w:r>
        <w:rPr>
          <w:rStyle w:val="aff8"/>
        </w:rPr>
        <w:footnoteRef/>
      </w:r>
      <w:r>
        <w:t xml:space="preserve">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w:t>
      </w:r>
      <w:r>
        <w:rPr/>
        <w:t xml:space="preserve">P. 401–419; Diamond D.W., Rajan R.G. Liquidity Risk, Liquidity Creation, and Financial Fragility: A Theory of Banking // Journal of Political Economy. – 2001. – Vol. 109, No. 2. – P. 287–327; Minsky</w:t>
      </w:r>
      <w:r>
        <w:t xml:space="preserve"> H.P. The Financial Instability Hypothesis: Working Paper No. 74. – Annandale-on-Hudson: The Jerome Levy Economics Institute of Bard College, 1992.</w:t>
      </w:r>
      <w:r>
        <w:rPr/>
        <w:t xml:space="preserve"> – 10 p.;</w:t>
      </w:r>
      <w:r>
        <w:t xml:space="preserve">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w:t>
      </w:r>
      <w:r>
        <w:rPr/>
        <w:t xml:space="preserve">P. 2–17; Roy A.D. Safety First and the Holding of Assets // Econometrica. – 1952. – Vol. 20, No. 3. – P. 431–449; Borio</w:t>
      </w:r>
      <w:r>
        <w:t xml:space="preserve"> C. Towards a Macroprudential Framework for Financial Supervision and Regulation?: BIS Working Papers No. 128. – Basel: Bank for International Settlements, 2003.</w:t>
      </w:r>
      <w:r>
        <w:rPr/>
        <w:t xml:space="preserve"> – 32 p.;</w:t>
      </w:r>
      <w:r>
        <w:t xml:space="preserve"> Adrian T., Brunnermeier M.K. CoVaR // American Economic Review. – 2016. – Vol. 106, No. 7. – P. 1705–1741; IFRS 9 Financial Instruments. – London: International Accounting Standards Board, 2014.</w:t>
      </w:r>
    </w:p>
  </w:footnote>
  <w:footnote w:id="106">
    <w:p w:rsidR="00AB61AC" w:rsidRDefault="00AB61AC">
      <w:pPr>
        <w:pStyle w:val="aff9"/>
      </w:pPr>
      <w:r>
        <w:rPr>
          <w:rStyle w:val="aff8"/>
        </w:rPr>
        <w:footnoteRef/>
      </w:r>
      <w:r>
        <w:t xml:space="preserve"> Tadqiqot natijasida muallif tomonidan ishlab chiqildi.</w:t>
      </w:r>
    </w:p>
  </w:footnote>
  <w:footnote w:id="107">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9">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10">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1">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3">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7">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8">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20">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1">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3">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4">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5">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 xml:space="preserve">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w:t>
      </w:r>
      <w:r>
        <w:rPr/>
        <w:t xml:space="preserve">Central Bank Policy. – Cambridge: Cambridge University Press, 2017. – P. 194; Указание Банка России от 03.04.2017 № 4336-У “Об оценке экономического положения банков”. – https://www.cbr.ru.</w:t>
      </w:r>
    </w:p>
  </w:footnote>
  <w:footnote w:id="126">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7">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9">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30">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1">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2">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3">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4">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5">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6">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w:t>
      </w:r>
      <w:r>
        <w:rPr/>
        <w:t xml:space="preserve">НИУ ВШЭ, 2015. – С. 20–24; Basel Committee on Banking Supervision. Basel III: A global regulatory framework for more resilient banks and banking systems. – Basel: Bank for International Settlements, December 2010 (rev. June 2011); Basel Committee on Banking Supervision. Basel III: Finalising post-crisis reforms. – Basel: BIS, December 2017.</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4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2">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3">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6">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7">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8">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9">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50">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1">
    <w:p w:rsidR="00AB61AC" w:rsidRDefault="00AB61AC">
      <w:pPr>
        <w:pStyle w:val="aff9"/>
      </w:pPr>
      <w:r>
        <w:rPr>
          <w:rStyle w:val="aff8"/>
        </w:rPr>
        <w:footnoteRef/>
      </w:r>
      <w:r>
        <w:t xml:space="preserve"> Basel Committee on Banking Supervision. Basel III: The Net Stable Funding Ratio. – Basel: BIS, October 2014.</w:t>
      </w:r>
    </w:p>
  </w:footnote>
  <w:footnote w:id="152">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3">
    <w:p w:rsidR="00AB61AC" w:rsidRDefault="00AB61AC">
      <w:pPr>
        <w:pStyle w:val="aff9"/>
      </w:pPr>
      <w:r>
        <w:rPr>
          <w:rStyle w:val="aff8"/>
        </w:rPr>
        <w:footnoteRef/>
      </w:r>
      <w:r>
        <w:t xml:space="preserve"> Basel Committee on Banking Supervision. Basel III: Finalising post-crisis reforms. – Basel: BIS, December 2017.</w:t>
      </w:r>
    </w:p>
  </w:footnote>
  <w:footnote w:id="154">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8">
    <w:p w:rsidR="00AB61AC" w:rsidRDefault="00AB61AC">
      <w:pPr>
        <w:pStyle w:val="aff9"/>
      </w:pPr>
      <w:r>
        <w:rPr>
          <w:rStyle w:val="aff8"/>
        </w:rPr>
        <w:footnoteRef/>
      </w:r>
      <w:r>
        <w:t xml:space="preserve"> IFRS 9 Financial Instruments. – London: International Accounting Standards Board, 2014.</w:t>
      </w:r>
    </w:p>
  </w:footnote>
  <w:footnote w:id="159">
    <w:p w:rsidR="00AB61AC" w:rsidRDefault="00AB61AC">
      <w:pPr>
        <w:pStyle w:val="aff9"/>
      </w:pPr>
      <w:r>
        <w:rPr>
          <w:rStyle w:val="aff8"/>
        </w:rPr>
        <w:footnoteRef/>
      </w:r>
      <w:r>
        <w:t xml:space="preserve"> Tadqiqot natijasida muallif tomonidan quyidagi manbalar asosida ishlab chiqildi: </w:t>
      </w:r>
      <w:r>
        <w:rPr/>
        <w:t xml:space="preserve">IFRS 9 Financial Instruments. – London: International Accounting Standards Board, 2014. – Para. 5.5.3, 5.5.5, 5.5.11, B5.5.37; Соколинская</w:t>
      </w:r>
      <w:r>
        <w:t xml:space="preserve">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1">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3">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4">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5">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166">
    <w:p w:rsidR="00AB61AC" w:rsidRDefault="00AB61AC">
      <w:pPr>
        <w:pStyle w:val="aff9"/>
      </w:pPr>
      <w:r>
        <w:rPr>
          <w:rStyle w:val="aff8"/>
        </w:rPr>
        <w:footnoteRef/>
      </w:r>
      <w:r>
        <w:t xml:space="preserve"> Tadqiqot natijasida muallif tomonidan </w:t>
      </w:r>
      <w:r>
        <w:rPr/>
        <w:t xml:space="preserve">quyidagi manbalar asosida ishlab chiqildi: Basel Committee on Banking Supervision. Basel III: A global regulatory framework for more resilient banks and banking systems. – Basel: Bank for International Settlements, December 2010 (rev. June 2011); IFRS 9 Financial Instruments. – London: International Accounting Standards Board, 2014; International Monetary Fund. Financial Soundness Indicators: Compilation Guide. – Washington, DC: IMF, 2019; Langohr H., Langohr P. The Rating Agencies and Their Credit Ratings: What They Are, How They Work and Why They Are Relevant. – Chichester: John Wiley &amp; Sons, 2008.</w:t>
      </w:r>
    </w:p>
  </w:footnote>
  <w:footnote w:id="167">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8">
    <w:p w:rsidR="00AB61AC" w:rsidRDefault="00AB61AC">
      <w:pPr>
        <w:pStyle w:val="aff9"/>
      </w:pPr>
      <w:r>
        <w:rPr>
          <w:rStyle w:val="aff8"/>
        </w:rPr>
        <w:footnoteRef/>
      </w:r>
      <w:r>
        <w:t xml:space="preserve"> Tadqiqot natijasida muallif tomonidan ishlab chiqildi.</w:t>
      </w:r>
    </w:p>
  </w:footnote>
  <w:footnote w:id="16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70">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2">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3">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6">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7">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8">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80">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1">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3">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4">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5">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6">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7">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8">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9">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90">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1">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2">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3">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4">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5">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6">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200">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2">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3">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5">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7">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8">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9">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10">
    <w:p w:rsidR="00AB61AC" w:rsidRDefault="00AB61AC">
      <w:pPr>
        <w:pStyle w:val="aff9"/>
      </w:pPr>
      <w:r>
        <w:rPr>
          <w:rStyle w:val="aff8"/>
        </w:rPr>
        <w:footnoteRef/>
      </w:r>
      <w:r>
        <w:t xml:space="preserve"> European Banking Authority. 2025 EU-wide stress test: Results. – Paris: EBA, 1 August 2025.</w:t>
      </w:r>
    </w:p>
  </w:footnote>
  <w:footnote w:id="211">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5">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6">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7">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8">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9">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20">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1">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2">
    <w:p w:rsidR="00AB61AC" w:rsidRDefault="00AB61AC">
      <w:pPr>
        <w:pStyle w:val="aff9"/>
      </w:pPr>
      <w:r>
        <w:rPr>
          <w:rStyle w:val="aff8"/>
        </w:rPr>
        <w:footnoteRef/>
      </w:r>
      <w:r>
        <w:t xml:space="preserve"> Basel Committee on Banking Supervision. Report on the 2023 banking turmoil. – Basel: BIS, October 2023.</w:t>
      </w:r>
    </w:p>
  </w:footnote>
  <w:footnote w:id="22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4">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5">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30">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1">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2">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3">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5">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6">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7">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9">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40">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1">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6">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8">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9">
    <w:p w:rsidR="00AB61AC" w:rsidRDefault="00AB61AC">
      <w:pPr>
        <w:pStyle w:val="aff9"/>
      </w:pPr>
      <w:r>
        <w:rPr>
          <w:rStyle w:val="aff8"/>
        </w:rPr>
        <w:footnoteRef/>
      </w:r>
      <w:r>
        <w:t xml:space="preserve"> </w:t>
      </w:r>
      <w:r>
        <w:rPr/>
        <w:t xml:space="preserve">Tadqiqot natijasida muallif tomonidan ishlab chiqildi.</w:t>
      </w:r>
    </w:p>
  </w:footnote>
  <w:footnote w:id="250">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1">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2">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3">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4">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6">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8">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9">
    <w:p w:rsidR="00AB61AC" w:rsidRDefault="00AB61AC">
      <w:pPr>
        <w:pStyle w:val="aff9"/>
      </w:pPr>
      <w:r>
        <w:rPr>
          <w:rStyle w:val="aff8"/>
        </w:rPr>
        <w:footnoteRef/>
      </w:r>
      <w:r>
        <w:t xml:space="preserve"> 2026-yil uchun mahalliy tizimli ahamiyatga molik banklar belgilandi // O‘zbekiston Respublikasi Markaziy banki.</w:t>
      </w:r>
    </w:p>
  </w:footnote>
  <w:footnote w:id="260">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1">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6">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7">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8">
    <w:p w:rsidR="00AB61AC" w:rsidRDefault="00AB61AC">
      <w:pPr>
        <w:pStyle w:val="aff9"/>
      </w:pPr>
      <w:r>
        <w:rPr>
          <w:rStyle w:val="aff8"/>
        </w:rPr>
        <w:footnoteRef/>
      </w:r>
      <w:r>
        <w:t xml:space="preserve"> </w:t>
      </w:r>
      <w:r>
        <w:rPr/>
        <w:t xml:space="preserve">Tadqiqot natijasida muallif tomonidan ishlab chiqildi.</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70">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2">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3">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7">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8">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w:t>
      </w:r>
      <w:r>
        <w:rPr/>
        <w:t xml:space="preserve">2.2.1-jadval ma’lumotlari asosida ishlab chiqildi.</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2">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6">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7">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lang w:val="ru-RU"/>
        </w:rPr>
        <w:t xml:space="preserve">“Aloqabank” ATB ning 2021–2025-yillardagi 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w:t>
      </w:r>
      <w:r>
        <w:rPr/>
        <w:t xml:space="preserve">“O‘zsanoatqurilishbank” ATB ning 2021–2025-yillardagi prudensial hisobot shakllari va MHXS bo‘yicha konsolidatsiyalangan moliyaviy hisobotlari asosida tayyorlandi.</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rPr/>
        <w:t xml:space="preserve">“Mikrokreditbank” ATB ning 2021–2025-yillardagi prudensial hisobot shakllari va MHXS bo‘yicha moliyaviy hisobotlari asosida tayyorlandi.</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w:t>
      </w:r>
      <w:r>
        <w:rPr/>
        <w:t xml:space="preserve">“O‘zsanoatqurilishbank” ATB ning 2025-yil uchun prudensial hisobot shakllari, MHXS bo‘yicha konsolidatsiyalangan moliyaviy hisoboti va Bazel III standartlari asosida tayyorlandi.</w:t>
      </w:r>
    </w:p>
  </w:footnote>
  <w:footnote w:id="366">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w:t>
      </w:r>
      <w:r>
        <w:rPr/>
        <w:t xml:space="preserve">2.3.2- va 2.3.4-jadvallar ma’lumotlari</w:t>
      </w:r>
      <w:r>
        <w:t xml:space="preserve"> asosida ishlab chiqildi.</w:t>
      </w:r>
    </w:p>
  </w:footnote>
  <w:footnote w:id="368">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t xml:space="preserve"> Tadqiqot natijasida muallif tomonidan </w:t>
      </w:r>
      <w:r>
        <w:rPr/>
        <w:t xml:space="preserve">“Aloqabank” ATB ning 2021–2025-yillardagi prudensial</w:t>
      </w:r>
      <w:r>
        <w:rPr/>
        <w:t xml:space="preserve"> hisobot shakllari va MHXS bo‘yicha konsolidatsiyalangan moliyaviy hisobotlari asosida hisoblandi</w:t>
      </w:r>
      <w:r>
        <w:rPr/>
        <w:t xml:space="preserve">.</w:t>
      </w:r>
    </w:p>
  </w:footnote>
  <w:footnote w:id="371">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w:t>
      </w:r>
      <w:r>
        <w:rPr/>
        <w:t xml:space="preserve">International Monetary Fund. Financial Soundness Indicators: Compilation Guide.</w:t>
      </w:r>
      <w:r>
        <w:t xml:space="preserv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w:t>
      </w:r>
      <w:r>
        <w:rPr/>
        <w:t xml:space="preserve">International Monetary Fund. Financial Soundness Indicators: Compilation Guide.</w:t>
      </w:r>
      <w:r>
        <w:t xml:space="preserv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2">
    <w:p w:rsidR="00AB61AC" w:rsidRDefault="00AB61AC">
      <w:pPr>
        <w:pStyle w:val="aff9"/>
      </w:pPr>
      <w:r>
        <w:rPr>
          <w:rStyle w:val="aff8"/>
        </w:rPr>
        <w:footnoteRef/>
      </w:r>
      <w:r>
        <w:t xml:space="preserve"> Tadqiqot natijasida muallif tomonidan 3.1.2-jadval asosida ishlab chiqildi.</w:t>
      </w:r>
    </w:p>
  </w:footnote>
  <w:footnote w:id="403">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6">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7">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9">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10">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1">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2">
    <w:p w:rsidR="00AB61AC" w:rsidRDefault="00AB61AC">
      <w:pPr>
        <w:pStyle w:val="aff9"/>
      </w:pPr>
      <w:r>
        <w:rPr>
          <w:rStyle w:val="aff8"/>
        </w:rPr>
        <w:footnoteRef/>
      </w:r>
      <w:r>
        <w:rPr/>
        <w:t xml:space="preserve"> Tadqiqot natijasida muallif tomonidan </w:t>
      </w:r>
      <w:r>
        <w:rPr/>
        <w:t xml:space="preserve">“O‘zsanoatqurilishbank”, “Mikrokreditbank” va “Aloqabank” ATBlarining 2025-yil uchun MHXS bo‘yicha moliyaviy hisobotlari va prudensial hisobot shakllari asosida hisoblandi.</w:t>
      </w:r>
    </w:p>
  </w:footnote>
  <w:footnote w:id="413">
    <w:p w:rsidR="00AB61AC" w:rsidRDefault="00AB61AC">
      <w:pPr>
        <w:pStyle w:val="aff9"/>
      </w:pPr>
      <w:r>
        <w:rPr>
          <w:rStyle w:val="aff8"/>
        </w:rPr>
        <w:footnoteRef/>
      </w:r>
      <w:r>
        <w:rPr/>
        <w:t xml:space="preserve"> Tadqiqot natijasida muallif tomonidan banklarning Markaziy bankka taqdim etilgan prudensial hisobot shakllari va MHXS bo‘yicha moliyaviy hisobotlari asosida hisoblandi.</w:t>
      </w:r>
    </w:p>
  </w:footnote>
  <w:footnote w:id="414">
    <w:p w:rsidR="00AB61AC" w:rsidRDefault="00AB61AC">
      <w:pPr>
        <w:pStyle w:val="aff9"/>
      </w:pPr>
      <w:r>
        <w:rPr>
          <w:rStyle w:val="aff8"/>
        </w:rPr>
        <w:footnoteRef/>
      </w:r>
      <w:r>
        <w:t xml:space="preserve"> Tadqiqot natijasida muallif tomonidan 3.1.3 va 3.1.5-jadvallar ma’lumotlari asosida hisoblandi.</w:t>
      </w:r>
    </w:p>
  </w:footnote>
  <w:footnote w:id="415">
    <w:p w:rsidR="00AB61AC" w:rsidRDefault="00AB61AC">
      <w:pPr>
        <w:pStyle w:val="aff9"/>
      </w:pPr>
      <w:r>
        <w:rPr>
          <w:rStyle w:val="aff8"/>
        </w:rPr>
        <w:footnoteRef/>
      </w:r>
      <w:r>
        <w:t xml:space="preserve"> Tadqiqot natijasida muallif tomonidan quyidagi manbalar asosida ishlab chiqildi: </w:t>
      </w:r>
      <w:r>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w:t>
      </w:r>
      <w:r>
        <w:rPr/>
        <w:t xml:space="preserve">International Monetary Fund. Financial Soundness Indicators: Compilation Guide.</w:t>
      </w:r>
      <w:r>
        <w:t xml:space="preserve"> – Washington, DC: IMF, 2019; Karaliyev T.M., Sayfiddinov I.F. Tijorat banklari faoliyatini tartibga solish va nazorati: darslik. – T.: Iqtisod-Moliya, 2019. – B. 208–213.</w:t>
      </w:r>
    </w:p>
  </w:footnote>
  <w:footnote w:id="416">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7">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8">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9">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1">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4">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5">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6">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7">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1">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2">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3">
    <w:p w:rsidR="00AB61AC" w:rsidRDefault="00AB61AC">
      <w:pPr>
        <w:pStyle w:val="aff9"/>
      </w:pPr>
      <w:r>
        <w:rPr>
          <w:rStyle w:val="aff8"/>
        </w:rPr>
        <w:footnoteRef/>
      </w:r>
      <w:r>
        <w:t xml:space="preserve"> Tadqiqot natijasida muallif tomonidan </w:t>
      </w:r>
      <w:r>
        <w:rPr/>
        <w:t xml:space="preserve">“O‘zsanoatqurilishbank”, “Mikrokreditbank”, “Biznesni rivojlantirish banki”, “Xalq banki” va “Ipoteka-bank” ATBlarining 2021–2025-yillardagi MHXS bo‘yicha moliyaviy hisobotlari va “SNS” reyting agentligi bazasi asosida hisoblandi.</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7">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8">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9">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4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1">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2">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3">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5">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6">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8">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50">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2">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3">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4">
    <w:p w:rsidR="00AB61AC" w:rsidRDefault="00AB61AC">
      <w:pPr>
        <w:pStyle w:val="aff9"/>
      </w:pPr>
      <w:r>
        <w:rPr>
          <w:rStyle w:val="aff8"/>
        </w:rPr>
        <w:footnoteRef/>
      </w:r>
      <w:r>
        <w:t xml:space="preserve"> Roy A.D. Safety First and the Holding of Assets // Econometrica. – 1952. – Vol. 20, No. 3. – P. 431–449.</w:t>
      </w:r>
    </w:p>
  </w:footnote>
  <w:footnote w:id="455">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6">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Baltagi B.H. Econometric Analysis of Panel Data. – 6th ed. – Cham: Springer, 2021.</w:t>
      </w:r>
    </w:p>
  </w:footnote>
  <w:footnote w:id="462">
    <w:p w:rsidR="00AB61AC" w:rsidRDefault="00AB61AC">
      <w:pPr>
        <w:pStyle w:val="aff9"/>
      </w:pPr>
      <w:r>
        <w:rPr>
          <w:rStyle w:val="aff8"/>
        </w:rPr>
        <w:footnoteRef/>
      </w:r>
      <w:r>
        <w:t xml:space="preserve"> Wooldridge J.M. Econometric Analysis of Cross Section and Panel Data. – 2nd ed. – Cambridge, MA: MIT Press, 2010.</w:t>
      </w:r>
    </w:p>
  </w:footnote>
  <w:footnote w:id="463">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4">
    <w:p w:rsidR="00AB61AC" w:rsidRDefault="00AB61AC">
      <w:pPr>
        <w:pStyle w:val="aff9"/>
      </w:pPr>
      <w:r>
        <w:rPr>
          <w:rStyle w:val="aff8"/>
        </w:rPr>
        <w:footnoteRef/>
      </w:r>
      <w:r>
        <w:t xml:space="preserve"> Hausman J.A. Specification Tests in Econometrics // Econometrica. – 1978. – Vol. 46, No. 6. – P. 1251–1271.</w:t>
      </w:r>
    </w:p>
  </w:footnote>
  <w:footnote w:id="465">
    <w:p w:rsidR="00AB61AC" w:rsidRDefault="00AB61AC">
      <w:pPr>
        <w:pStyle w:val="aff9"/>
      </w:pPr>
      <w:r>
        <w:rPr>
          <w:rStyle w:val="aff8"/>
        </w:rPr>
        <w:footnoteRef/>
      </w:r>
      <w:r>
        <w:t xml:space="preserve"> Nickell S. Biases in Dynamic Models with Fixed Effects // Econometrica. – 1981. – Vol. 49, No. 6. – P. 1417–1426.</w:t>
      </w:r>
    </w:p>
  </w:footnote>
  <w:footnote w:id="466">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7">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8">
    <w:p w:rsidR="00AB61AC" w:rsidRDefault="00AB61AC">
      <w:pPr>
        <w:pStyle w:val="aff9"/>
      </w:pPr>
      <w:r>
        <w:rPr>
          <w:rStyle w:val="aff8"/>
        </w:rPr>
        <w:footnoteRef/>
      </w:r>
      <w:r>
        <w:t xml:space="preserve"> Tadqiqot natijasida muallif tomonidan 3.3.2-jadvalda ko‘rsatilgan manbalar ma’lumotlari asosida hisoblandi.</w:t>
      </w:r>
    </w:p>
  </w:footnote>
  <w:footnote w:id="469">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70">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1">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5">
    <w:p w:rsidR="00AB61AC" w:rsidRDefault="00AB61AC">
      <w:pPr>
        <w:pStyle w:val="aff9"/>
      </w:pPr>
      <w:r>
        <w:rPr>
          <w:rStyle w:val="aff8"/>
        </w:rPr>
        <w:footnoteRef/>
      </w:r>
      <w:r>
        <w:t xml:space="preserve"> Tadqiqot natijasida muallif tomonidan 3.3.2-jadvalda ko‘rsatilgan manbalar ma’lumotlari asosida hisoblandi.</w:t>
      </w:r>
    </w:p>
  </w:footnote>
  <w:footnote w:id="476">
    <w:p w:rsidR="00AB61AC" w:rsidRDefault="00AB61AC">
      <w:pPr>
        <w:pStyle w:val="aff9"/>
      </w:pPr>
      <w:r>
        <w:rPr>
          <w:rStyle w:val="aff8"/>
        </w:rPr>
        <w:footnoteRef/>
      </w:r>
      <w:r>
        <w:rPr/>
        <w:t xml:space="preserve"> Nickell S. Biases in Dynamic Models with Fixed Effects // Econometrica. – 1981. – Vol. 49, No. 6. – P. 1417–1426.</w:t>
      </w:r>
    </w:p>
  </w:footnote>
  <w:footnote w:id="477">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8">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9">
    <w:p w:rsidR="00AB61AC" w:rsidRDefault="00AB61AC">
      <w:pPr>
        <w:pStyle w:val="aff9"/>
      </w:pPr>
      <w:r>
        <w:rPr>
          <w:rStyle w:val="aff8"/>
        </w:rPr>
        <w:footnoteRef/>
      </w:r>
      <w:r>
        <w:t xml:space="preserve"> Tadqiqot natijasida muallif tomonidan 3.3.3–3.3.6-jadvallar ma’lumotlari asosida ishlab chiqildi.</w:t>
      </w:r>
    </w:p>
  </w:footnote>
  <w:footnote w:id="480">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1">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2">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4">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5">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6">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7">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8">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1">
    <w:p w:rsidR="00AB61AC" w:rsidRDefault="00AB61AC">
      <w:pPr>
        <w:pStyle w:val="aff9"/>
      </w:pPr>
      <w:r>
        <w:rPr>
          <w:rStyle w:val="aff8"/>
        </w:rPr>
        <w:footnoteRef/>
      </w:r>
      <w:r>
        <w:t xml:space="preserve"> Fawcett T. An introduction to ROC analysis // Pattern Recognition Letters. – 2006. – Vol. 27, No. 8. – P. 861–874.</w:t>
      </w:r>
    </w:p>
  </w:footnote>
  <w:footnote w:id="492">
    <w:p w:rsidR="00AB61AC" w:rsidRDefault="00AB61AC">
      <w:pPr>
        <w:pStyle w:val="aff9"/>
      </w:pPr>
      <w:r>
        <w:rPr>
          <w:rStyle w:val="aff8"/>
        </w:rPr>
        <w:footnoteRef/>
      </w:r>
      <w:r>
        <w:t xml:space="preserve"> Hosmer D.W., Lemeshow S., Sturdivant R.X. Applied Logistic Regression. – 3rd ed. – Hoboken, NJ: John Wiley &amp; Sons, 2013.</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5">
    <w:p w:rsidR="00AB61AC" w:rsidRDefault="00AB61AC">
      <w:pPr>
        <w:pStyle w:val="aff9"/>
      </w:pPr>
      <w:r>
        <w:rPr>
          <w:rStyle w:val="aff8"/>
        </w:rPr>
        <w:footnoteRef/>
      </w:r>
      <w:r>
        <w:t xml:space="preserve"> Tadqiqot natijasida muallif tomonidan 4.1.2-jadvalda ko‘rsatilgan manbalar ma’lumotlari asosida hisoblandi.</w:t>
      </w:r>
    </w:p>
  </w:footnote>
  <w:footnote w:id="496">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7">
    <w:p w:rsidR="00AB61AC" w:rsidRDefault="00AB61AC">
      <w:pPr>
        <w:pStyle w:val="aff9"/>
      </w:pPr>
      <w:r>
        <w:rPr>
          <w:rStyle w:val="aff8"/>
        </w:rPr>
        <w:footnoteRef/>
      </w:r>
      <w:r>
        <w:t xml:space="preserve"> Hosmer D.W., Lemeshow S., Sturdivant R.X. Applied Logistic Regression. – 3rd ed. – Hoboken, NJ: John Wiley &amp; Sons, 2013.</w:t>
      </w:r>
    </w:p>
  </w:footnote>
  <w:footnote w:id="498">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2">
    <w:p w:rsidR="00AB61AC" w:rsidRDefault="00AB61AC">
      <w:pPr>
        <w:pStyle w:val="aff9"/>
      </w:pPr>
      <w:r>
        <w:rPr>
          <w:rStyle w:val="aff8"/>
        </w:rPr>
        <w:footnoteRef/>
      </w:r>
      <w:r>
        <w:t xml:space="preserve"> Tadqiqot natijasida muallif tomonidan 4.1.2-jadvalda ko‘rsatilgan manbalar ma’lumotlari asosida hisoblandi.</w:t>
      </w:r>
    </w:p>
  </w:footnote>
  <w:footnote w:id="503">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4">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6">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7">
    <w:p w:rsidR="00AB61AC" w:rsidRDefault="00AB61AC">
      <w:pPr>
        <w:pStyle w:val="aff9"/>
      </w:pPr>
      <w:r>
        <w:rPr>
          <w:rStyle w:val="aff8"/>
        </w:rPr>
        <w:footnoteRef/>
      </w:r>
      <w:r>
        <w:t xml:space="preserve"> Tadqiqot natijasida muallif tomonidan 4.1.3–4.1.5-jadvallar ma’lumotlari asosida ishlab chiqildi.</w:t>
      </w:r>
    </w:p>
  </w:footnote>
  <w:footnote w:id="508">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9">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2">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4">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Basel Committee on Banking Supervision. Stress testing principles. – Basel: BIS, October 2018.</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Default="00AB61AC">
      <w:pPr>
        <w:pStyle w:val="aff9"/>
      </w:pPr>
      <w:r>
        <w:rPr>
          <w:rStyle w:val="aff8"/>
        </w:rPr>
        <w:footnoteRef/>
      </w:r>
      <w:r>
        <w:t xml:space="preserve"> Tadqiqot natijasida muallif tomonidan 4.2.2-jadvalda ko‘rsatilgan manbalar ma’lumotlari asosida hisoblandi.</w:t>
      </w:r>
    </w:p>
  </w:footnote>
  <w:footnote w:id="52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4">
    <w:p w:rsidR="00AB61AC" w:rsidRDefault="00AB61AC">
      <w:pPr>
        <w:pStyle w:val="aff9"/>
      </w:pPr>
      <w:r>
        <w:rPr>
          <w:rStyle w:val="aff8"/>
        </w:rPr>
        <w:footnoteRef/>
      </w:r>
      <w:r>
        <w:t xml:space="preserve"> Tadqiqot natijasida muallif tomonidan 4.2.6-jadval ma’lumotlari asosida ishlab chiqildi.</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1">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3">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4">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5">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6">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40">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4">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6">
    <w:p w:rsidR="00AB61AC" w:rsidRDefault="00AB61AC">
      <w:pPr>
        <w:pStyle w:val="aff9"/>
      </w:pPr>
      <w:r>
        <w:rPr>
          <w:rStyle w:val="aff8"/>
        </w:rPr>
        <w:footnoteRef/>
      </w:r>
      <w:r>
        <w:t xml:space="preserve"> Tadqiqot natijasida muallif tomonidan ishlab chiqildi.</w:t>
      </w:r>
    </w:p>
  </w:footnote>
  <w:footnote w:id="547">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8">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Birinchi darajali 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Kapital rentabelligi (ROE)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Aktivlar rentabelligi, soliq to‘lagunga qadar (ROA)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2.94</c:v>
                </c:pt>
                <c:pt idx="1">
                  <c:v>2.83</c:v>
                </c:pt>
                <c:pt idx="2">
                  <c:v>2.77</c:v>
                </c:pt>
                <c:pt idx="3">
                  <c:v>3.28</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