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637944ed30af1a5c7e12bfca1a7866b67ed51e5"/>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2.2-§. Oʻzbekiston bank tizimida moliyaviy barqarorlik koʻrsatkichlari dinamikasining xalqaro standartlar mezonlari boʻyicha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FootnoteReference"/>
        </w:rPr>
        <w:footnoteReference w:id="20"/>
      </w:r>
      <w:r>
        <w:rPr>
          <w:rFonts w:ascii="Times New Roman" w:hAnsi="Times New Roman" w:cs="Times New Roman" w:eastAsia="Times New Roman"/>
          <w:sz w:val="28"/>
        </w:rPr>
        <w:t xml:space="preserve">, har bir ko‘rsatkich esa milliy talablar bilan bir qatorda Bazel III, XVJ va CAMELS tizimida qo‘llanadigan xalqaro mezonlar bilan solishtirildi.</w:t>
      </w:r>
    </w:p>
    <w:p>
      <w:pPr>
        <w:pStyle w:val="BodyText"/>
        <w:spacing w:line="360" w:lineRule="auto" w:before="0" w:after="0"/>
        <w:ind w:firstLine="709"/>
        <w:jc w:val="both"/>
      </w:pPr>
      <w:r>
        <w:rPr>
          <w:rFonts w:ascii="Times New Roman" w:hAnsi="Times New Roman" w:cs="Times New Roman" w:eastAsia="Times New Roman"/>
          <w:sz w:val="28"/>
        </w:rPr>
        <w:t xml:space="preserve">Tahlil ikki darajada amalga oshirildi. Bank tizimi darajasida Markaziy bankning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FootnoteReference"/>
        </w:rPr>
        <w:footnoteReference w:id="21"/>
      </w:r>
      <w:r>
        <w:rPr>
          <w:rStyle w:val="FootnoteReference"/>
        </w:rPr>
        <w:footnoteReference w:id="22"/>
      </w:r>
      <w:r>
        <w:rPr>
          <w:rFonts w:ascii="Times New Roman" w:hAnsi="Times New Roman" w:cs="Times New Roman" w:eastAsia="Times New Roman"/>
          <w:sz w:val="28"/>
        </w:rPr>
        <w:t xml:space="preserve">.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pPr>
        <w:pStyle w:val="BodyText"/>
        <w:spacing w:line="360" w:lineRule="auto" w:before="0" w:after="0"/>
        <w:ind w:firstLine="709"/>
        <w:jc w:val="both"/>
      </w:pPr>
      <w:r>
        <w:rPr>
          <w:rFonts w:ascii="Times New Roman" w:hAnsi="Times New Roman" w:cs="Times New Roman" w:eastAsia="Times New Roman"/>
          <w:sz w:val="28"/>
        </w:rPr>
        <w:t xml:space="preserve">Tahlilni avvalo bank tizimining umumiy tavsifidan boshlash maqsadga muvofiq. O‘zbekiston bank tizimi so‘nggi yillarda jadal o‘sdi. 2017-yildan keyin kreditlar yiliga 50–60 foiz sur’atda o‘sgan bo‘lsa, 2020-yilda bu sur’at 31 foizgacha, 2021-yilda esa 18 foizgacha sekinlashdi</w:t>
      </w:r>
      <w:r>
        <w:rPr>
          <w:rStyle w:val="FootnoteReference"/>
        </w:rPr>
        <w:footnoteReference w:id="23"/>
      </w:r>
      <w:r>
        <w:rPr>
          <w:rFonts w:ascii="Times New Roman" w:hAnsi="Times New Roman" w:cs="Times New Roman" w:eastAsia="Times New Roman"/>
          <w:sz w:val="28"/>
        </w:rPr>
        <w:t xml:space="preserve">. 2023-yil oxirida bank tizimi aktivlari yalpi ichki mahsulotning 55 foiziga, kreditlar esa 40 foiziga teng bo‘lgan</w:t>
      </w:r>
      <w:r>
        <w:rPr>
          <w:rStyle w:val="FootnoteReference"/>
        </w:rPr>
        <w:footnoteReference w:id="24"/>
      </w:r>
      <w:r>
        <w:rPr>
          <w:rFonts w:ascii="Times New Roman" w:hAnsi="Times New Roman" w:cs="Times New Roman" w:eastAsia="Times New Roman"/>
          <w:sz w:val="28"/>
        </w:rPr>
        <w:t xml:space="preserve">, 2026-yil 1-yanvar holatiga esa tijorat banklari aktivlari 924,8 trln so‘mni, kreditlari 604 trln so‘mni tashkil etgan</w:t>
      </w:r>
      <w:r>
        <w:rPr>
          <w:rStyle w:val="FootnoteReference"/>
        </w:rPr>
        <w:footnoteReference w:id="25"/>
      </w:r>
      <w:r>
        <w:rPr>
          <w:rFonts w:ascii="Times New Roman" w:hAnsi="Times New Roman" w:cs="Times New Roman" w:eastAsia="Times New Roman"/>
          <w:sz w:val="28"/>
        </w:rPr>
        <w:t xml:space="preserve">. Bank tizimining muhim tuzilmaviy xususiyati davlat ulushining yuqoriligidir. Davlat ishtirokidagi banklarning jami aktivlardagi ulushi 2019-yil boshida 84 foizni, 2021-yil oxirida 81 foizni tashkil etgan bo‘lsa, 2024-yilga kelib 67 foizgacha, 2026-yil o‘rtasida esa 62 foizgacha pasaygan</w:t>
      </w:r>
      <w:r>
        <w:rPr>
          <w:rStyle w:val="FootnoteReference"/>
        </w:rPr>
        <w:footnoteReference w:id="2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(2.2.1-rasm).</w:t>
      </w:r>
    </w:p>
    <w:p>
      <w:pPr>
        <w:pStyle w:val="BodyText"/>
        <w:keepNext/>
        <w:spacing w:line="240" w:lineRule="auto" w:before="0" w:after="0"/>
        <w:ind w:firstLine="0"/>
        <w:jc w:val="center"/>
      </w:pPr>
      <w:r xmlns:c="http://schemas.openxmlformats.org/drawingml/2006/chart">
        <w:rPr>
          <w:noProof/>
        </w:rPr>
        <w:drawing>
          <wp:inline distT="0" distB="0" distL="0" distR="0">
            <wp:extent cx="5400000" cy="2520000"/>
            <wp:effectExtent l="0" t="0" r="0" b="0"/>
            <wp:docPr id="1001" name="2.2.1-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2.2.1-rasm. Davlat ishtirokidagi banklarning bank tizimi aktivlaridagi ulushi, %</w:t>
      </w:r>
      <w:r>
        <w:rPr>
          <w:rStyle w:val="FootnoteReference"/>
        </w:rPr>
        <w:footnoteReference w:id="2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davlat banklari ulushi izchil kamayib bormoqda, biroq ular hali ham tizimda ustun mavqega ega.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FootnoteReference"/>
        </w:rPr>
        <w:footnoteReference w:id="28"/>
      </w:r>
      <w:r>
        <w:rPr>
          <w:rFonts w:ascii="Times New Roman" w:hAnsi="Times New Roman" w:cs="Times New Roman" w:eastAsia="Times New Roman"/>
          <w:sz w:val="28"/>
        </w:rPr>
        <w:t xml:space="preserve">. Bank tizimining XVJ tuzilmasi bo‘yicha asosiy ko‘rsatkichlari 2.2.1-jadvalda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 bank tizimining moliyaviy barqarorlik ko‘rsatkichlari, %</w:t>
      </w:r>
      <w:r>
        <w:rPr>
          <w:rStyle w:val="FootnoteReference"/>
        </w:rPr>
        <w:footnoteReference w:id="29"/>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Regulyativ kapital / risk bo‘yicha tortilgan aktivlar</w:t>
            </w:r>
          </w:p>
        </w:tc>
        <w:tc>
          <w:tcPr/>
          <w:p>
            <w:pPr>
              <w:pStyle w:val="Compact"/>
              <w:spacing w:line="240" w:lineRule="auto"/>
              <w:ind w:firstLine="0"/>
              <w:jc w:val="left"/>
            </w:pPr>
            <w:r>
              <w:rPr>
                <w:rFonts w:ascii="Times New Roman" w:hAnsi="Times New Roman" w:cs="Times New Roman" w:eastAsia="Times New Roman"/>
                <w:sz w:val="22"/>
              </w:rPr>
              <w:t xml:space="preserve">17,5</w:t>
            </w:r>
          </w:p>
        </w:tc>
        <w:tc>
          <w:tcPr/>
          <w:p>
            <w:pPr>
              <w:pStyle w:val="Compact"/>
              <w:spacing w:line="240" w:lineRule="auto"/>
              <w:ind w:firstLine="0"/>
              <w:jc w:val="left"/>
            </w:pPr>
            <w:r>
              <w:rPr>
                <w:rFonts w:ascii="Times New Roman" w:hAnsi="Times New Roman" w:cs="Times New Roman" w:eastAsia="Times New Roman"/>
                <w:sz w:val="22"/>
              </w:rPr>
              <w:t xml:space="preserve">17,8</w:t>
            </w:r>
          </w:p>
        </w:tc>
        <w:tc>
          <w:tcPr/>
          <w:p>
            <w:pPr>
              <w:pStyle w:val="Compact"/>
              <w:spacing w:line="240" w:lineRule="auto"/>
              <w:ind w:firstLine="0"/>
              <w:jc w:val="left"/>
            </w:pPr>
            <w:r>
              <w:rPr>
                <w:rFonts w:ascii="Times New Roman" w:hAnsi="Times New Roman" w:cs="Times New Roman" w:eastAsia="Times New Roman"/>
                <w:sz w:val="22"/>
              </w:rPr>
              <w:t xml:space="preserve">17,5</w:t>
            </w:r>
          </w:p>
        </w:tc>
        <w:tc>
          <w:tcPr/>
          <w:p>
            <w:pPr>
              <w:pStyle w:val="Compact"/>
              <w:spacing w:line="240" w:lineRule="auto"/>
              <w:ind w:firstLine="0"/>
              <w:jc w:val="left"/>
            </w:pPr>
            <w:r>
              <w:rPr>
                <w:rFonts w:ascii="Times New Roman" w:hAnsi="Times New Roman" w:cs="Times New Roman" w:eastAsia="Times New Roman"/>
                <w:sz w:val="22"/>
              </w:rPr>
              <w:t xml:space="preserve">17,0</w:t>
            </w:r>
          </w:p>
        </w:tc>
        <w:tc>
          <w:tcPr/>
          <w:p>
            <w:pPr>
              <w:pStyle w:val="Compact"/>
              <w:spacing w:line="240" w:lineRule="auto"/>
              <w:ind w:firstLine="0"/>
              <w:jc w:val="left"/>
            </w:pPr>
            <w:r>
              <w:rPr>
                <w:rFonts w:ascii="Times New Roman" w:hAnsi="Times New Roman" w:cs="Times New Roman" w:eastAsia="Times New Roman"/>
                <w:sz w:val="22"/>
              </w:rPr>
              <w:t xml:space="preserve">18,3</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Asosiy kapital (CET1) / risk bo‘yicha tortilgan aktivlar</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14,4</w:t>
            </w:r>
          </w:p>
        </w:tc>
        <w:tc>
          <w:tcPr/>
          <w:p>
            <w:pPr>
              <w:pStyle w:val="Compact"/>
              <w:spacing w:line="240" w:lineRule="auto"/>
              <w:ind w:firstLine="0"/>
              <w:jc w:val="left"/>
            </w:pPr>
            <w:r>
              <w:rPr>
                <w:rFonts w:ascii="Times New Roman" w:hAnsi="Times New Roman" w:cs="Times New Roman" w:eastAsia="Times New Roman"/>
                <w:sz w:val="22"/>
              </w:rPr>
              <w:t xml:space="preserve">14,1</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14,7</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Muammoli kreditlar / jami kreditlar</w:t>
            </w:r>
          </w:p>
        </w:tc>
        <w:tc>
          <w:tcPr/>
          <w:p>
            <w:pPr>
              <w:pStyle w:val="Compact"/>
              <w:spacing w:line="240" w:lineRule="auto"/>
              <w:ind w:firstLine="0"/>
              <w:jc w:val="left"/>
            </w:pPr>
            <w:r>
              <w:rPr>
                <w:rFonts w:ascii="Times New Roman" w:hAnsi="Times New Roman" w:cs="Times New Roman" w:eastAsia="Times New Roman"/>
                <w:sz w:val="22"/>
              </w:rPr>
              <w:t xml:space="preserve">5,8¹</w:t>
            </w:r>
          </w:p>
        </w:tc>
        <w:tc>
          <w:tcPr/>
          <w:p>
            <w:pPr>
              <w:pStyle w:val="Compact"/>
              <w:spacing w:line="240" w:lineRule="auto"/>
              <w:ind w:firstLine="0"/>
              <w:jc w:val="left"/>
            </w:pPr>
            <w:r>
              <w:rPr>
                <w:rFonts w:ascii="Times New Roman" w:hAnsi="Times New Roman" w:cs="Times New Roman" w:eastAsia="Times New Roman"/>
                <w:sz w:val="22"/>
              </w:rPr>
              <w:t xml:space="preserve">3,5</w:t>
            </w:r>
          </w:p>
        </w:tc>
        <w:tc>
          <w:tcPr/>
          <w:p>
            <w:pPr>
              <w:pStyle w:val="Compact"/>
              <w:spacing w:line="240" w:lineRule="auto"/>
              <w:ind w:firstLine="0"/>
              <w:jc w:val="left"/>
            </w:pPr>
            <w:r>
              <w:rPr>
                <w:rFonts w:ascii="Times New Roman" w:hAnsi="Times New Roman" w:cs="Times New Roman" w:eastAsia="Times New Roman"/>
                <w:sz w:val="22"/>
              </w:rPr>
              <w:t xml:space="preserve">3,5</w:t>
            </w:r>
          </w:p>
        </w:tc>
        <w:tc>
          <w:tcPr/>
          <w:p>
            <w:pPr>
              <w:pStyle w:val="Compact"/>
              <w:spacing w:line="240" w:lineRule="auto"/>
              <w:ind w:firstLine="0"/>
              <w:jc w:val="left"/>
            </w:pPr>
            <w:r>
              <w:rPr>
                <w:rFonts w:ascii="Times New Roman" w:hAnsi="Times New Roman" w:cs="Times New Roman" w:eastAsia="Times New Roman"/>
                <w:sz w:val="22"/>
              </w:rPr>
              <w:t xml:space="preserve">4,2²</w:t>
            </w:r>
          </w:p>
        </w:tc>
        <w:tc>
          <w:tcPr/>
          <w:p>
            <w:pPr>
              <w:pStyle w:val="Compact"/>
              <w:spacing w:line="240" w:lineRule="auto"/>
              <w:ind w:firstLine="0"/>
              <w:jc w:val="left"/>
            </w:pPr>
            <w:r>
              <w:rPr>
                <w:rFonts w:ascii="Times New Roman" w:hAnsi="Times New Roman" w:cs="Times New Roman" w:eastAsia="Times New Roman"/>
                <w:sz w:val="22"/>
              </w:rPr>
              <w:t xml:space="preserve">4,1</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Nostandart va muammoli kreditlar / jami kreditlar</w:t>
            </w:r>
          </w:p>
        </w:tc>
        <w:tc>
          <w:tcPr/>
          <w:p>
            <w:pPr>
              <w:pStyle w:val="Compact"/>
              <w:spacing w:line="240" w:lineRule="auto"/>
              <w:ind w:firstLine="0"/>
              <w:jc w:val="left"/>
            </w:pPr>
            <w:r>
              <w:rPr>
                <w:rFonts w:ascii="Times New Roman" w:hAnsi="Times New Roman" w:cs="Times New Roman" w:eastAsia="Times New Roman"/>
                <w:sz w:val="22"/>
              </w:rPr>
              <w:t xml:space="preserve">12,5</w:t>
            </w:r>
          </w:p>
        </w:tc>
        <w:tc>
          <w:tcPr/>
          <w:p>
            <w:pPr>
              <w:pStyle w:val="Compact"/>
              <w:spacing w:line="240" w:lineRule="auto"/>
              <w:ind w:firstLine="0"/>
              <w:jc w:val="left"/>
            </w:pPr>
            <w:r>
              <w:rPr>
                <w:rFonts w:ascii="Times New Roman" w:hAnsi="Times New Roman" w:cs="Times New Roman" w:eastAsia="Times New Roman"/>
                <w:sz w:val="22"/>
              </w:rPr>
              <w:t xml:space="preserve">15,9</w:t>
            </w:r>
          </w:p>
        </w:tc>
        <w:tc>
          <w:tcPr/>
          <w:p>
            <w:pPr>
              <w:pStyle w:val="Compact"/>
              <w:spacing w:line="240" w:lineRule="auto"/>
              <w:ind w:firstLine="0"/>
              <w:jc w:val="left"/>
            </w:pPr>
            <w:r>
              <w:rPr>
                <w:rFonts w:ascii="Times New Roman" w:hAnsi="Times New Roman" w:cs="Times New Roman" w:eastAsia="Times New Roman"/>
                <w:sz w:val="22"/>
              </w:rPr>
              <w:t xml:space="preserve">~20</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Aktivlar rentabelligi (ROA)</w:t>
            </w:r>
          </w:p>
        </w:tc>
        <w:tc>
          <w:tcPr/>
          <w:p>
            <w:pPr>
              <w:pStyle w:val="Compact"/>
              <w:spacing w:line="240" w:lineRule="auto"/>
              <w:ind w:firstLine="0"/>
              <w:jc w:val="left"/>
            </w:pPr>
            <w:r>
              <w:rPr>
                <w:rFonts w:ascii="Times New Roman" w:hAnsi="Times New Roman" w:cs="Times New Roman" w:eastAsia="Times New Roman"/>
                <w:sz w:val="22"/>
              </w:rPr>
              <w:t xml:space="preserve">1,3</w:t>
            </w:r>
          </w:p>
        </w:tc>
        <w:tc>
          <w:tcPr/>
          <w:p>
            <w:pPr>
              <w:pStyle w:val="Compact"/>
              <w:spacing w:line="240" w:lineRule="auto"/>
              <w:ind w:firstLine="0"/>
              <w:jc w:val="left"/>
            </w:pPr>
            <w:r>
              <w:rPr>
                <w:rFonts w:ascii="Times New Roman" w:hAnsi="Times New Roman" w:cs="Times New Roman" w:eastAsia="Times New Roman"/>
                <w:sz w:val="22"/>
              </w:rPr>
              <w:t xml:space="preserve">2,5</w:t>
            </w:r>
          </w:p>
        </w:tc>
        <w:tc>
          <w:tcPr/>
          <w:p>
            <w:pPr>
              <w:pStyle w:val="Compact"/>
              <w:spacing w:line="240" w:lineRule="auto"/>
              <w:ind w:firstLine="0"/>
              <w:jc w:val="left"/>
            </w:pPr>
            <w:r>
              <w:rPr>
                <w:rFonts w:ascii="Times New Roman" w:hAnsi="Times New Roman" w:cs="Times New Roman" w:eastAsia="Times New Roman"/>
                <w:sz w:val="22"/>
              </w:rPr>
              <w:t xml:space="preserve">2,6</w:t>
            </w:r>
          </w:p>
        </w:tc>
        <w:tc>
          <w:tcPr/>
          <w:p>
            <w:pPr>
              <w:pStyle w:val="Compact"/>
              <w:spacing w:line="240" w:lineRule="auto"/>
              <w:ind w:firstLine="0"/>
              <w:jc w:val="left"/>
            </w:pPr>
            <w:r>
              <w:rPr>
                <w:rFonts w:ascii="Times New Roman" w:hAnsi="Times New Roman" w:cs="Times New Roman" w:eastAsia="Times New Roman"/>
                <w:sz w:val="22"/>
              </w:rPr>
              <w:t xml:space="preserve">2,0³</w:t>
            </w:r>
          </w:p>
        </w:tc>
        <w:tc>
          <w:tcPr/>
          <w:p>
            <w:pPr>
              <w:pStyle w:val="Compact"/>
              <w:spacing w:line="240" w:lineRule="auto"/>
              <w:ind w:firstLine="0"/>
              <w:jc w:val="left"/>
            </w:pPr>
            <w:r>
              <w:rPr>
                <w:rFonts w:ascii="Times New Roman" w:hAnsi="Times New Roman" w:cs="Times New Roman" w:eastAsia="Times New Roman"/>
                <w:sz w:val="22"/>
              </w:rPr>
              <w:t xml:space="preserve">2,2</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 rentabelligi (ROE)</w:t>
            </w:r>
          </w:p>
        </w:tc>
        <w:tc>
          <w:tcPr/>
          <w:p>
            <w:pPr>
              <w:pStyle w:val="Compact"/>
              <w:spacing w:line="240" w:lineRule="auto"/>
              <w:ind w:firstLine="0"/>
              <w:jc w:val="left"/>
            </w:pPr>
            <w:r>
              <w:rPr>
                <w:rFonts w:ascii="Times New Roman" w:hAnsi="Times New Roman" w:cs="Times New Roman" w:eastAsia="Times New Roman"/>
                <w:sz w:val="22"/>
              </w:rPr>
              <w:t xml:space="preserve">~6</w:t>
            </w:r>
          </w:p>
        </w:tc>
        <w:tc>
          <w:tcPr/>
          <w:p>
            <w:pPr>
              <w:pStyle w:val="Compact"/>
              <w:spacing w:line="240" w:lineRule="auto"/>
              <w:ind w:firstLine="0"/>
              <w:jc w:val="left"/>
            </w:pPr>
            <w:r>
              <w:rPr>
                <w:rFonts w:ascii="Times New Roman" w:hAnsi="Times New Roman" w:cs="Times New Roman" w:eastAsia="Times New Roman"/>
                <w:sz w:val="22"/>
              </w:rPr>
              <w:t xml:space="preserve">13,3</w:t>
            </w:r>
          </w:p>
        </w:tc>
        <w:tc>
          <w:tcPr/>
          <w:p>
            <w:pPr>
              <w:pStyle w:val="Compact"/>
              <w:spacing w:line="240" w:lineRule="auto"/>
              <w:ind w:firstLine="0"/>
              <w:jc w:val="left"/>
            </w:pPr>
            <w:r>
              <w:rPr>
                <w:rFonts w:ascii="Times New Roman" w:hAnsi="Times New Roman" w:cs="Times New Roman" w:eastAsia="Times New Roman"/>
                <w:sz w:val="22"/>
              </w:rPr>
              <w:t xml:space="preserve">14,2</w:t>
            </w:r>
          </w:p>
        </w:tc>
        <w:tc>
          <w:tcPr/>
          <w:p>
            <w:pPr>
              <w:pStyle w:val="Compact"/>
              <w:spacing w:line="240" w:lineRule="auto"/>
              <w:ind w:firstLine="0"/>
              <w:jc w:val="left"/>
            </w:pPr>
            <w:r>
              <w:rPr>
                <w:rFonts w:ascii="Times New Roman" w:hAnsi="Times New Roman" w:cs="Times New Roman" w:eastAsia="Times New Roman"/>
                <w:sz w:val="22"/>
              </w:rPr>
              <w:t xml:space="preserve">10,1³</w:t>
            </w:r>
          </w:p>
        </w:tc>
        <w:tc>
          <w:tcPr/>
          <w:p>
            <w:pPr>
              <w:pStyle w:val="Compact"/>
              <w:spacing w:line="240" w:lineRule="auto"/>
              <w:ind w:firstLine="0"/>
              <w:jc w:val="left"/>
            </w:pPr>
            <w:r>
              <w:rPr>
                <w:rFonts w:ascii="Times New Roman" w:hAnsi="Times New Roman" w:cs="Times New Roman" w:eastAsia="Times New Roman"/>
                <w:sz w:val="22"/>
              </w:rPr>
              <w:t xml:space="preserve">12,4</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Likvidlikni qoplash koeffitsiyenti (LCR)</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211,6</w:t>
            </w:r>
          </w:p>
        </w:tc>
        <w:tc>
          <w:tcPr/>
          <w:p>
            <w:pPr>
              <w:pStyle w:val="Compact"/>
              <w:spacing w:line="240" w:lineRule="auto"/>
              <w:ind w:firstLine="0"/>
              <w:jc w:val="left"/>
            </w:pPr>
            <w:r>
              <w:rPr>
                <w:rFonts w:ascii="Times New Roman" w:hAnsi="Times New Roman" w:cs="Times New Roman" w:eastAsia="Times New Roman"/>
                <w:sz w:val="22"/>
              </w:rPr>
              <w:t xml:space="preserve">164,8</w:t>
            </w:r>
          </w:p>
        </w:tc>
        <w:tc>
          <w:tcPr/>
          <w:p>
            <w:pPr>
              <w:pStyle w:val="Compact"/>
              <w:spacing w:line="240" w:lineRule="auto"/>
              <w:ind w:firstLine="0"/>
              <w:jc w:val="left"/>
            </w:pPr>
            <w:r>
              <w:rPr>
                <w:rFonts w:ascii="Times New Roman" w:hAnsi="Times New Roman" w:cs="Times New Roman" w:eastAsia="Times New Roman"/>
                <w:sz w:val="22"/>
              </w:rPr>
              <w:t xml:space="preserve">194</w:t>
            </w:r>
          </w:p>
        </w:tc>
        <w:tc>
          <w:tcPr/>
          <w:p>
            <w:pPr>
              <w:pStyle w:val="Compact"/>
              <w:spacing w:line="240" w:lineRule="auto"/>
              <w:ind w:firstLine="0"/>
              <w:jc w:val="left"/>
            </w:pPr>
            <w:r>
              <w:rPr>
                <w:rFonts w:ascii="Times New Roman" w:hAnsi="Times New Roman" w:cs="Times New Roman" w:eastAsia="Times New Roman"/>
                <w:sz w:val="22"/>
              </w:rPr>
              <w:t xml:space="preserve">195⁴</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Sof barqaror moliyalashtirish me’yori (NSFR)</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115,6</w:t>
            </w:r>
          </w:p>
        </w:tc>
        <w:tc>
          <w:tcPr/>
          <w:p>
            <w:pPr>
              <w:pStyle w:val="Compact"/>
              <w:spacing w:line="240" w:lineRule="auto"/>
              <w:ind w:firstLine="0"/>
              <w:jc w:val="left"/>
            </w:pPr>
            <w:r>
              <w:rPr>
                <w:rFonts w:ascii="Times New Roman" w:hAnsi="Times New Roman" w:cs="Times New Roman" w:eastAsia="Times New Roman"/>
                <w:sz w:val="22"/>
              </w:rPr>
              <w:t xml:space="preserve">111,8</w:t>
            </w:r>
          </w:p>
        </w:tc>
        <w:tc>
          <w:tcPr/>
          <w:p>
            <w:pPr>
              <w:pStyle w:val="Compact"/>
              <w:spacing w:line="240" w:lineRule="auto"/>
              <w:ind w:firstLine="0"/>
              <w:jc w:val="left"/>
            </w:pPr>
            <w:r>
              <w:rPr>
                <w:rFonts w:ascii="Times New Roman" w:hAnsi="Times New Roman" w:cs="Times New Roman" w:eastAsia="Times New Roman"/>
                <w:sz w:val="22"/>
              </w:rPr>
              <w:t xml:space="preserve">115</w:t>
            </w:r>
          </w:p>
        </w:tc>
        <w:tc>
          <w:tcPr/>
          <w:p>
            <w:pPr>
              <w:pStyle w:val="Compact"/>
              <w:spacing w:line="240" w:lineRule="auto"/>
              <w:ind w:firstLine="0"/>
              <w:jc w:val="left"/>
            </w:pPr>
            <w:r>
              <w:rPr>
                <w:rFonts w:ascii="Times New Roman" w:hAnsi="Times New Roman" w:cs="Times New Roman" w:eastAsia="Times New Roman"/>
                <w:sz w:val="22"/>
              </w:rPr>
              <w:t xml:space="preserve">117⁴</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¹ 2021-yil III chorak; ² 2024-yil oktabr; ³ 2024-yil iyun; ⁴ 2025-yil I yarim; «–» – ochiq manbalarda ma’lumot topilmadi.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bank tizimining umumiy holatini ijobiy baholash imkonini beradi: kapital va likvidlik ko‘rsatkichlari regulyativ va xalqaro minimumlardan barqaror yuqori, daromadlilik 2021-yildagi pasayishdan keyin tiklangan, rasmiy muammoli kreditlar ulushi esa 2021-yildagi eng yuqori nuqtadan sezilarli pasaygan. Biroq ko‘rsatkichlarni chuqurroq tahlil qilish bu umumiy manzara ortida muhim risklar yashiringanini ko‘rsatadi.</w:t>
      </w:r>
    </w:p>
    <w:p>
      <w:pPr>
        <w:pStyle w:val="BodyText"/>
        <w:spacing w:line="360" w:lineRule="auto" w:before="0" w:after="0"/>
        <w:ind w:firstLine="709"/>
        <w:jc w:val="both"/>
      </w:pPr>
      <w:r>
        <w:rPr>
          <w:rFonts w:ascii="Times New Roman" w:hAnsi="Times New Roman" w:cs="Times New Roman" w:eastAsia="Times New Roman"/>
          <w:sz w:val="28"/>
        </w:rPr>
        <w:t xml:space="preserve">Bu risklarni kapital yetarliligidan boshlab ko‘rib chiqamiz. Bank tizimining kapital yetarliligi 2021–2025-yillarda barqaror ravishda 17 foizdan yuqori bo‘lib, 13 foizlik regulyativ minimumdan ancha oshib turdi</w:t>
      </w:r>
      <w:r>
        <w:rPr>
          <w:rStyle w:val="FootnoteReference"/>
        </w:rPr>
        <w:footnoteReference w:id="30"/>
      </w:r>
      <w:r>
        <w:rPr>
          <w:rFonts w:ascii="Times New Roman" w:hAnsi="Times New Roman" w:cs="Times New Roman" w:eastAsia="Times New Roman"/>
          <w:sz w:val="28"/>
        </w:rPr>
        <w:t xml:space="preserve">. Regulyativ kapitalning risk bo‘yicha tortilgan aktivlarga nisbati 2022-yilda 17,8 foizni, 2024-yilda 17 foizni, 2025-yil oxirida esa 18,3 foizni tashkil etgan bo‘lsa, asosiy kapital ko‘rsatkichi 14,1–14,7 foiz oralig‘ida saqlangan</w:t>
      </w:r>
      <w:r>
        <w:rPr>
          <w:rStyle w:val="FootnoteReference"/>
        </w:rPr>
        <w:footnoteReference w:id="3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(2.2.2-rasm).</w:t>
      </w:r>
    </w:p>
    <w:p>
      <w:pPr>
        <w:pStyle w:val="BodyText"/>
        <w:keepNext/>
        <w:spacing w:line="240" w:lineRule="auto" w:before="0" w:after="0"/>
        <w:ind w:firstLine="0"/>
        <w:jc w:val="center"/>
      </w:pPr>
      <w:r xmlns:c="http://schemas.openxmlformats.org/drawingml/2006/chart">
        <w:rPr>
          <w:noProof/>
        </w:rPr>
        <w:drawing>
          <wp:inline distT="0" distB="0" distL="0" distR="0">
            <wp:extent cx="5580000" cy="2700000"/>
            <wp:effectExtent l="0" t="0" r="0" b="0"/>
            <wp:docPr id="1002" name="2.2.2-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2.2.2-rasm. O‘zbekiston bank tizimida kapital yetarliligi ko‘rsatkichlari dinamikasi, %</w:t>
      </w:r>
      <w:r>
        <w:rPr>
          <w:rStyle w:val="FootnoteReference"/>
        </w:rPr>
        <w:footnoteReference w:id="32"/>
      </w:r>
    </w:p>
    <w:p>
      <w:pPr>
        <w:pStyle w:val="BodyText"/>
        <w:spacing w:line="360" w:lineRule="auto" w:before="0" w:after="0"/>
        <w:ind w:firstLine="709"/>
        <w:jc w:val="both"/>
      </w:pPr>
      <w:r>
        <w:rPr>
          <w:rFonts w:ascii="Times New Roman" w:hAnsi="Times New Roman" w:cs="Times New Roman" w:eastAsia="Times New Roman"/>
          <w:sz w:val="28"/>
        </w:rPr>
        <w:t xml:space="preserve">Xalqaro mezonlar nuqtai nazaridan bu ko‘rsatkichlar yuqori: Bazel III da jami kapital uchun 8 foiz, konservatsiya buferi bilan 10,5 foiz, asosiy kapital uchun esa 4,5 foiz minimum belgilangan</w:t>
      </w:r>
      <w:r>
        <w:rPr>
          <w:rStyle w:val="FootnoteReference"/>
        </w:rPr>
        <w:footnoteReference w:id="33"/>
      </w:r>
      <w:r>
        <w:rPr>
          <w:rFonts w:ascii="Times New Roman" w:hAnsi="Times New Roman" w:cs="Times New Roman" w:eastAsia="Times New Roman"/>
          <w:sz w:val="28"/>
        </w:rPr>
        <w:t xml:space="preserve">. CAMELS tizimida eng yuqori, ya’ni 1-reyting kapital koeffitsiyentlari 4 va 8 foizlik chegaralardan ancha yuqori bo‘lganda beriladi</w:t>
      </w:r>
      <w:r>
        <w:rPr>
          <w:rStyle w:val="FootnoteReference"/>
        </w:rPr>
        <w:footnoteReference w:id="34"/>
      </w:r>
      <w:r>
        <w:rPr>
          <w:rFonts w:ascii="Times New Roman" w:hAnsi="Times New Roman" w:cs="Times New Roman" w:eastAsia="Times New Roman"/>
          <w:sz w:val="28"/>
        </w:rPr>
        <w:t xml:space="preserve">.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FootnoteReference"/>
        </w:rPr>
        <w:footnoteReference w:id="35"/>
      </w:r>
      <w:r>
        <w:rPr>
          <w:rFonts w:ascii="Times New Roman" w:hAnsi="Times New Roman" w:cs="Times New Roman" w:eastAsia="Times New Roman"/>
          <w:sz w:val="28"/>
        </w:rPr>
        <w:t xml:space="preserve">. Ikkinchidan, kapital ko‘rsatkichlari aktivlar sifati to‘g‘ri baholangan taqdirdagina ishonchli bo‘ladi, FSAP esa ko‘plab banklar, ayniqsa, davlat banklari uchun katta qayta kapitallashtirish zarurati paydo bo‘lishi mumkinligini qayd etgan</w:t>
      </w:r>
      <w:r>
        <w:rPr>
          <w:rStyle w:val="FootnoteReference"/>
        </w:rPr>
        <w:footnoteReference w:id="36"/>
      </w:r>
      <w:r>
        <w:rPr>
          <w:rFonts w:ascii="Times New Roman" w:hAnsi="Times New Roman" w:cs="Times New Roman" w:eastAsia="Times New Roman"/>
          <w:sz w:val="28"/>
        </w:rPr>
        <w:t xml:space="preserve">. Uchinchidan, Markaziy bankning stress-testlari salbiy ssenariyda asosiy kapital koeffitsiyenti 2028-yil oxirigacha 5,6 foizgacha, jami kapital monandligi esa 6,8 foizgacha pasayishi mumkinligini ko‘rsatgan</w:t>
      </w:r>
      <w:r>
        <w:rPr>
          <w:rStyle w:val="FootnoteReference"/>
        </w:rPr>
        <w:footnoteReference w:id="3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esa O‘zbekiston bank tizimi moliyaviy barqarorligining eng zaif va eng munozarali bo‘g‘ini hisoblanadi. Rasmiy muammoli kreditlar ulushi pandemiya davrida keskin oshib, 2021-yil avgustida 6,2 foizga yetgan</w:t>
      </w:r>
      <w:r>
        <w:rPr>
          <w:rStyle w:val="FootnoteReference"/>
        </w:rPr>
        <w:footnoteReference w:id="38"/>
      </w:r>
      <w:r>
        <w:rPr>
          <w:rFonts w:ascii="Times New Roman" w:hAnsi="Times New Roman" w:cs="Times New Roman" w:eastAsia="Times New Roman"/>
          <w:sz w:val="28"/>
        </w:rPr>
        <w:t xml:space="preserve">, keyin pasayib, 2022–2023-yillarda 3,5 foiz atrofida saqlangan, 2024-yil oktabrida 4,2 foizni, 2025-yil oxirida 4,1 foizni tashkil etgan</w:t>
      </w:r>
      <w:r>
        <w:rPr>
          <w:rStyle w:val="FootnoteReference"/>
        </w:rPr>
        <w:footnoteReference w:id="39"/>
      </w:r>
      <w:r>
        <w:rPr>
          <w:rFonts w:ascii="Times New Roman" w:hAnsi="Times New Roman" w:cs="Times New Roman" w:eastAsia="Times New Roman"/>
          <w:sz w:val="28"/>
        </w:rPr>
        <w:t xml:space="preserve">. Biroq rasmiy ko‘rsatkich kredit riskini to‘liq aks ettirmaydi. Markaziy bank ma’lumotlariga ko‘ra, nostandart va muammoli kreditlarning umumiy ulushi 2022-yil oxirida 15,9 foizni tashkil etgan</w:t>
      </w:r>
      <w:r>
        <w:rPr>
          <w:rStyle w:val="FootnoteReference"/>
        </w:rPr>
        <w:footnoteReference w:id="40"/>
      </w:r>
      <w:r>
        <w:rPr>
          <w:rFonts w:ascii="Times New Roman" w:hAnsi="Times New Roman" w:cs="Times New Roman" w:eastAsia="Times New Roman"/>
          <w:sz w:val="28"/>
        </w:rPr>
        <w:t xml:space="preserve">, 2023-yilda esa deyarli 20 foizga yetgan</w:t>
      </w:r>
      <w:r>
        <w:rPr>
          <w:rStyle w:val="FootnoteReference"/>
        </w:rPr>
        <w:footnoteReference w:id="41"/>
      </w:r>
      <w:r>
        <w:rPr>
          <w:rFonts w:ascii="Times New Roman" w:hAnsi="Times New Roman" w:cs="Times New Roman" w:eastAsia="Times New Roman"/>
          <w:sz w:val="28"/>
        </w:rPr>
        <w:t xml:space="preserve">. Jahon banki ma’lumotlariga ko‘ra, 2023-yil oxirida MHXS 9 bo‘yicha 3-bosqichdagi kreditlar ulushi 7,8 foiz bo‘lib, rasmiy ko‘rsatkichdan deyarli ikki barobar yuqori bo‘lgan</w:t>
      </w:r>
      <w:r>
        <w:rPr>
          <w:rStyle w:val="FootnoteReference"/>
        </w:rPr>
        <w:footnoteReference w:id="4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(2.2.3-rasm).</w:t>
      </w:r>
    </w:p>
    <w:p>
      <w:pPr>
        <w:pStyle w:val="BodyText"/>
        <w:keepNext/>
        <w:spacing w:line="240" w:lineRule="auto" w:before="0" w:after="0"/>
        <w:ind w:firstLine="0"/>
        <w:jc w:val="center"/>
      </w:pPr>
      <w:r xmlns:c="http://schemas.openxmlformats.org/drawingml/2006/chart">
        <w:rPr>
          <w:noProof/>
        </w:rPr>
        <w:drawing>
          <wp:inline distT="0" distB="0" distL="0" distR="0">
            <wp:extent cx="5580000" cy="2700000"/>
            <wp:effectExtent l="0" t="0" r="0" b="0"/>
            <wp:docPr id="1003" name="2.2.3-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2.2.3-rasm. O‘zbekiston bank tizimida aktivlar sifati ko‘rsatkichlari, %</w:t>
      </w:r>
      <w:r>
        <w:rPr>
          <w:rStyle w:val="FootnoteReference"/>
        </w:rPr>
        <w:footnoteReference w:id="43"/>
      </w:r>
    </w:p>
    <w:p>
      <w:pPr>
        <w:pStyle w:val="BodyText"/>
        <w:spacing w:line="360" w:lineRule="auto" w:before="0" w:after="0"/>
        <w:ind w:firstLine="709"/>
        <w:jc w:val="both"/>
      </w:pPr>
      <w:r>
        <w:rPr>
          <w:rFonts w:ascii="Times New Roman" w:hAnsi="Times New Roman" w:cs="Times New Roman" w:eastAsia="Times New Roman"/>
          <w:sz w:val="28"/>
        </w:rPr>
        <w:t xml:space="preserve">Rasmiy ko‘rsatkich va MHXS 9 bo‘yicha 3-bosqich kreditlari o‘rtasidagi farq muammoli kredit ta’rifining torligi va restrukturizatsiya qilingan kreditlarni qayta tasniflash qoidalarining yumshoqligi bilan izohlanadi. Bundan tashqari, FSAP ma’lumotlariga ko‘ra, muammoli kreditlarning zaxiralar bilan qoplanish darajasi 45,4 foizni tashkil etgan</w:t>
      </w:r>
      <w:r>
        <w:rPr>
          <w:rStyle w:val="FootnoteReference"/>
        </w:rPr>
        <w:footnoteReference w:id="44"/>
      </w:r>
      <w:r>
        <w:rPr>
          <w:rFonts w:ascii="Times New Roman" w:hAnsi="Times New Roman" w:cs="Times New Roman" w:eastAsia="Times New Roman"/>
          <w:sz w:val="28"/>
        </w:rPr>
        <w:t xml:space="preserve">, ya’ni muammoli kreditlarning yarmidan ko‘pi zaxira bilan qoplanmagan. Xalqaro mezonlar bilan solishtirganda, O.I. Lavrushin va I.D. Mamonova erta ogohlantirish signallari qatorida umidsiz kreditlar ulushining 5 foizdan oshishini keltiradi</w:t>
      </w:r>
      <w:r>
        <w:rPr>
          <w:rStyle w:val="FootnoteReference"/>
        </w:rPr>
        <w:footnoteReference w:id="45"/>
      </w:r>
      <w:r>
        <w:rPr>
          <w:rFonts w:ascii="Times New Roman" w:hAnsi="Times New Roman" w:cs="Times New Roman" w:eastAsia="Times New Roman"/>
          <w:sz w:val="28"/>
        </w:rPr>
        <w:t xml:space="preserve">, O.I. Lavrushin tahriridagi monografiyada esa ishlamaydigan kreditlar ulushining 10 foizgacha oshishi salbiy vaziyat darakchisi sifatida ko‘rsatiladi</w:t>
      </w:r>
      <w:r>
        <w:rPr>
          <w:rStyle w:val="FootnoteReference"/>
        </w:rPr>
        <w:footnoteReference w:id="46"/>
      </w:r>
      <w:r>
        <w:rPr>
          <w:rFonts w:ascii="Times New Roman" w:hAnsi="Times New Roman" w:cs="Times New Roman" w:eastAsia="Times New Roman"/>
          <w:sz w:val="28"/>
        </w:rPr>
        <w:t xml:space="preserve">. Rasmiy ko‘rsatkich birinchi chegaradan pastda bo‘lsa, MHXS 9 bo‘yicha ko‘rsatkich undan yuqori, nostandart va muammoli kreditlarning umumiy ulushi esa ikkala chegaradan ham ancha yuqori. Demak, aktivlar sifatini baholash natijasi qaysi ko‘rsatkich va qaysi hisobot standarti olinishiga keskin bog‘liq.</w:t>
      </w:r>
    </w:p>
    <w:p>
      <w:pPr>
        <w:pStyle w:val="BodyText"/>
        <w:spacing w:line="360" w:lineRule="auto" w:before="0" w:after="0"/>
        <w:ind w:firstLine="709"/>
        <w:jc w:val="both"/>
      </w:pPr>
      <w:r>
        <w:rPr>
          <w:rFonts w:ascii="Times New Roman" w:hAnsi="Times New Roman" w:cs="Times New Roman" w:eastAsia="Times New Roman"/>
          <w:sz w:val="28"/>
        </w:rPr>
        <w:t xml:space="preserve">Daromadlilik ko‘rsatkichlari ham bir tekis rivojlanmagan. 2021-yilda kapital rentabelligi taxminan 6 foizgacha, aktivlar rentabelligi esa 1,3 foizgacha pasaygan</w:t>
      </w:r>
      <w:r>
        <w:rPr>
          <w:rStyle w:val="FootnoteReference"/>
        </w:rPr>
        <w:footnoteReference w:id="47"/>
      </w:r>
      <w:r>
        <w:rPr>
          <w:rFonts w:ascii="Times New Roman" w:hAnsi="Times New Roman" w:cs="Times New Roman" w:eastAsia="Times New Roman"/>
          <w:sz w:val="28"/>
        </w:rPr>
        <w:t xml:space="preserve">. 2022-yilda daromadlilik tiklanib, aktivlar rentabelligi 2,5 foizga, kapital rentabelligi 13,3 foizga yetgan</w:t>
      </w:r>
      <w:r>
        <w:rPr>
          <w:rStyle w:val="FootnoteReference"/>
        </w:rPr>
        <w:footnoteReference w:id="48"/>
      </w:r>
      <w:r>
        <w:rPr>
          <w:rFonts w:ascii="Times New Roman" w:hAnsi="Times New Roman" w:cs="Times New Roman" w:eastAsia="Times New Roman"/>
          <w:sz w:val="28"/>
        </w:rPr>
        <w:t xml:space="preserve">, 2023-yilda mos ravishda 2,6 va 14,2 foizni tashkil etgan</w:t>
      </w:r>
      <w:r>
        <w:rPr>
          <w:rStyle w:val="FootnoteReference"/>
        </w:rPr>
        <w:footnoteReference w:id="49"/>
      </w:r>
      <w:r>
        <w:rPr>
          <w:rFonts w:ascii="Times New Roman" w:hAnsi="Times New Roman" w:cs="Times New Roman" w:eastAsia="Times New Roman"/>
          <w:sz w:val="28"/>
        </w:rPr>
        <w:t xml:space="preserve">. 2024-yilda nofoiz xarajatlarning oshishi natijasida daromadlilik yana pasaygan, 2025-yil oxirida esa aktivlar rentabelligi 2,2 foiz, kapital rentabelligi 12,4 foiz darajasida tiklangan</w:t>
      </w:r>
      <w:r>
        <w:rPr>
          <w:rStyle w:val="FootnoteReference"/>
        </w:rPr>
        <w:footnoteReference w:id="50"/>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(2.2.4-rasm).</w:t>
      </w:r>
    </w:p>
    <w:p>
      <w:pPr>
        <w:pStyle w:val="BodyText"/>
        <w:keepNext/>
        <w:spacing w:line="240" w:lineRule="auto" w:before="0" w:after="0"/>
        <w:ind w:firstLine="0"/>
        <w:jc w:val="center"/>
      </w:pPr>
      <w:r xmlns:c="http://schemas.openxmlformats.org/drawingml/2006/chart">
        <w:rPr>
          <w:noProof/>
        </w:rPr>
        <w:drawing>
          <wp:inline distT="0" distB="0" distL="0" distR="0">
            <wp:extent cx="5580000" cy="2700000"/>
            <wp:effectExtent l="0" t="0" r="0" b="0"/>
            <wp:docPr id="1004" name="2.2.4-rasm"/>
            <wp:cNvGraphicFramePr/>
            <a:graphic>
              <a:graphicData uri="http://schemas.openxmlformats.org/drawingml/2006/chart">
                <c:chart r:id="rId1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2.2.4-rasm. O‘zbekiston bank tizimida aktivlar va kapital rentabelligi dinamikasi, %</w:t>
      </w:r>
      <w:r>
        <w:rPr>
          <w:rStyle w:val="FootnoteReference"/>
        </w:rPr>
        <w:footnoteReference w:id="51"/>
      </w:r>
    </w:p>
    <w:p>
      <w:pPr>
        <w:pStyle w:val="BodyText"/>
        <w:spacing w:line="360" w:lineRule="auto" w:before="0" w:after="0"/>
        <w:ind w:firstLine="709"/>
        <w:jc w:val="both"/>
      </w:pPr>
      <w:r>
        <w:rPr>
          <w:rFonts w:ascii="Times New Roman" w:hAnsi="Times New Roman" w:cs="Times New Roman" w:eastAsia="Times New Roman"/>
          <w:sz w:val="28"/>
        </w:rPr>
        <w:t xml:space="preserve">CAMELS tizimida aktivlar rentabelligi 1 foizdan yuqori bo‘lganda daromadlilik eng yuqori reyting bilan baholanadi</w:t>
      </w:r>
      <w:r>
        <w:rPr>
          <w:rStyle w:val="FootnoteReference"/>
        </w:rPr>
        <w:footnoteReference w:id="52"/>
      </w:r>
      <w:r>
        <w:rPr>
          <w:rFonts w:ascii="Times New Roman" w:hAnsi="Times New Roman" w:cs="Times New Roman" w:eastAsia="Times New Roman"/>
          <w:sz w:val="28"/>
        </w:rPr>
        <w:t xml:space="preserve">, demak, tizim darajasidagi ko‘rsatkich bu mezonga mos keladi. Biroq daromadlilikning yillar bo‘yicha sezilarli tebranishi bank tizimi daromadlarining makroiqtisodiy sharoit va xarajatlarga sezgirligidan dalolat beradi. Likvidlik ko‘rsatkichlari bo‘yicha esa bank tizimi xalqaro talablarni katta zaxira bilan bajaradi: likvidlikni qoplash koeffitsiyenti 2022–2025-yillarda 164,8–211,6 foiz, sof barqaror moliyalashtirish me’yori 111,8–117 foiz oralig‘ida bo‘lgan</w:t>
      </w:r>
      <w:r>
        <w:rPr>
          <w:rStyle w:val="FootnoteReference"/>
        </w:rPr>
        <w:footnoteReference w:id="53"/>
      </w:r>
      <w:r>
        <w:rPr>
          <w:rFonts w:ascii="Times New Roman" w:hAnsi="Times New Roman" w:cs="Times New Roman" w:eastAsia="Times New Roman"/>
          <w:sz w:val="28"/>
        </w:rPr>
        <w:t xml:space="preserve">. Biroq FSAP ma’lumotlariga ko‘ra, kreditlarning depozitlarga nisbati 172,7 foizni tashkil etadi</w:t>
      </w:r>
      <w:r>
        <w:rPr>
          <w:rStyle w:val="FootnoteReference"/>
        </w:rPr>
        <w:footnoteReference w:id="54"/>
      </w:r>
      <w:r>
        <w:rPr>
          <w:rFonts w:ascii="Times New Roman" w:hAnsi="Times New Roman" w:cs="Times New Roman" w:eastAsia="Times New Roman"/>
          <w:sz w:val="28"/>
        </w:rPr>
        <w:t xml:space="preserve">. Bu bank tizimi kreditlarni moliyalashtirishda depozitlardan tashqari tashqi qarzlar va davlat resurslariga sezilarli darajada tayanishini anglatadi. Bundan tashqari, kreditlarning 42–43 foizi xorijiy valyutada bo‘lib, davlat banklarida bu ko‘rsatkich 48,3 foizga yetadi</w:t>
      </w:r>
      <w:r>
        <w:rPr>
          <w:rStyle w:val="FootnoteReference"/>
        </w:rPr>
        <w:footnoteReference w:id="5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Tizim darajasidagi agregat ko‘rsatkichlar alohida banklar o‘rtasidagi farqlarni yashiradi. Shu sababli tahlilni ikki tizimli davlat banki misolida chuqurlashtirish maqsadga muvofiq. Ularning 2021–2025-yillardagi asosiy ko‘rsatkichlari 2.2.2-jadvalda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ning moliyaviy barqarorlik ko‘rsatkichlari</w:t>
      </w:r>
      <w:r>
        <w:rPr>
          <w:rStyle w:val="FootnoteReference"/>
        </w:rPr>
        <w:footnoteReference w:id="56"/>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p>
            <w:pPr>
              <w:pStyle w:val="Compact"/>
              <w:spacing w:line="240" w:lineRule="auto"/>
              <w:ind w:firstLine="0"/>
              <w:jc w:val="left"/>
            </w:pPr>
            <w:r>
              <w:rPr>
                <w:iCs/>
                <w:i/>
                <w:bCs/>
                <w:rFonts w:ascii="Times New Roman" w:hAnsi="Times New Roman" w:cs="Times New Roman" w:eastAsia="Times New Roman"/>
                <w:b/>
                <w:sz w:val="22"/>
              </w:rPr>
              <w:t xml:space="preserve">«O‘zsanoatqurilishbank» ATB</w:t>
            </w:r>
          </w:p>
        </w:tc>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left"/>
            </w:pP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p>
            <w:pPr>
              <w:pStyle w:val="Compact"/>
              <w:spacing w:line="240" w:lineRule="auto"/>
              <w:ind w:firstLine="0"/>
              <w:jc w:val="left"/>
            </w:pPr>
            <w:r>
              <w:rPr>
                <w:rFonts w:ascii="Times New Roman" w:hAnsi="Times New Roman" w:cs="Times New Roman" w:eastAsia="Times New Roman"/>
                <w:sz w:val="22"/>
              </w:rPr>
              <w:t xml:space="preserve">56,5</w:t>
            </w:r>
          </w:p>
        </w:tc>
        <w:tc>
          <w:tcPr/>
          <w:p>
            <w:pPr>
              <w:pStyle w:val="Compact"/>
              <w:spacing w:line="240" w:lineRule="auto"/>
              <w:ind w:firstLine="0"/>
              <w:jc w:val="left"/>
            </w:pPr>
            <w:r>
              <w:rPr>
                <w:rFonts w:ascii="Times New Roman" w:hAnsi="Times New Roman" w:cs="Times New Roman" w:eastAsia="Times New Roman"/>
                <w:sz w:val="22"/>
              </w:rPr>
              <w:t xml:space="preserve">64,3</w:t>
            </w:r>
          </w:p>
        </w:tc>
        <w:tc>
          <w:tcPr/>
          <w:p>
            <w:pPr>
              <w:pStyle w:val="Compact"/>
              <w:spacing w:line="240" w:lineRule="auto"/>
              <w:ind w:firstLine="0"/>
              <w:jc w:val="left"/>
            </w:pPr>
            <w:r>
              <w:rPr>
                <w:rFonts w:ascii="Times New Roman" w:hAnsi="Times New Roman" w:cs="Times New Roman" w:eastAsia="Times New Roman"/>
                <w:sz w:val="22"/>
              </w:rPr>
              <w:t xml:space="preserve">74,6</w:t>
            </w:r>
          </w:p>
        </w:tc>
        <w:tc>
          <w:tcPr/>
          <w:p>
            <w:pPr>
              <w:pStyle w:val="Compact"/>
              <w:spacing w:line="240" w:lineRule="auto"/>
              <w:ind w:firstLine="0"/>
              <w:jc w:val="left"/>
            </w:pPr>
            <w:r>
              <w:rPr>
                <w:rFonts w:ascii="Times New Roman" w:hAnsi="Times New Roman" w:cs="Times New Roman" w:eastAsia="Times New Roman"/>
                <w:sz w:val="22"/>
              </w:rPr>
              <w:t xml:space="preserve">87,6</w:t>
            </w:r>
          </w:p>
        </w:tc>
        <w:tc>
          <w:tcPr/>
          <w:p>
            <w:pPr>
              <w:pStyle w:val="Compact"/>
              <w:spacing w:line="240" w:lineRule="auto"/>
              <w:ind w:firstLine="0"/>
              <w:jc w:val="left"/>
            </w:pPr>
            <w:r>
              <w:rPr>
                <w:rFonts w:ascii="Times New Roman" w:hAnsi="Times New Roman" w:cs="Times New Roman" w:eastAsia="Times New Roman"/>
                <w:sz w:val="22"/>
              </w:rPr>
              <w:t xml:space="preserve">102,4</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p>
            <w:pPr>
              <w:pStyle w:val="Compact"/>
              <w:spacing w:line="240" w:lineRule="auto"/>
              <w:ind w:firstLine="0"/>
              <w:jc w:val="left"/>
            </w:pPr>
            <w:r>
              <w:rPr>
                <w:rFonts w:ascii="Times New Roman" w:hAnsi="Times New Roman" w:cs="Times New Roman" w:eastAsia="Times New Roman"/>
                <w:sz w:val="22"/>
              </w:rPr>
              <w:t xml:space="preserve">15,8</w:t>
            </w:r>
          </w:p>
        </w:tc>
        <w:tc>
          <w:tcPr/>
          <w:p>
            <w:pPr>
              <w:pStyle w:val="Compact"/>
              <w:spacing w:line="240" w:lineRule="auto"/>
              <w:ind w:firstLine="0"/>
              <w:jc w:val="left"/>
            </w:pPr>
            <w:r>
              <w:rPr>
                <w:rFonts w:ascii="Times New Roman" w:hAnsi="Times New Roman" w:cs="Times New Roman" w:eastAsia="Times New Roman"/>
                <w:sz w:val="22"/>
              </w:rPr>
              <w:t xml:space="preserve">15,3</w:t>
            </w:r>
          </w:p>
        </w:tc>
        <w:tc>
          <w:tcPr/>
          <w:p>
            <w:pPr>
              <w:pStyle w:val="Compact"/>
              <w:spacing w:line="240" w:lineRule="auto"/>
              <w:ind w:firstLine="0"/>
              <w:jc w:val="left"/>
            </w:pPr>
            <w:r>
              <w:rPr>
                <w:rFonts w:ascii="Times New Roman" w:hAnsi="Times New Roman" w:cs="Times New Roman" w:eastAsia="Times New Roman"/>
                <w:sz w:val="22"/>
              </w:rPr>
              <w:t xml:space="preserve">16,1</w:t>
            </w:r>
          </w:p>
        </w:tc>
        <w:tc>
          <w:tcPr/>
          <w:p>
            <w:pPr>
              <w:pStyle w:val="Compact"/>
              <w:spacing w:line="240" w:lineRule="auto"/>
              <w:ind w:firstLine="0"/>
              <w:jc w:val="left"/>
            </w:pPr>
            <w:r>
              <w:rPr>
                <w:rFonts w:ascii="Times New Roman" w:hAnsi="Times New Roman" w:cs="Times New Roman" w:eastAsia="Times New Roman"/>
                <w:sz w:val="22"/>
              </w:rPr>
              <w:t xml:space="preserve">15,6</w:t>
            </w:r>
          </w:p>
        </w:tc>
        <w:tc>
          <w:tcPr/>
          <w:p>
            <w:pPr>
              <w:pStyle w:val="Compact"/>
              <w:spacing w:line="240" w:lineRule="auto"/>
              <w:ind w:firstLine="0"/>
              <w:jc w:val="left"/>
            </w:pPr>
            <w:r>
              <w:rPr>
                <w:rFonts w:ascii="Times New Roman" w:hAnsi="Times New Roman" w:cs="Times New Roman" w:eastAsia="Times New Roman"/>
                <w:sz w:val="22"/>
              </w:rPr>
              <w:t xml:space="preserve">17,0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p>
            <w:pPr>
              <w:pStyle w:val="Compact"/>
              <w:spacing w:line="240" w:lineRule="auto"/>
              <w:ind w:firstLine="0"/>
              <w:jc w:val="left"/>
            </w:pPr>
            <w:r>
              <w:rPr>
                <w:rFonts w:ascii="Times New Roman" w:hAnsi="Times New Roman" w:cs="Times New Roman" w:eastAsia="Times New Roman"/>
                <w:sz w:val="22"/>
              </w:rPr>
              <w:t xml:space="preserve">11,9</w:t>
            </w:r>
          </w:p>
        </w:tc>
        <w:tc>
          <w:tcPr/>
          <w:p>
            <w:pPr>
              <w:pStyle w:val="Compact"/>
              <w:spacing w:line="240" w:lineRule="auto"/>
              <w:ind w:firstLine="0"/>
              <w:jc w:val="left"/>
            </w:pPr>
            <w:r>
              <w:rPr>
                <w:rFonts w:ascii="Times New Roman" w:hAnsi="Times New Roman" w:cs="Times New Roman" w:eastAsia="Times New Roman"/>
                <w:sz w:val="22"/>
              </w:rPr>
              <w:t xml:space="preserve">12,1</w:t>
            </w:r>
          </w:p>
        </w:tc>
        <w:tc>
          <w:tcPr/>
          <w:p>
            <w:pPr>
              <w:pStyle w:val="Compact"/>
              <w:spacing w:line="240" w:lineRule="auto"/>
              <w:ind w:firstLine="0"/>
              <w:jc w:val="left"/>
            </w:pPr>
            <w:r>
              <w:rPr>
                <w:rFonts w:ascii="Times New Roman" w:hAnsi="Times New Roman" w:cs="Times New Roman" w:eastAsia="Times New Roman"/>
                <w:sz w:val="22"/>
              </w:rPr>
              <w:t xml:space="preserve">11,0</w:t>
            </w:r>
          </w:p>
        </w:tc>
        <w:tc>
          <w:tcPr/>
          <w:p>
            <w:pPr>
              <w:pStyle w:val="Compact"/>
              <w:spacing w:line="240" w:lineRule="auto"/>
              <w:ind w:firstLine="0"/>
              <w:jc w:val="left"/>
            </w:pPr>
            <w:r>
              <w:rPr>
                <w:rFonts w:ascii="Times New Roman" w:hAnsi="Times New Roman" w:cs="Times New Roman" w:eastAsia="Times New Roman"/>
                <w:sz w:val="22"/>
              </w:rPr>
              <w:t xml:space="preserve">10,6</w:t>
            </w:r>
          </w:p>
        </w:tc>
        <w:tc>
          <w:tcPr/>
          <w:p>
            <w:pPr>
              <w:pStyle w:val="Compact"/>
              <w:spacing w:line="240" w:lineRule="auto"/>
              <w:ind w:firstLine="0"/>
              <w:jc w:val="left"/>
            </w:pPr>
            <w:r>
              <w:rPr>
                <w:rFonts w:ascii="Times New Roman" w:hAnsi="Times New Roman" w:cs="Times New Roman" w:eastAsia="Times New Roman"/>
                <w:sz w:val="22"/>
              </w:rPr>
              <w:t xml:space="preserve">10,2</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p>
            <w:pPr>
              <w:pStyle w:val="Compact"/>
              <w:spacing w:line="240" w:lineRule="auto"/>
              <w:ind w:firstLine="0"/>
              <w:jc w:val="left"/>
            </w:pPr>
            <w:r>
              <w:rPr>
                <w:rFonts w:ascii="Times New Roman" w:hAnsi="Times New Roman" w:cs="Times New Roman" w:eastAsia="Times New Roman"/>
                <w:sz w:val="22"/>
              </w:rPr>
              <w:t xml:space="preserve">3,8</w:t>
            </w:r>
          </w:p>
        </w:tc>
        <w:tc>
          <w:tcPr/>
          <w:p>
            <w:pPr>
              <w:pStyle w:val="Compact"/>
              <w:spacing w:line="240" w:lineRule="auto"/>
              <w:ind w:firstLine="0"/>
              <w:jc w:val="left"/>
            </w:pPr>
            <w:r>
              <w:rPr>
                <w:rFonts w:ascii="Times New Roman" w:hAnsi="Times New Roman" w:cs="Times New Roman" w:eastAsia="Times New Roman"/>
                <w:sz w:val="22"/>
              </w:rPr>
              <w:t xml:space="preserve">2,8</w:t>
            </w:r>
          </w:p>
        </w:tc>
        <w:tc>
          <w:tcPr/>
          <w:p>
            <w:pPr>
              <w:pStyle w:val="Compact"/>
              <w:spacing w:line="240" w:lineRule="auto"/>
              <w:ind w:firstLine="0"/>
              <w:jc w:val="left"/>
            </w:pPr>
            <w:r>
              <w:rPr>
                <w:rFonts w:ascii="Times New Roman" w:hAnsi="Times New Roman" w:cs="Times New Roman" w:eastAsia="Times New Roman"/>
                <w:sz w:val="22"/>
              </w:rPr>
              <w:t xml:space="preserve">2,2</w:t>
            </w:r>
          </w:p>
        </w:tc>
        <w:tc>
          <w:tcPr/>
          <w:p>
            <w:pPr>
              <w:pStyle w:val="Compact"/>
              <w:spacing w:line="240" w:lineRule="auto"/>
              <w:ind w:firstLine="0"/>
              <w:jc w:val="left"/>
            </w:pPr>
            <w:r>
              <w:rPr>
                <w:rFonts w:ascii="Times New Roman" w:hAnsi="Times New Roman" w:cs="Times New Roman" w:eastAsia="Times New Roman"/>
                <w:sz w:val="22"/>
              </w:rPr>
              <w:t xml:space="preserve">2,8</w:t>
            </w:r>
          </w:p>
        </w:tc>
        <w:tc>
          <w:tcPr/>
          <w:p>
            <w:pPr>
              <w:pStyle w:val="Compact"/>
              <w:spacing w:line="240" w:lineRule="auto"/>
              <w:ind w:firstLine="0"/>
              <w:jc w:val="left"/>
            </w:pPr>
            <w:r>
              <w:rPr>
                <w:rFonts w:ascii="Times New Roman" w:hAnsi="Times New Roman" w:cs="Times New Roman" w:eastAsia="Times New Roman"/>
                <w:sz w:val="22"/>
              </w:rPr>
              <w:t xml:space="preserve">2,5</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p>
            <w:pPr>
              <w:pStyle w:val="Compact"/>
              <w:spacing w:line="240" w:lineRule="auto"/>
              <w:ind w:firstLine="0"/>
              <w:jc w:val="left"/>
            </w:pPr>
            <w:r>
              <w:rPr>
                <w:rFonts w:ascii="Times New Roman" w:hAnsi="Times New Roman" w:cs="Times New Roman" w:eastAsia="Times New Roman"/>
                <w:sz w:val="22"/>
              </w:rPr>
              <w:t xml:space="preserve">6,2</w:t>
            </w:r>
          </w:p>
        </w:tc>
        <w:tc>
          <w:tcPr/>
          <w:p>
            <w:pPr>
              <w:pStyle w:val="Compact"/>
              <w:spacing w:line="240" w:lineRule="auto"/>
              <w:ind w:firstLine="0"/>
              <w:jc w:val="left"/>
            </w:pPr>
            <w:r>
              <w:rPr>
                <w:rFonts w:ascii="Times New Roman" w:hAnsi="Times New Roman" w:cs="Times New Roman" w:eastAsia="Times New Roman"/>
                <w:sz w:val="22"/>
              </w:rPr>
              <w:t xml:space="preserve">5,3</w:t>
            </w:r>
          </w:p>
        </w:tc>
        <w:tc>
          <w:tcPr/>
          <w:p>
            <w:pPr>
              <w:pStyle w:val="Compact"/>
              <w:spacing w:line="240" w:lineRule="auto"/>
              <w:ind w:firstLine="0"/>
              <w:jc w:val="left"/>
            </w:pPr>
            <w:r>
              <w:rPr>
                <w:rFonts w:ascii="Times New Roman" w:hAnsi="Times New Roman" w:cs="Times New Roman" w:eastAsia="Times New Roman"/>
                <w:sz w:val="22"/>
              </w:rPr>
              <w:t xml:space="preserve">11,0</w:t>
            </w:r>
          </w:p>
        </w:tc>
        <w:tc>
          <w:tcPr/>
          <w:p>
            <w:pPr>
              <w:pStyle w:val="Compact"/>
              <w:spacing w:line="240" w:lineRule="auto"/>
              <w:ind w:firstLine="0"/>
              <w:jc w:val="left"/>
            </w:pPr>
            <w:r>
              <w:rPr>
                <w:rFonts w:ascii="Times New Roman" w:hAnsi="Times New Roman" w:cs="Times New Roman" w:eastAsia="Times New Roman"/>
                <w:sz w:val="22"/>
              </w:rPr>
              <w:t xml:space="preserve">14,8</w:t>
            </w:r>
          </w:p>
        </w:tc>
        <w:tc>
          <w:tcPr/>
          <w:p>
            <w:pPr>
              <w:pStyle w:val="Compact"/>
              <w:spacing w:line="240" w:lineRule="auto"/>
              <w:ind w:firstLine="0"/>
              <w:jc w:val="left"/>
            </w:pPr>
            <w:r>
              <w:rPr>
                <w:rFonts w:ascii="Times New Roman" w:hAnsi="Times New Roman" w:cs="Times New Roman" w:eastAsia="Times New Roman"/>
                <w:sz w:val="22"/>
              </w:rPr>
              <w:t xml:space="preserve">18,4</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ROA, %</w:t>
            </w:r>
          </w:p>
        </w:tc>
        <w:tc>
          <w:tcPr/>
          <w:p>
            <w:pPr>
              <w:pStyle w:val="Compact"/>
              <w:spacing w:line="240" w:lineRule="auto"/>
              <w:ind w:firstLine="0"/>
              <w:jc w:val="left"/>
            </w:pPr>
            <w:r>
              <w:rPr>
                <w:rFonts w:ascii="Times New Roman" w:hAnsi="Times New Roman" w:cs="Times New Roman" w:eastAsia="Times New Roman"/>
                <w:sz w:val="22"/>
              </w:rPr>
              <w:t xml:space="preserve">2,2</w:t>
            </w:r>
          </w:p>
        </w:tc>
        <w:tc>
          <w:tcPr/>
          <w:p>
            <w:pPr>
              <w:pStyle w:val="Compact"/>
              <w:spacing w:line="240" w:lineRule="auto"/>
              <w:ind w:firstLine="0"/>
              <w:jc w:val="left"/>
            </w:pPr>
            <w:r>
              <w:rPr>
                <w:rFonts w:ascii="Times New Roman" w:hAnsi="Times New Roman" w:cs="Times New Roman" w:eastAsia="Times New Roman"/>
                <w:sz w:val="22"/>
              </w:rPr>
              <w:t xml:space="preserve">1,0</w:t>
            </w:r>
          </w:p>
        </w:tc>
        <w:tc>
          <w:tcPr/>
          <w:p>
            <w:pPr>
              <w:pStyle w:val="Compact"/>
              <w:spacing w:line="240" w:lineRule="auto"/>
              <w:ind w:firstLine="0"/>
              <w:jc w:val="left"/>
            </w:pPr>
            <w:r>
              <w:rPr>
                <w:rFonts w:ascii="Times New Roman" w:hAnsi="Times New Roman" w:cs="Times New Roman" w:eastAsia="Times New Roman"/>
                <w:sz w:val="22"/>
              </w:rPr>
              <w:t xml:space="preserve">1,3</w:t>
            </w:r>
          </w:p>
        </w:tc>
        <w:tc>
          <w:tcPr/>
          <w:p>
            <w:pPr>
              <w:pStyle w:val="Compact"/>
              <w:spacing w:line="240" w:lineRule="auto"/>
              <w:ind w:firstLine="0"/>
              <w:jc w:val="left"/>
            </w:pPr>
            <w:r>
              <w:rPr>
                <w:rFonts w:ascii="Times New Roman" w:hAnsi="Times New Roman" w:cs="Times New Roman" w:eastAsia="Times New Roman"/>
                <w:sz w:val="22"/>
              </w:rPr>
              <w:t xml:space="preserve">1,6</w:t>
            </w:r>
          </w:p>
        </w:tc>
        <w:tc>
          <w:tcPr/>
          <w:p>
            <w:pPr>
              <w:pStyle w:val="Compact"/>
              <w:spacing w:line="240" w:lineRule="auto"/>
              <w:ind w:firstLine="0"/>
              <w:jc w:val="left"/>
            </w:pPr>
            <w:r>
              <w:rPr>
                <w:rFonts w:ascii="Times New Roman" w:hAnsi="Times New Roman" w:cs="Times New Roman" w:eastAsia="Times New Roman"/>
                <w:sz w:val="22"/>
              </w:rPr>
              <w:t xml:space="preserve">2,0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ROE, %</w:t>
            </w:r>
          </w:p>
        </w:tc>
        <w:tc>
          <w:tcPr/>
          <w:p>
            <w:pPr>
              <w:pStyle w:val="Compact"/>
              <w:spacing w:line="240" w:lineRule="auto"/>
              <w:ind w:firstLine="0"/>
              <w:jc w:val="left"/>
            </w:pPr>
            <w:r>
              <w:rPr>
                <w:rFonts w:ascii="Times New Roman" w:hAnsi="Times New Roman" w:cs="Times New Roman" w:eastAsia="Times New Roman"/>
                <w:sz w:val="22"/>
              </w:rPr>
              <w:t xml:space="preserve">16,0</w:t>
            </w:r>
          </w:p>
        </w:tc>
        <w:tc>
          <w:tcPr/>
          <w:p>
            <w:pPr>
              <w:pStyle w:val="Compact"/>
              <w:spacing w:line="240" w:lineRule="auto"/>
              <w:ind w:firstLine="0"/>
              <w:jc w:val="left"/>
            </w:pPr>
            <w:r>
              <w:rPr>
                <w:rFonts w:ascii="Times New Roman" w:hAnsi="Times New Roman" w:cs="Times New Roman" w:eastAsia="Times New Roman"/>
                <w:sz w:val="22"/>
              </w:rPr>
              <w:t xml:space="preserve">7,6</w:t>
            </w:r>
          </w:p>
        </w:tc>
        <w:tc>
          <w:tcPr/>
          <w:p>
            <w:pPr>
              <w:pStyle w:val="Compact"/>
              <w:spacing w:line="240" w:lineRule="auto"/>
              <w:ind w:firstLine="0"/>
              <w:jc w:val="left"/>
            </w:pPr>
            <w:r>
              <w:rPr>
                <w:rFonts w:ascii="Times New Roman" w:hAnsi="Times New Roman" w:cs="Times New Roman" w:eastAsia="Times New Roman"/>
                <w:sz w:val="22"/>
              </w:rPr>
              <w:t xml:space="preserve">11,0</w:t>
            </w:r>
          </w:p>
        </w:tc>
        <w:tc>
          <w:tcPr/>
          <w:p>
            <w:pPr>
              <w:pStyle w:val="Compact"/>
              <w:spacing w:line="240" w:lineRule="auto"/>
              <w:ind w:firstLine="0"/>
              <w:jc w:val="left"/>
            </w:pPr>
            <w:r>
              <w:rPr>
                <w:rFonts w:ascii="Times New Roman" w:hAnsi="Times New Roman" w:cs="Times New Roman" w:eastAsia="Times New Roman"/>
                <w:sz w:val="22"/>
              </w:rPr>
              <w:t xml:space="preserve">13,9</w:t>
            </w:r>
          </w:p>
        </w:tc>
        <w:tc>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LCR, %</w:t>
            </w:r>
          </w:p>
        </w:tc>
        <w:tc>
          <w:tcPr/>
          <w:p>
            <w:pPr>
              <w:pStyle w:val="Compact"/>
              <w:spacing w:line="240" w:lineRule="auto"/>
              <w:ind w:firstLine="0"/>
              <w:jc w:val="left"/>
            </w:pPr>
            <w:r>
              <w:rPr>
                <w:rFonts w:ascii="Times New Roman" w:hAnsi="Times New Roman" w:cs="Times New Roman" w:eastAsia="Times New Roman"/>
                <w:sz w:val="22"/>
              </w:rPr>
              <w:t xml:space="preserve">164,5</w:t>
            </w:r>
          </w:p>
        </w:tc>
        <w:tc>
          <w:tcPr/>
          <w:p>
            <w:pPr>
              <w:pStyle w:val="Compact"/>
              <w:spacing w:line="240" w:lineRule="auto"/>
              <w:ind w:firstLine="0"/>
              <w:jc w:val="left"/>
            </w:pPr>
            <w:r>
              <w:rPr>
                <w:rFonts w:ascii="Times New Roman" w:hAnsi="Times New Roman" w:cs="Times New Roman" w:eastAsia="Times New Roman"/>
                <w:sz w:val="22"/>
              </w:rPr>
              <w:t xml:space="preserve">200,1</w:t>
            </w:r>
          </w:p>
        </w:tc>
        <w:tc>
          <w:tcPr/>
          <w:p>
            <w:pPr>
              <w:pStyle w:val="Compact"/>
              <w:spacing w:line="240" w:lineRule="auto"/>
              <w:ind w:firstLine="0"/>
              <w:jc w:val="left"/>
            </w:pPr>
            <w:r>
              <w:rPr>
                <w:rFonts w:ascii="Times New Roman" w:hAnsi="Times New Roman" w:cs="Times New Roman" w:eastAsia="Times New Roman"/>
                <w:sz w:val="22"/>
              </w:rPr>
              <w:t xml:space="preserve">177,3</w:t>
            </w:r>
          </w:p>
        </w:tc>
        <w:tc>
          <w:tcPr/>
          <w:p>
            <w:pPr>
              <w:pStyle w:val="Compact"/>
              <w:spacing w:line="240" w:lineRule="auto"/>
              <w:ind w:firstLine="0"/>
              <w:jc w:val="left"/>
            </w:pPr>
            <w:r>
              <w:rPr>
                <w:rFonts w:ascii="Times New Roman" w:hAnsi="Times New Roman" w:cs="Times New Roman" w:eastAsia="Times New Roman"/>
                <w:sz w:val="22"/>
              </w:rPr>
              <w:t xml:space="preserve">148,4</w:t>
            </w:r>
          </w:p>
        </w:tc>
        <w:tc>
          <w:tcPr/>
          <w:p>
            <w:pPr>
              <w:pStyle w:val="Compact"/>
              <w:spacing w:line="240" w:lineRule="auto"/>
              <w:ind w:firstLine="0"/>
              <w:jc w:val="left"/>
            </w:pPr>
            <w:r>
              <w:rPr>
                <w:rFonts w:ascii="Times New Roman" w:hAnsi="Times New Roman" w:cs="Times New Roman" w:eastAsia="Times New Roman"/>
                <w:sz w:val="22"/>
              </w:rPr>
              <w:t xml:space="preserve">222,9</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NSFR, %</w:t>
            </w:r>
          </w:p>
        </w:tc>
        <w:tc>
          <w:tcPr/>
          <w:p>
            <w:pPr>
              <w:pStyle w:val="Compact"/>
              <w:spacing w:line="240" w:lineRule="auto"/>
              <w:ind w:firstLine="0"/>
              <w:jc w:val="left"/>
            </w:pPr>
            <w:r>
              <w:rPr>
                <w:rFonts w:ascii="Times New Roman" w:hAnsi="Times New Roman" w:cs="Times New Roman" w:eastAsia="Times New Roman"/>
                <w:sz w:val="22"/>
              </w:rPr>
              <w:t xml:space="preserve">115,0</w:t>
            </w:r>
          </w:p>
        </w:tc>
        <w:tc>
          <w:tcPr/>
          <w:p>
            <w:pPr>
              <w:pStyle w:val="Compact"/>
              <w:spacing w:line="240" w:lineRule="auto"/>
              <w:ind w:firstLine="0"/>
              <w:jc w:val="left"/>
            </w:pPr>
            <w:r>
              <w:rPr>
                <w:rFonts w:ascii="Times New Roman" w:hAnsi="Times New Roman" w:cs="Times New Roman" w:eastAsia="Times New Roman"/>
                <w:sz w:val="22"/>
              </w:rPr>
              <w:t xml:space="preserve">110,4</w:t>
            </w:r>
          </w:p>
        </w:tc>
        <w:tc>
          <w:tcPr/>
          <w:p>
            <w:pPr>
              <w:pStyle w:val="Compact"/>
              <w:spacing w:line="240" w:lineRule="auto"/>
              <w:ind w:firstLine="0"/>
              <w:jc w:val="left"/>
            </w:pPr>
            <w:r>
              <w:rPr>
                <w:rFonts w:ascii="Times New Roman" w:hAnsi="Times New Roman" w:cs="Times New Roman" w:eastAsia="Times New Roman"/>
                <w:sz w:val="22"/>
              </w:rPr>
              <w:t xml:space="preserve">104,2</w:t>
            </w:r>
          </w:p>
        </w:tc>
        <w:tc>
          <w:tcPr/>
          <w:p>
            <w:pPr>
              <w:pStyle w:val="Compact"/>
              <w:spacing w:line="240" w:lineRule="auto"/>
              <w:ind w:firstLine="0"/>
              <w:jc w:val="left"/>
            </w:pPr>
            <w:r>
              <w:rPr>
                <w:rFonts w:ascii="Times New Roman" w:hAnsi="Times New Roman" w:cs="Times New Roman" w:eastAsia="Times New Roman"/>
                <w:sz w:val="22"/>
              </w:rPr>
              <w:t xml:space="preserve">113,1</w:t>
            </w:r>
          </w:p>
        </w:tc>
        <w:tc>
          <w:tcPr/>
          <w:p>
            <w:pPr>
              <w:pStyle w:val="Compact"/>
              <w:spacing w:line="240" w:lineRule="auto"/>
              <w:ind w:firstLine="0"/>
              <w:jc w:val="left"/>
            </w:pPr>
            <w:r>
              <w:rPr>
                <w:rFonts w:ascii="Times New Roman" w:hAnsi="Times New Roman" w:cs="Times New Roman" w:eastAsia="Times New Roman"/>
                <w:sz w:val="22"/>
              </w:rPr>
              <w:t xml:space="preserve">122,2</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p>
            <w:pPr>
              <w:pStyle w:val="Compact"/>
              <w:spacing w:line="240" w:lineRule="auto"/>
              <w:ind w:firstLine="0"/>
              <w:jc w:val="left"/>
            </w:pPr>
            <w:r>
              <w:rPr>
                <w:rFonts w:ascii="Times New Roman" w:hAnsi="Times New Roman" w:cs="Times New Roman" w:eastAsia="Times New Roman"/>
                <w:sz w:val="22"/>
              </w:rPr>
              <w:t xml:space="preserve">342,2</w:t>
            </w:r>
          </w:p>
        </w:tc>
        <w:tc>
          <w:tcPr/>
          <w:p>
            <w:pPr>
              <w:pStyle w:val="Compact"/>
              <w:spacing w:line="240" w:lineRule="auto"/>
              <w:ind w:firstLine="0"/>
              <w:jc w:val="left"/>
            </w:pPr>
            <w:r>
              <w:rPr>
                <w:rFonts w:ascii="Times New Roman" w:hAnsi="Times New Roman" w:cs="Times New Roman" w:eastAsia="Times New Roman"/>
                <w:sz w:val="22"/>
              </w:rPr>
              <w:t xml:space="preserve">323,0</w:t>
            </w:r>
          </w:p>
        </w:tc>
        <w:tc>
          <w:tcPr/>
          <w:p>
            <w:pPr>
              <w:pStyle w:val="Compact"/>
              <w:spacing w:line="240" w:lineRule="auto"/>
              <w:ind w:firstLine="0"/>
              <w:jc w:val="left"/>
            </w:pPr>
            <w:r>
              <w:rPr>
                <w:rFonts w:ascii="Times New Roman" w:hAnsi="Times New Roman" w:cs="Times New Roman" w:eastAsia="Times New Roman"/>
                <w:sz w:val="22"/>
              </w:rPr>
              <w:t xml:space="preserve">414,0</w:t>
            </w:r>
          </w:p>
        </w:tc>
        <w:tc>
          <w:tcPr/>
          <w:p>
            <w:pPr>
              <w:pStyle w:val="Compact"/>
              <w:spacing w:line="240" w:lineRule="auto"/>
              <w:ind w:firstLine="0"/>
              <w:jc w:val="left"/>
            </w:pPr>
            <w:r>
              <w:rPr>
                <w:rFonts w:ascii="Times New Roman" w:hAnsi="Times New Roman" w:cs="Times New Roman" w:eastAsia="Times New Roman"/>
                <w:sz w:val="22"/>
              </w:rPr>
              <w:t xml:space="preserve">315,7</w:t>
            </w:r>
          </w:p>
        </w:tc>
        <w:tc>
          <w:tcPr/>
          <w:p>
            <w:pPr>
              <w:pStyle w:val="Compact"/>
              <w:spacing w:line="240" w:lineRule="auto"/>
              <w:ind w:firstLine="0"/>
              <w:jc w:val="left"/>
            </w:pPr>
            <w:r>
              <w:rPr>
                <w:rFonts w:ascii="Times New Roman" w:hAnsi="Times New Roman" w:cs="Times New Roman" w:eastAsia="Times New Roman"/>
                <w:sz w:val="22"/>
              </w:rPr>
              <w:t xml:space="preserve">206,5</w:t>
            </w:r>
          </w:p>
        </w:tc>
      </w:tr>
      <w:tr>
        <w:trPr>
          <w:cantSplit/>
        </w:trPr>
        <w:tc>
          <w:tcPr/>
          <w:p>
            <w:pPr>
              <w:pStyle w:val="Compact"/>
              <w:spacing w:line="240" w:lineRule="auto"/>
              <w:ind w:firstLine="0"/>
              <w:jc w:val="left"/>
            </w:pPr>
            <w:r>
              <w:rPr>
                <w:iCs/>
                <w:i/>
                <w:bCs/>
                <w:rFonts w:ascii="Times New Roman" w:hAnsi="Times New Roman" w:cs="Times New Roman" w:eastAsia="Times New Roman"/>
                <w:b/>
                <w:sz w:val="22"/>
              </w:rPr>
              <w:t xml:space="preserve">«Mikrokreditbank» ATB</w:t>
            </w:r>
          </w:p>
        </w:tc>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left"/>
            </w:pP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p>
            <w:pPr>
              <w:pStyle w:val="Compact"/>
              <w:spacing w:line="240" w:lineRule="auto"/>
              <w:ind w:firstLine="0"/>
              <w:jc w:val="left"/>
            </w:pPr>
            <w:r>
              <w:rPr>
                <w:rFonts w:ascii="Times New Roman" w:hAnsi="Times New Roman" w:cs="Times New Roman" w:eastAsia="Times New Roman"/>
                <w:sz w:val="22"/>
              </w:rPr>
              <w:t xml:space="preserve">13,5</w:t>
            </w:r>
          </w:p>
        </w:tc>
        <w:tc>
          <w:tcPr/>
          <w:p>
            <w:pPr>
              <w:pStyle w:val="Compact"/>
              <w:spacing w:line="240" w:lineRule="auto"/>
              <w:ind w:firstLine="0"/>
              <w:jc w:val="left"/>
            </w:pPr>
            <w:r>
              <w:rPr>
                <w:rFonts w:ascii="Times New Roman" w:hAnsi="Times New Roman" w:cs="Times New Roman" w:eastAsia="Times New Roman"/>
                <w:sz w:val="22"/>
              </w:rPr>
              <w:t xml:space="preserve">16,8</w:t>
            </w:r>
          </w:p>
        </w:tc>
        <w:tc>
          <w:tcPr/>
          <w:p>
            <w:pPr>
              <w:pStyle w:val="Compact"/>
              <w:spacing w:line="240" w:lineRule="auto"/>
              <w:ind w:firstLine="0"/>
              <w:jc w:val="left"/>
            </w:pPr>
            <w:r>
              <w:rPr>
                <w:rFonts w:ascii="Times New Roman" w:hAnsi="Times New Roman" w:cs="Times New Roman" w:eastAsia="Times New Roman"/>
                <w:sz w:val="22"/>
              </w:rPr>
              <w:t xml:space="preserve">19,1</w:t>
            </w:r>
          </w:p>
        </w:tc>
        <w:tc>
          <w:tcPr/>
          <w:p>
            <w:pPr>
              <w:pStyle w:val="Compact"/>
              <w:spacing w:line="240" w:lineRule="auto"/>
              <w:ind w:firstLine="0"/>
              <w:jc w:val="left"/>
            </w:pPr>
            <w:r>
              <w:rPr>
                <w:rFonts w:ascii="Times New Roman" w:hAnsi="Times New Roman" w:cs="Times New Roman" w:eastAsia="Times New Roman"/>
                <w:sz w:val="22"/>
              </w:rPr>
              <w:t xml:space="preserve">23,5</w:t>
            </w:r>
          </w:p>
        </w:tc>
        <w:tc>
          <w:tcPr/>
          <w:p>
            <w:pPr>
              <w:pStyle w:val="Compact"/>
              <w:spacing w:line="240" w:lineRule="auto"/>
              <w:ind w:firstLine="0"/>
              <w:jc w:val="left"/>
            </w:pPr>
            <w:r>
              <w:rPr>
                <w:rFonts w:ascii="Times New Roman" w:hAnsi="Times New Roman" w:cs="Times New Roman" w:eastAsia="Times New Roman"/>
                <w:sz w:val="22"/>
              </w:rPr>
              <w:t xml:space="preserve">30,7</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p>
            <w:pPr>
              <w:pStyle w:val="Compact"/>
              <w:spacing w:line="240" w:lineRule="auto"/>
              <w:ind w:firstLine="0"/>
              <w:jc w:val="left"/>
            </w:pPr>
            <w:r>
              <w:rPr>
                <w:rFonts w:ascii="Times New Roman" w:hAnsi="Times New Roman" w:cs="Times New Roman" w:eastAsia="Times New Roman"/>
                <w:sz w:val="22"/>
              </w:rPr>
              <w:t xml:space="preserve">13,8</w:t>
            </w:r>
          </w:p>
        </w:tc>
        <w:tc>
          <w:tcPr/>
          <w:p>
            <w:pPr>
              <w:pStyle w:val="Compact"/>
              <w:spacing w:line="240" w:lineRule="auto"/>
              <w:ind w:firstLine="0"/>
              <w:jc w:val="left"/>
            </w:pPr>
            <w:r>
              <w:rPr>
                <w:rFonts w:ascii="Times New Roman" w:hAnsi="Times New Roman" w:cs="Times New Roman" w:eastAsia="Times New Roman"/>
                <w:sz w:val="22"/>
              </w:rPr>
              <w:t xml:space="preserve">20,7</w:t>
            </w:r>
          </w:p>
        </w:tc>
        <w:tc>
          <w:tcPr/>
          <w:p>
            <w:pPr>
              <w:pStyle w:val="Compact"/>
              <w:spacing w:line="240" w:lineRule="auto"/>
              <w:ind w:firstLine="0"/>
              <w:jc w:val="left"/>
            </w:pPr>
            <w:r>
              <w:rPr>
                <w:rFonts w:ascii="Times New Roman" w:hAnsi="Times New Roman" w:cs="Times New Roman" w:eastAsia="Times New Roman"/>
                <w:sz w:val="22"/>
              </w:rPr>
              <w:t xml:space="preserve">18,6</w:t>
            </w:r>
          </w:p>
        </w:tc>
        <w:tc>
          <w:tcPr/>
          <w:p>
            <w:pPr>
              <w:pStyle w:val="Compact"/>
              <w:spacing w:line="240" w:lineRule="auto"/>
              <w:ind w:firstLine="0"/>
              <w:jc w:val="left"/>
            </w:pPr>
            <w:r>
              <w:rPr>
                <w:rFonts w:ascii="Times New Roman" w:hAnsi="Times New Roman" w:cs="Times New Roman" w:eastAsia="Times New Roman"/>
                <w:sz w:val="22"/>
              </w:rPr>
              <w:t xml:space="preserve">15,4</w:t>
            </w:r>
          </w:p>
        </w:tc>
        <w:tc>
          <w:tcPr/>
          <w:p>
            <w:pPr>
              <w:pStyle w:val="Compact"/>
              <w:spacing w:line="240" w:lineRule="auto"/>
              <w:ind w:firstLine="0"/>
              <w:jc w:val="left"/>
            </w:pPr>
            <w:r>
              <w:rPr>
                <w:rFonts w:ascii="Times New Roman" w:hAnsi="Times New Roman" w:cs="Times New Roman" w:eastAsia="Times New Roman"/>
                <w:sz w:val="22"/>
              </w:rPr>
              <w:t xml:space="preserve">18,5</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p>
            <w:pPr>
              <w:pStyle w:val="Compact"/>
              <w:spacing w:line="240" w:lineRule="auto"/>
              <w:ind w:firstLine="0"/>
              <w:jc w:val="left"/>
            </w:pPr>
            <w:r>
              <w:rPr>
                <w:rFonts w:ascii="Times New Roman" w:hAnsi="Times New Roman" w:cs="Times New Roman" w:eastAsia="Times New Roman"/>
                <w:sz w:val="22"/>
              </w:rPr>
              <w:t xml:space="preserve">13,2</w:t>
            </w:r>
          </w:p>
        </w:tc>
        <w:tc>
          <w:tcPr/>
          <w:p>
            <w:pPr>
              <w:pStyle w:val="Compact"/>
              <w:spacing w:line="240" w:lineRule="auto"/>
              <w:ind w:firstLine="0"/>
              <w:jc w:val="left"/>
            </w:pPr>
            <w:r>
              <w:rPr>
                <w:rFonts w:ascii="Times New Roman" w:hAnsi="Times New Roman" w:cs="Times New Roman" w:eastAsia="Times New Roman"/>
                <w:sz w:val="22"/>
              </w:rPr>
              <w:t xml:space="preserve">20,0</w:t>
            </w:r>
          </w:p>
        </w:tc>
        <w:tc>
          <w:tcPr/>
          <w:p>
            <w:pPr>
              <w:pStyle w:val="Compact"/>
              <w:spacing w:line="240" w:lineRule="auto"/>
              <w:ind w:firstLine="0"/>
              <w:jc w:val="left"/>
            </w:pPr>
            <w:r>
              <w:rPr>
                <w:rFonts w:ascii="Times New Roman" w:hAnsi="Times New Roman" w:cs="Times New Roman" w:eastAsia="Times New Roman"/>
                <w:sz w:val="22"/>
              </w:rPr>
              <w:t xml:space="preserve">17,6</w:t>
            </w:r>
          </w:p>
        </w:tc>
        <w:tc>
          <w:tcPr/>
          <w:p>
            <w:pPr>
              <w:pStyle w:val="Compact"/>
              <w:spacing w:line="240" w:lineRule="auto"/>
              <w:ind w:firstLine="0"/>
              <w:jc w:val="left"/>
            </w:pPr>
            <w:r>
              <w:rPr>
                <w:rFonts w:ascii="Times New Roman" w:hAnsi="Times New Roman" w:cs="Times New Roman" w:eastAsia="Times New Roman"/>
                <w:sz w:val="22"/>
              </w:rPr>
              <w:t xml:space="preserve">13,0</w:t>
            </w:r>
          </w:p>
        </w:tc>
        <w:tc>
          <w:tcPr/>
          <w:p>
            <w:pPr>
              <w:pStyle w:val="Compact"/>
              <w:spacing w:line="240" w:lineRule="auto"/>
              <w:ind w:firstLine="0"/>
              <w:jc w:val="left"/>
            </w:pPr>
            <w:r>
              <w:rPr>
                <w:rFonts w:ascii="Times New Roman" w:hAnsi="Times New Roman" w:cs="Times New Roman" w:eastAsia="Times New Roman"/>
                <w:sz w:val="22"/>
              </w:rPr>
              <w:t xml:space="preserve">16,4</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p>
            <w:pPr>
              <w:pStyle w:val="Compact"/>
              <w:spacing w:line="240" w:lineRule="auto"/>
              <w:ind w:firstLine="0"/>
              <w:jc w:val="left"/>
            </w:pPr>
            <w:r>
              <w:rPr>
                <w:rFonts w:ascii="Times New Roman" w:hAnsi="Times New Roman" w:cs="Times New Roman" w:eastAsia="Times New Roman"/>
                <w:sz w:val="22"/>
              </w:rPr>
              <w:t xml:space="preserve">5,9</w:t>
            </w:r>
          </w:p>
        </w:tc>
        <w:tc>
          <w:tcPr/>
          <w:p>
            <w:pPr>
              <w:pStyle w:val="Compact"/>
              <w:spacing w:line="240" w:lineRule="auto"/>
              <w:ind w:firstLine="0"/>
              <w:jc w:val="left"/>
            </w:pPr>
            <w:r>
              <w:rPr>
                <w:rFonts w:ascii="Times New Roman" w:hAnsi="Times New Roman" w:cs="Times New Roman" w:eastAsia="Times New Roman"/>
                <w:sz w:val="22"/>
              </w:rPr>
              <w:t xml:space="preserve">4,8</w:t>
            </w:r>
          </w:p>
        </w:tc>
        <w:tc>
          <w:tcPr/>
          <w:p>
            <w:pPr>
              <w:pStyle w:val="Compact"/>
              <w:spacing w:line="240" w:lineRule="auto"/>
              <w:ind w:firstLine="0"/>
              <w:jc w:val="left"/>
            </w:pPr>
            <w:r>
              <w:rPr>
                <w:rFonts w:ascii="Times New Roman" w:hAnsi="Times New Roman" w:cs="Times New Roman" w:eastAsia="Times New Roman"/>
                <w:sz w:val="22"/>
              </w:rPr>
              <w:t xml:space="preserve">6,0</w:t>
            </w:r>
          </w:p>
        </w:tc>
        <w:tc>
          <w:tcPr/>
          <w:p>
            <w:pPr>
              <w:pStyle w:val="Compact"/>
              <w:spacing w:line="240" w:lineRule="auto"/>
              <w:ind w:firstLine="0"/>
              <w:jc w:val="left"/>
            </w:pPr>
            <w:r>
              <w:rPr>
                <w:rFonts w:ascii="Times New Roman" w:hAnsi="Times New Roman" w:cs="Times New Roman" w:eastAsia="Times New Roman"/>
                <w:sz w:val="22"/>
              </w:rPr>
              <w:t xml:space="preserve">4,6</w:t>
            </w:r>
          </w:p>
        </w:tc>
        <w:tc>
          <w:tcPr/>
          <w:p>
            <w:pPr>
              <w:pStyle w:val="Compact"/>
              <w:spacing w:line="240" w:lineRule="auto"/>
              <w:ind w:firstLine="0"/>
              <w:jc w:val="left"/>
            </w:pPr>
            <w:r>
              <w:rPr>
                <w:rFonts w:ascii="Times New Roman" w:hAnsi="Times New Roman" w:cs="Times New Roman" w:eastAsia="Times New Roman"/>
                <w:sz w:val="22"/>
              </w:rPr>
              <w:t xml:space="preserve">4,4</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p>
            <w:pPr>
              <w:pStyle w:val="Compact"/>
              <w:spacing w:line="240" w:lineRule="auto"/>
              <w:ind w:firstLine="0"/>
              <w:jc w:val="left"/>
            </w:pPr>
            <w:r>
              <w:rPr>
                <w:rFonts w:ascii="Times New Roman" w:hAnsi="Times New Roman" w:cs="Times New Roman" w:eastAsia="Times New Roman"/>
                <w:sz w:val="22"/>
              </w:rPr>
              <w:t xml:space="preserve">9,1</w:t>
            </w:r>
          </w:p>
        </w:tc>
        <w:tc>
          <w:tcPr/>
          <w:p>
            <w:pPr>
              <w:pStyle w:val="Compact"/>
              <w:spacing w:line="240" w:lineRule="auto"/>
              <w:ind w:firstLine="0"/>
              <w:jc w:val="left"/>
            </w:pPr>
            <w:r>
              <w:rPr>
                <w:rFonts w:ascii="Times New Roman" w:hAnsi="Times New Roman" w:cs="Times New Roman" w:eastAsia="Times New Roman"/>
                <w:sz w:val="22"/>
              </w:rPr>
              <w:t xml:space="preserve">19,3</w:t>
            </w:r>
          </w:p>
        </w:tc>
        <w:tc>
          <w:tcPr/>
          <w:p>
            <w:pPr>
              <w:pStyle w:val="Compact"/>
              <w:spacing w:line="240" w:lineRule="auto"/>
              <w:ind w:firstLine="0"/>
              <w:jc w:val="left"/>
            </w:pPr>
            <w:r>
              <w:rPr>
                <w:rFonts w:ascii="Times New Roman" w:hAnsi="Times New Roman" w:cs="Times New Roman" w:eastAsia="Times New Roman"/>
                <w:sz w:val="22"/>
              </w:rPr>
              <w:t xml:space="preserve">24,5</w:t>
            </w:r>
          </w:p>
        </w:tc>
        <w:tc>
          <w:tcPr/>
          <w:p>
            <w:pPr>
              <w:pStyle w:val="Compact"/>
              <w:spacing w:line="240" w:lineRule="auto"/>
              <w:ind w:firstLine="0"/>
              <w:jc w:val="left"/>
            </w:pPr>
            <w:r>
              <w:rPr>
                <w:rFonts w:ascii="Times New Roman" w:hAnsi="Times New Roman" w:cs="Times New Roman" w:eastAsia="Times New Roman"/>
                <w:sz w:val="22"/>
              </w:rPr>
              <w:t xml:space="preserve">21,3</w:t>
            </w:r>
          </w:p>
        </w:tc>
        <w:tc>
          <w:tcPr/>
          <w:p>
            <w:pPr>
              <w:pStyle w:val="Compact"/>
              <w:spacing w:line="240" w:lineRule="auto"/>
              <w:ind w:firstLine="0"/>
              <w:jc w:val="left"/>
            </w:pPr>
            <w:r>
              <w:rPr>
                <w:rFonts w:ascii="Times New Roman" w:hAnsi="Times New Roman" w:cs="Times New Roman" w:eastAsia="Times New Roman"/>
                <w:sz w:val="22"/>
              </w:rPr>
              <w:t xml:space="preserve">9,0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ROA, %</w:t>
            </w:r>
          </w:p>
        </w:tc>
        <w:tc>
          <w:tcPr/>
          <w:p>
            <w:pPr>
              <w:pStyle w:val="Compact"/>
              <w:spacing w:line="240" w:lineRule="auto"/>
              <w:ind w:firstLine="0"/>
              <w:jc w:val="left"/>
            </w:pPr>
            <w:r>
              <w:rPr>
                <w:rFonts w:ascii="Times New Roman" w:hAnsi="Times New Roman" w:cs="Times New Roman" w:eastAsia="Times New Roman"/>
                <w:sz w:val="22"/>
              </w:rPr>
              <w:t xml:space="preserve">0,4</w:t>
            </w:r>
          </w:p>
        </w:tc>
        <w:tc>
          <w:tcPr/>
          <w:p>
            <w:pPr>
              <w:pStyle w:val="Compact"/>
              <w:spacing w:line="240" w:lineRule="auto"/>
              <w:ind w:firstLine="0"/>
              <w:jc w:val="left"/>
            </w:pPr>
            <w:r>
              <w:rPr>
                <w:rFonts w:ascii="Times New Roman" w:hAnsi="Times New Roman" w:cs="Times New Roman" w:eastAsia="Times New Roman"/>
                <w:sz w:val="22"/>
              </w:rPr>
              <w:t xml:space="preserve">0,1</w:t>
            </w:r>
          </w:p>
        </w:tc>
        <w:tc>
          <w:tcPr/>
          <w:p>
            <w:pPr>
              <w:pStyle w:val="Compact"/>
              <w:spacing w:line="240" w:lineRule="auto"/>
              <w:ind w:firstLine="0"/>
              <w:jc w:val="left"/>
            </w:pPr>
            <w:r>
              <w:rPr>
                <w:rFonts w:ascii="Times New Roman" w:hAnsi="Times New Roman" w:cs="Times New Roman" w:eastAsia="Times New Roman"/>
                <w:sz w:val="22"/>
              </w:rPr>
              <w:t xml:space="preserve">0,2</w:t>
            </w:r>
          </w:p>
        </w:tc>
        <w:tc>
          <w:tcPr/>
          <w:p>
            <w:pPr>
              <w:pStyle w:val="Compact"/>
              <w:spacing w:line="240" w:lineRule="auto"/>
              <w:ind w:firstLine="0"/>
              <w:jc w:val="left"/>
            </w:pPr>
            <w:r>
              <w:rPr>
                <w:rFonts w:ascii="Times New Roman" w:hAnsi="Times New Roman" w:cs="Times New Roman" w:eastAsia="Times New Roman"/>
                <w:sz w:val="22"/>
              </w:rPr>
              <w:t xml:space="preserve">−8,0</w:t>
            </w:r>
          </w:p>
        </w:tc>
        <w:tc>
          <w:tcPr/>
          <w:p>
            <w:pPr>
              <w:pStyle w:val="Compact"/>
              <w:spacing w:line="240" w:lineRule="auto"/>
              <w:ind w:firstLine="0"/>
              <w:jc w:val="left"/>
            </w:pPr>
            <w:r>
              <w:rPr>
                <w:rFonts w:ascii="Times New Roman" w:hAnsi="Times New Roman" w:cs="Times New Roman" w:eastAsia="Times New Roman"/>
                <w:sz w:val="22"/>
              </w:rPr>
              <w:t xml:space="preserve">0,6</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ROE, %</w:t>
            </w:r>
          </w:p>
        </w:tc>
        <w:tc>
          <w:tcPr/>
          <w:p>
            <w:pPr>
              <w:pStyle w:val="Compact"/>
              <w:spacing w:line="240" w:lineRule="auto"/>
              <w:ind w:firstLine="0"/>
              <w:jc w:val="left"/>
            </w:pPr>
            <w:r>
              <w:rPr>
                <w:rFonts w:ascii="Times New Roman" w:hAnsi="Times New Roman" w:cs="Times New Roman" w:eastAsia="Times New Roman"/>
                <w:sz w:val="22"/>
              </w:rPr>
              <w:t xml:space="preserve">2,2</w:t>
            </w:r>
          </w:p>
        </w:tc>
        <w:tc>
          <w:tcPr/>
          <w:p>
            <w:pPr>
              <w:pStyle w:val="Compact"/>
              <w:spacing w:line="240" w:lineRule="auto"/>
              <w:ind w:firstLine="0"/>
              <w:jc w:val="left"/>
            </w:pPr>
            <w:r>
              <w:rPr>
                <w:rFonts w:ascii="Times New Roman" w:hAnsi="Times New Roman" w:cs="Times New Roman" w:eastAsia="Times New Roman"/>
                <w:sz w:val="22"/>
              </w:rPr>
              <w:t xml:space="preserve">0,7</w:t>
            </w:r>
          </w:p>
        </w:tc>
        <w:tc>
          <w:tcPr/>
          <w:p>
            <w:pPr>
              <w:pStyle w:val="Compact"/>
              <w:spacing w:line="240" w:lineRule="auto"/>
              <w:ind w:firstLine="0"/>
              <w:jc w:val="left"/>
            </w:pPr>
            <w:r>
              <w:rPr>
                <w:rFonts w:ascii="Times New Roman" w:hAnsi="Times New Roman" w:cs="Times New Roman" w:eastAsia="Times New Roman"/>
                <w:sz w:val="22"/>
              </w:rPr>
              <w:t xml:space="preserve">1,1</w:t>
            </w:r>
          </w:p>
        </w:tc>
        <w:tc>
          <w:tcPr/>
          <w:p>
            <w:pPr>
              <w:pStyle w:val="Compact"/>
              <w:spacing w:line="240" w:lineRule="auto"/>
              <w:ind w:firstLine="0"/>
              <w:jc w:val="left"/>
            </w:pPr>
            <w:r>
              <w:rPr>
                <w:rFonts w:ascii="Times New Roman" w:hAnsi="Times New Roman" w:cs="Times New Roman" w:eastAsia="Times New Roman"/>
                <w:sz w:val="22"/>
              </w:rPr>
              <w:t xml:space="preserve">−45,5</w:t>
            </w:r>
          </w:p>
        </w:tc>
        <w:tc>
          <w:tcPr/>
          <w:p>
            <w:pPr>
              <w:pStyle w:val="Compact"/>
              <w:spacing w:line="240" w:lineRule="auto"/>
              <w:ind w:firstLine="0"/>
              <w:jc w:val="left"/>
            </w:pPr>
            <w:r>
              <w:rPr>
                <w:rFonts w:ascii="Times New Roman" w:hAnsi="Times New Roman" w:cs="Times New Roman" w:eastAsia="Times New Roman"/>
                <w:sz w:val="22"/>
              </w:rPr>
              <w:t xml:space="preserve">3,5</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LCR, %</w:t>
            </w:r>
          </w:p>
        </w:tc>
        <w:tc>
          <w:tcPr/>
          <w:p>
            <w:pPr>
              <w:pStyle w:val="Compact"/>
              <w:spacing w:line="240" w:lineRule="auto"/>
              <w:ind w:firstLine="0"/>
              <w:jc w:val="left"/>
            </w:pPr>
            <w:r>
              <w:rPr>
                <w:rFonts w:ascii="Times New Roman" w:hAnsi="Times New Roman" w:cs="Times New Roman" w:eastAsia="Times New Roman"/>
                <w:sz w:val="22"/>
              </w:rPr>
              <w:t xml:space="preserve">165,2</w:t>
            </w:r>
          </w:p>
        </w:tc>
        <w:tc>
          <w:tcPr/>
          <w:p>
            <w:pPr>
              <w:pStyle w:val="Compact"/>
              <w:spacing w:line="240" w:lineRule="auto"/>
              <w:ind w:firstLine="0"/>
              <w:jc w:val="left"/>
            </w:pPr>
            <w:r>
              <w:rPr>
                <w:rFonts w:ascii="Times New Roman" w:hAnsi="Times New Roman" w:cs="Times New Roman" w:eastAsia="Times New Roman"/>
                <w:sz w:val="22"/>
              </w:rPr>
              <w:t xml:space="preserve">156,4</w:t>
            </w:r>
          </w:p>
        </w:tc>
        <w:tc>
          <w:tcPr/>
          <w:p>
            <w:pPr>
              <w:pStyle w:val="Compact"/>
              <w:spacing w:line="240" w:lineRule="auto"/>
              <w:ind w:firstLine="0"/>
              <w:jc w:val="left"/>
            </w:pPr>
            <w:r>
              <w:rPr>
                <w:rFonts w:ascii="Times New Roman" w:hAnsi="Times New Roman" w:cs="Times New Roman" w:eastAsia="Times New Roman"/>
                <w:sz w:val="22"/>
              </w:rPr>
              <w:t xml:space="preserve">131,7</w:t>
            </w:r>
          </w:p>
        </w:tc>
        <w:tc>
          <w:tcPr/>
          <w:p>
            <w:pPr>
              <w:pStyle w:val="Compact"/>
              <w:spacing w:line="240" w:lineRule="auto"/>
              <w:ind w:firstLine="0"/>
              <w:jc w:val="left"/>
            </w:pPr>
            <w:r>
              <w:rPr>
                <w:rFonts w:ascii="Times New Roman" w:hAnsi="Times New Roman" w:cs="Times New Roman" w:eastAsia="Times New Roman"/>
                <w:sz w:val="22"/>
              </w:rPr>
              <w:t xml:space="preserve">169,0</w:t>
            </w:r>
          </w:p>
        </w:tc>
        <w:tc>
          <w:tcPr/>
          <w:p>
            <w:pPr>
              <w:pStyle w:val="Compact"/>
              <w:spacing w:line="240" w:lineRule="auto"/>
              <w:ind w:firstLine="0"/>
              <w:jc w:val="left"/>
            </w:pPr>
            <w:r>
              <w:rPr>
                <w:rFonts w:ascii="Times New Roman" w:hAnsi="Times New Roman" w:cs="Times New Roman" w:eastAsia="Times New Roman"/>
                <w:sz w:val="22"/>
              </w:rPr>
              <w:t xml:space="preserve">231,9</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NSFR, %</w:t>
            </w:r>
          </w:p>
        </w:tc>
        <w:tc>
          <w:tcPr/>
          <w:p>
            <w:pPr>
              <w:pStyle w:val="Compact"/>
              <w:spacing w:line="240" w:lineRule="auto"/>
              <w:ind w:firstLine="0"/>
              <w:jc w:val="left"/>
            </w:pPr>
            <w:r>
              <w:rPr>
                <w:rFonts w:ascii="Times New Roman" w:hAnsi="Times New Roman" w:cs="Times New Roman" w:eastAsia="Times New Roman"/>
                <w:sz w:val="22"/>
              </w:rPr>
              <w:t xml:space="preserve">117,1</w:t>
            </w:r>
          </w:p>
        </w:tc>
        <w:tc>
          <w:tcPr/>
          <w:p>
            <w:pPr>
              <w:pStyle w:val="Compact"/>
              <w:spacing w:line="240" w:lineRule="auto"/>
              <w:ind w:firstLine="0"/>
              <w:jc w:val="left"/>
            </w:pPr>
            <w:r>
              <w:rPr>
                <w:rFonts w:ascii="Times New Roman" w:hAnsi="Times New Roman" w:cs="Times New Roman" w:eastAsia="Times New Roman"/>
                <w:sz w:val="22"/>
              </w:rPr>
              <w:t xml:space="preserve">114,3</w:t>
            </w:r>
          </w:p>
        </w:tc>
        <w:tc>
          <w:tcPr/>
          <w:p>
            <w:pPr>
              <w:pStyle w:val="Compact"/>
              <w:spacing w:line="240" w:lineRule="auto"/>
              <w:ind w:firstLine="0"/>
              <w:jc w:val="left"/>
            </w:pPr>
            <w:r>
              <w:rPr>
                <w:rFonts w:ascii="Times New Roman" w:hAnsi="Times New Roman" w:cs="Times New Roman" w:eastAsia="Times New Roman"/>
                <w:sz w:val="22"/>
              </w:rPr>
              <w:t xml:space="preserve">108,3</w:t>
            </w:r>
          </w:p>
        </w:tc>
        <w:tc>
          <w:tcPr/>
          <w:p>
            <w:pPr>
              <w:pStyle w:val="Compact"/>
              <w:spacing w:line="240" w:lineRule="auto"/>
              <w:ind w:firstLine="0"/>
              <w:jc w:val="left"/>
            </w:pPr>
            <w:r>
              <w:rPr>
                <w:rFonts w:ascii="Times New Roman" w:hAnsi="Times New Roman" w:cs="Times New Roman" w:eastAsia="Times New Roman"/>
                <w:sz w:val="22"/>
              </w:rPr>
              <w:t xml:space="preserve">113,1</w:t>
            </w:r>
          </w:p>
        </w:tc>
        <w:tc>
          <w:tcPr/>
          <w:p>
            <w:pPr>
              <w:pStyle w:val="Compact"/>
              <w:spacing w:line="240" w:lineRule="auto"/>
              <w:ind w:firstLine="0"/>
              <w:jc w:val="left"/>
            </w:pPr>
            <w:r>
              <w:rPr>
                <w:rFonts w:ascii="Times New Roman" w:hAnsi="Times New Roman" w:cs="Times New Roman" w:eastAsia="Times New Roman"/>
                <w:sz w:val="22"/>
              </w:rPr>
              <w:t xml:space="preserve">113,0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p>
            <w:pPr>
              <w:pStyle w:val="Compact"/>
              <w:spacing w:line="240" w:lineRule="auto"/>
              <w:ind w:firstLine="0"/>
              <w:jc w:val="left"/>
            </w:pPr>
            <w:r>
              <w:rPr>
                <w:rFonts w:ascii="Times New Roman" w:hAnsi="Times New Roman" w:cs="Times New Roman" w:eastAsia="Times New Roman"/>
                <w:sz w:val="22"/>
              </w:rPr>
              <w:t xml:space="preserve">343,0</w:t>
            </w:r>
          </w:p>
        </w:tc>
        <w:tc>
          <w:tcPr/>
          <w:p>
            <w:pPr>
              <w:pStyle w:val="Compact"/>
              <w:spacing w:line="240" w:lineRule="auto"/>
              <w:ind w:firstLine="0"/>
              <w:jc w:val="left"/>
            </w:pPr>
            <w:r>
              <w:rPr>
                <w:rFonts w:ascii="Times New Roman" w:hAnsi="Times New Roman" w:cs="Times New Roman" w:eastAsia="Times New Roman"/>
                <w:sz w:val="22"/>
              </w:rPr>
              <w:t xml:space="preserve">246,2</w:t>
            </w:r>
          </w:p>
        </w:tc>
        <w:tc>
          <w:tcPr/>
          <w:p>
            <w:pPr>
              <w:pStyle w:val="Compact"/>
              <w:spacing w:line="240" w:lineRule="auto"/>
              <w:ind w:firstLine="0"/>
              <w:jc w:val="left"/>
            </w:pPr>
            <w:r>
              <w:rPr>
                <w:rFonts w:ascii="Times New Roman" w:hAnsi="Times New Roman" w:cs="Times New Roman" w:eastAsia="Times New Roman"/>
                <w:sz w:val="22"/>
              </w:rPr>
              <w:t xml:space="preserve">227,0</w:t>
            </w:r>
          </w:p>
        </w:tc>
        <w:tc>
          <w:tcPr/>
          <w:p>
            <w:pPr>
              <w:pStyle w:val="Compact"/>
              <w:spacing w:line="240" w:lineRule="auto"/>
              <w:ind w:firstLine="0"/>
              <w:jc w:val="left"/>
            </w:pPr>
            <w:r>
              <w:rPr>
                <w:rFonts w:ascii="Times New Roman" w:hAnsi="Times New Roman" w:cs="Times New Roman" w:eastAsia="Times New Roman"/>
                <w:sz w:val="22"/>
              </w:rPr>
              <w:t xml:space="preserve">222,4</w:t>
            </w:r>
          </w:p>
        </w:tc>
        <w:tc>
          <w:tcPr/>
          <w:p>
            <w:pPr>
              <w:pStyle w:val="Compact"/>
              <w:spacing w:line="240" w:lineRule="auto"/>
              <w:ind w:firstLine="0"/>
              <w:jc w:val="left"/>
            </w:pPr>
            <w:r>
              <w:rPr>
                <w:rFonts w:ascii="Times New Roman" w:hAnsi="Times New Roman" w:cs="Times New Roman" w:eastAsia="Times New Roman"/>
                <w:sz w:val="22"/>
              </w:rPr>
              <w:t xml:space="preserve">208,5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muammoli kreditlar – qoniqarsiz, shubhali va umidsiz deb tasniflangan kreditlar; ROA va ROE sof foydaning aktivlar va kapitalning o‘rtacha yillik qiymatiga nisbati sifatida hisoblandi (2021-yil uchun yil oxiri qiymati olindi).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pPr>
        <w:pStyle w:val="BodyText"/>
        <w:keepNext/>
        <w:spacing w:line="240" w:lineRule="auto" w:before="0" w:after="0"/>
        <w:ind w:firstLine="0"/>
        <w:jc w:val="center"/>
      </w:pPr>
      <w:r xmlns:c="http://schemas.openxmlformats.org/drawingml/2006/chart">
        <w:rPr>
          <w:noProof/>
        </w:rPr>
        <w:drawing>
          <wp:inline distT="0" distB="0" distL="0" distR="0">
            <wp:extent cx="5580000" cy="2700000"/>
            <wp:effectExtent l="0" t="0" r="0" b="0"/>
            <wp:docPr id="1005" name="2.2.5-rasm"/>
            <wp:cNvGraphicFramePr/>
            <a:graphic>
              <a:graphicData uri="http://schemas.openxmlformats.org/drawingml/2006/chart">
                <c:chart r:id="rId1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2.2.5-rasm. «O‘zsanoatqurilishbank» ATB va «Mikrokreditbank» ATB da regulyativ kapital monandligi, %</w:t>
      </w:r>
      <w:r>
        <w:rPr>
          <w:rStyle w:val="FootnoteReference"/>
        </w:rPr>
        <w:footnoteReference w:id="57"/>
      </w:r>
    </w:p>
    <w:p>
      <w:pPr>
        <w:pStyle w:val="BodyText"/>
        <w:spacing w:line="360" w:lineRule="auto" w:before="0" w:after="0"/>
        <w:ind w:firstLine="709"/>
        <w:jc w:val="both"/>
      </w:pPr>
      <w:r>
        <w:rPr>
          <w:rFonts w:ascii="Times New Roman" w:hAnsi="Times New Roman" w:cs="Times New Roman" w:eastAsia="Times New Roman"/>
          <w:sz w:val="28"/>
        </w:rPr>
        <w:t xml:space="preserve">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FootnoteReference"/>
        </w:rPr>
        <w:footnoteReference w:id="58"/>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bo‘yicha ham ikki bank turlicha manzarani namoyon etadi (2.2.6-rasm).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6" name="2.2.6-rasm"/>
            <wp:cNvGraphicFramePr/>
            <a:graphic>
              <a:graphicData uri="http://schemas.openxmlformats.org/drawingml/2006/chart">
                <c:chart r:id="rId1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2.2.6-rasm. «O‘zsanoatqurilishbank» ATB va «Mikrokreditbank» ATB da muammoli va substandart kreditlar ulushi, %</w:t>
      </w:r>
      <w:r>
        <w:rPr>
          <w:rStyle w:val="FootnoteReference"/>
        </w:rPr>
        <w:footnoteReference w:id="59"/>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FootnoteReference"/>
        </w:rPr>
        <w:footnoteReference w:id="60"/>
      </w:r>
      <w:r>
        <w:rPr>
          <w:rFonts w:ascii="Times New Roman" w:hAnsi="Times New Roman" w:cs="Times New Roman" w:eastAsia="Times New Roman"/>
          <w:sz w:val="28"/>
        </w:rPr>
        <w:t xml:space="preserve">. «Mikrokreditbank» ATB da esa rasmiy muammoli kreditlar ulushining o‘zi 4,4–6,0 foiz bo‘lib, 2021 va 2023-yillarda 5 foizlik erta ogohlantirish chegarasidan oshgan, substandart kreditlar ulushi esa 2023-yilda 24,5 foizga yetgan.</w:t>
      </w:r>
    </w:p>
    <w:p>
      <w:pPr>
        <w:pStyle w:val="BodyText"/>
        <w:spacing w:line="360" w:lineRule="auto" w:before="0" w:after="0"/>
        <w:ind w:firstLine="709"/>
        <w:jc w:val="both"/>
      </w:pPr>
      <w:r>
        <w:rPr>
          <w:rFonts w:ascii="Times New Roman" w:hAnsi="Times New Roman" w:cs="Times New Roman" w:eastAsia="Times New Roman"/>
          <w:sz w:val="28"/>
        </w:rPr>
        <w:t xml:space="preserve">Aktivlar sifatidagi bu muammolar «Mikrokreditbank» ATB ning daromadliligiga keskin ta’sir ko‘rsatdi (2.2.7-rasm).</w:t>
      </w:r>
    </w:p>
    <w:p>
      <w:pPr>
        <w:pStyle w:val="BodyText"/>
        <w:keepNext/>
        <w:spacing w:line="240" w:lineRule="auto" w:before="0" w:after="0"/>
        <w:ind w:firstLine="0"/>
        <w:jc w:val="center"/>
      </w:pPr>
      <w:r xmlns:c="http://schemas.openxmlformats.org/drawingml/2006/chart">
        <w:rPr>
          <w:noProof/>
        </w:rPr>
        <w:drawing>
          <wp:inline distT="0" distB="0" distL="0" distR="0">
            <wp:extent cx="5580000" cy="2700000"/>
            <wp:effectExtent l="0" t="0" r="0" b="0"/>
            <wp:docPr id="1007" name="2.2.7-rasm"/>
            <wp:cNvGraphicFramePr/>
            <a:graphic>
              <a:graphicData uri="http://schemas.openxmlformats.org/drawingml/2006/chart">
                <c:chart r:id="rId1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2.2.7-rasm. «O‘zsanoatqurilishbank» ATB va «Mikrokreditbank» ATB da kapital rentabelligi (ROE), %</w:t>
      </w:r>
      <w:r>
        <w:rPr>
          <w:rStyle w:val="FootnoteReference"/>
        </w:rPr>
        <w:footnoteReference w:id="61"/>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«O‘zsanoatqurilishbank» ATB ning kapital rentabelligi 2022-yildagi pasayishdan keyin tiklanib, 2025-yilda 17,2 foizga yetgan, ya’ni tizim o‘rtacha darajasidan yuqori. «Mikrokreditbank» ATB da esa ROE 2021–2023-yillarda 0,7–2,2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FootnoteReference"/>
        </w:rPr>
        <w:footnoteReference w:id="62"/>
      </w:r>
      <w:r>
        <w:rPr>
          <w:rFonts w:ascii="Times New Roman" w:hAnsi="Times New Roman" w:cs="Times New Roman" w:eastAsia="Times New Roman"/>
          <w:sz w:val="28"/>
        </w:rPr>
        <w:t xml:space="preserve">. Boshqacha aytganda, ilgari kamsitib ko‘rsatilgan kredit riski 2024-yilda bir yo‘la tan olingan va kapitalni yemirgan, keyin esa yana davlat kapitali hisobiga to‘ldirilgan.</w:t>
      </w:r>
    </w:p>
    <w:p>
      <w:pPr>
        <w:pStyle w:val="BodyText"/>
        <w:spacing w:line="360" w:lineRule="auto" w:before="0" w:after="0"/>
        <w:ind w:firstLine="709"/>
        <w:jc w:val="both"/>
      </w:pPr>
      <w:r>
        <w:rPr>
          <w:rFonts w:ascii="Times New Roman" w:hAnsi="Times New Roman" w:cs="Times New Roman" w:eastAsia="Times New Roman"/>
          <w:sz w:val="28"/>
        </w:rPr>
        <w:t xml:space="preserve">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FootnoteReference"/>
        </w:rPr>
        <w:footnoteReference w:id="63"/>
      </w:r>
      <w:r>
        <w:rPr>
          <w:rFonts w:ascii="Times New Roman" w:hAnsi="Times New Roman" w:cs="Times New Roman" w:eastAsia="Times New Roman"/>
          <w:sz w:val="28"/>
        </w:rPr>
        <w:t xml:space="preserve">. Bunday tuzilma tashqi moliyalashtirish sharoiti yomonlashganda likvidlik va valyuta riskini oshiradi.</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natijalarini umumlashtirish uchun bank tizimi va ikki bankning so‘nggi ko‘rsatkichlari xalqaro mezonlar bilan solishtirildi (2.2.3-jadval).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 tizimi va tanlangan banklarning moliyaviy barqarorlik ko‘rsatkichlari: xalqaro mezonlar bo‘yicha baho, 2025-yil</w:t>
      </w:r>
      <w:r>
        <w:rPr>
          <w:rStyle w:val="FootnoteReference"/>
        </w:rPr>
        <w:footnoteReference w:id="64"/>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tizimi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«O‘zsanoatqurilishbank»</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«Mikrokreditbank»</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mezon</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p>
            <w:pPr>
              <w:pStyle w:val="Compact"/>
              <w:spacing w:line="240" w:lineRule="auto"/>
              <w:ind w:firstLine="0"/>
              <w:jc w:val="left"/>
            </w:pPr>
            <w:r>
              <w:rPr>
                <w:rFonts w:ascii="Times New Roman" w:hAnsi="Times New Roman" w:cs="Times New Roman" w:eastAsia="Times New Roman"/>
                <w:sz w:val="22"/>
              </w:rPr>
              <w:t xml:space="preserve">18,3</w:t>
            </w:r>
          </w:p>
        </w:tc>
        <w:tc>
          <w:tcPr/>
          <w:p>
            <w:pPr>
              <w:pStyle w:val="Compact"/>
              <w:spacing w:line="240" w:lineRule="auto"/>
              <w:ind w:firstLine="0"/>
              <w:jc w:val="left"/>
            </w:pPr>
            <w:r>
              <w:rPr>
                <w:rFonts w:ascii="Times New Roman" w:hAnsi="Times New Roman" w:cs="Times New Roman" w:eastAsia="Times New Roman"/>
                <w:sz w:val="22"/>
              </w:rPr>
              <w:t xml:space="preserve">17,0</w:t>
            </w:r>
          </w:p>
        </w:tc>
        <w:tc>
          <w:tcPr/>
          <w:p>
            <w:pPr>
              <w:pStyle w:val="Compact"/>
              <w:spacing w:line="240" w:lineRule="auto"/>
              <w:ind w:firstLine="0"/>
              <w:jc w:val="left"/>
            </w:pPr>
            <w:r>
              <w:rPr>
                <w:rFonts w:ascii="Times New Roman" w:hAnsi="Times New Roman" w:cs="Times New Roman" w:eastAsia="Times New Roman"/>
                <w:sz w:val="22"/>
              </w:rPr>
              <w:t xml:space="preserve">18,5</w:t>
            </w:r>
          </w:p>
        </w:tc>
        <w:tc>
          <w:tcPr/>
          <w:p>
            <w:pPr>
              <w:pStyle w:val="Compact"/>
              <w:spacing w:line="240" w:lineRule="auto"/>
              <w:ind w:firstLine="0"/>
              <w:jc w:val="left"/>
            </w:pPr>
            <w:r>
              <w:rPr>
                <w:rFonts w:ascii="Times New Roman" w:hAnsi="Times New Roman" w:cs="Times New Roman" w:eastAsia="Times New Roman"/>
                <w:sz w:val="22"/>
              </w:rPr>
              <w:t xml:space="preserve">≥ 10,5 (Bazel III, bufer bilan)</w:t>
            </w:r>
          </w:p>
        </w:tc>
        <w:tc>
          <w:tcPr/>
          <w:p>
            <w:pPr>
              <w:pStyle w:val="Compact"/>
              <w:spacing w:line="240" w:lineRule="auto"/>
              <w:ind w:firstLine="0"/>
              <w:jc w:val="left"/>
            </w:pPr>
            <w:r>
              <w:rPr>
                <w:rFonts w:ascii="Times New Roman" w:hAnsi="Times New Roman" w:cs="Times New Roman" w:eastAsia="Times New Roman"/>
                <w:sz w:val="22"/>
              </w:rPr>
              <w:t xml:space="preserve">Yuqori, ammo davlat kapitaliga bog‘liq</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Asosiy kapital monandligi, %</w:t>
            </w:r>
          </w:p>
        </w:tc>
        <w:tc>
          <w:tcPr/>
          <w:p>
            <w:pPr>
              <w:pStyle w:val="Compact"/>
              <w:spacing w:line="240" w:lineRule="auto"/>
              <w:ind w:firstLine="0"/>
              <w:jc w:val="left"/>
            </w:pPr>
            <w:r>
              <w:rPr>
                <w:rFonts w:ascii="Times New Roman" w:hAnsi="Times New Roman" w:cs="Times New Roman" w:eastAsia="Times New Roman"/>
                <w:sz w:val="22"/>
              </w:rPr>
              <w:t xml:space="preserve">14,7</w:t>
            </w:r>
          </w:p>
        </w:tc>
        <w:tc>
          <w:tcPr/>
          <w:p>
            <w:pPr>
              <w:pStyle w:val="Compact"/>
              <w:spacing w:line="240" w:lineRule="auto"/>
              <w:ind w:firstLine="0"/>
              <w:jc w:val="left"/>
            </w:pPr>
            <w:r>
              <w:rPr>
                <w:rFonts w:ascii="Times New Roman" w:hAnsi="Times New Roman" w:cs="Times New Roman" w:eastAsia="Times New Roman"/>
                <w:sz w:val="22"/>
              </w:rPr>
              <w:t xml:space="preserve">10,2</w:t>
            </w:r>
          </w:p>
        </w:tc>
        <w:tc>
          <w:tcPr/>
          <w:p>
            <w:pPr>
              <w:pStyle w:val="Compact"/>
              <w:spacing w:line="240" w:lineRule="auto"/>
              <w:ind w:firstLine="0"/>
              <w:jc w:val="left"/>
            </w:pPr>
            <w:r>
              <w:rPr>
                <w:rFonts w:ascii="Times New Roman" w:hAnsi="Times New Roman" w:cs="Times New Roman" w:eastAsia="Times New Roman"/>
                <w:sz w:val="22"/>
              </w:rPr>
              <w:t xml:space="preserve">16,4</w:t>
            </w:r>
          </w:p>
        </w:tc>
        <w:tc>
          <w:tcPr/>
          <w:p>
            <w:pPr>
              <w:pStyle w:val="Compact"/>
              <w:spacing w:line="240" w:lineRule="auto"/>
              <w:ind w:firstLine="0"/>
              <w:jc w:val="left"/>
            </w:pPr>
            <w:r>
              <w:rPr>
                <w:rFonts w:ascii="Times New Roman" w:hAnsi="Times New Roman" w:cs="Times New Roman" w:eastAsia="Times New Roman"/>
                <w:sz w:val="22"/>
              </w:rPr>
              <w:t xml:space="preserve">≥ 7 (Bazel III, bufer bilan)</w:t>
            </w:r>
          </w:p>
        </w:tc>
        <w:tc>
          <w:tcPr/>
          <w:p>
            <w:pPr>
              <w:pStyle w:val="Compact"/>
              <w:spacing w:line="240" w:lineRule="auto"/>
              <w:ind w:firstLine="0"/>
              <w:jc w:val="left"/>
            </w:pPr>
            <w:r>
              <w:rPr>
                <w:rFonts w:ascii="Times New Roman" w:hAnsi="Times New Roman" w:cs="Times New Roman" w:eastAsia="Times New Roman"/>
                <w:sz w:val="22"/>
              </w:rPr>
              <w:t xml:space="preserve">Yetarli, SQB da zaxira kichik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p>
            <w:pPr>
              <w:pStyle w:val="Compact"/>
              <w:spacing w:line="240" w:lineRule="auto"/>
              <w:ind w:firstLine="0"/>
              <w:jc w:val="left"/>
            </w:pPr>
            <w:r>
              <w:rPr>
                <w:rFonts w:ascii="Times New Roman" w:hAnsi="Times New Roman" w:cs="Times New Roman" w:eastAsia="Times New Roman"/>
                <w:sz w:val="22"/>
              </w:rPr>
              <w:t xml:space="preserve">4,1</w:t>
            </w:r>
          </w:p>
        </w:tc>
        <w:tc>
          <w:tcPr/>
          <w:p>
            <w:pPr>
              <w:pStyle w:val="Compact"/>
              <w:spacing w:line="240" w:lineRule="auto"/>
              <w:ind w:firstLine="0"/>
              <w:jc w:val="left"/>
            </w:pPr>
            <w:r>
              <w:rPr>
                <w:rFonts w:ascii="Times New Roman" w:hAnsi="Times New Roman" w:cs="Times New Roman" w:eastAsia="Times New Roman"/>
                <w:sz w:val="22"/>
              </w:rPr>
              <w:t xml:space="preserve">2,5</w:t>
            </w:r>
          </w:p>
        </w:tc>
        <w:tc>
          <w:tcPr/>
          <w:p>
            <w:pPr>
              <w:pStyle w:val="Compact"/>
              <w:spacing w:line="240" w:lineRule="auto"/>
              <w:ind w:firstLine="0"/>
              <w:jc w:val="left"/>
            </w:pPr>
            <w:r>
              <w:rPr>
                <w:rFonts w:ascii="Times New Roman" w:hAnsi="Times New Roman" w:cs="Times New Roman" w:eastAsia="Times New Roman"/>
                <w:sz w:val="22"/>
              </w:rPr>
              <w:t xml:space="preserve">4,4</w:t>
            </w:r>
          </w:p>
        </w:tc>
        <w:tc>
          <w:tcPr/>
          <w:p>
            <w:pPr>
              <w:pStyle w:val="Compact"/>
              <w:spacing w:line="240" w:lineRule="auto"/>
              <w:ind w:firstLine="0"/>
              <w:jc w:val="left"/>
            </w:pPr>
            <w:r>
              <w:rPr>
                <w:rFonts w:ascii="Times New Roman" w:hAnsi="Times New Roman" w:cs="Times New Roman" w:eastAsia="Times New Roman"/>
                <w:sz w:val="22"/>
              </w:rPr>
              <w:t xml:space="preserve">&lt; 5 (erta ogohlantirish)</w:t>
            </w:r>
          </w:p>
        </w:tc>
        <w:tc>
          <w:tcPr/>
          <w:p>
            <w:pPr>
              <w:pStyle w:val="Compact"/>
              <w:spacing w:line="240" w:lineRule="auto"/>
              <w:ind w:firstLine="0"/>
              <w:jc w:val="left"/>
            </w:pPr>
            <w:r>
              <w:rPr>
                <w:rFonts w:ascii="Times New Roman" w:hAnsi="Times New Roman" w:cs="Times New Roman" w:eastAsia="Times New Roman"/>
                <w:sz w:val="22"/>
              </w:rPr>
              <w:t xml:space="preserve">Rasmiy jihatdan qoniqarli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MHXS 9 bo‘yicha 3-bosqich, %</w:t>
            </w:r>
          </w:p>
        </w:tc>
        <w:tc>
          <w:tcPr/>
          <w:p>
            <w:pPr>
              <w:pStyle w:val="Compact"/>
              <w:spacing w:line="240" w:lineRule="auto"/>
              <w:ind w:firstLine="0"/>
              <w:jc w:val="left"/>
            </w:pPr>
            <w:r>
              <w:rPr>
                <w:rFonts w:ascii="Times New Roman" w:hAnsi="Times New Roman" w:cs="Times New Roman" w:eastAsia="Times New Roman"/>
                <w:sz w:val="22"/>
              </w:rPr>
              <w:t xml:space="preserve">7,8 (2023)</w:t>
            </w:r>
          </w:p>
        </w:tc>
        <w:tc>
          <w:tcPr/>
          <w:p>
            <w:pPr>
              <w:pStyle w:val="Compact"/>
              <w:spacing w:line="240" w:lineRule="auto"/>
              <w:ind w:firstLine="0"/>
              <w:jc w:val="left"/>
            </w:pPr>
            <w:r>
              <w:rPr>
                <w:rFonts w:ascii="Times New Roman" w:hAnsi="Times New Roman" w:cs="Times New Roman" w:eastAsia="Times New Roman"/>
                <w:sz w:val="22"/>
              </w:rPr>
              <w:t xml:space="preserve">7,5</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&lt; 5</w:t>
            </w:r>
          </w:p>
        </w:tc>
        <w:tc>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Substandart / nostandart kreditlar, %</w:t>
            </w:r>
          </w:p>
        </w:tc>
        <w:tc>
          <w:tcPr/>
          <w:p>
            <w:pPr>
              <w:pStyle w:val="Compact"/>
              <w:spacing w:line="240" w:lineRule="auto"/>
              <w:ind w:firstLine="0"/>
              <w:jc w:val="left"/>
            </w:pPr>
            <w:r>
              <w:rPr>
                <w:rFonts w:ascii="Times New Roman" w:hAnsi="Times New Roman" w:cs="Times New Roman" w:eastAsia="Times New Roman"/>
                <w:sz w:val="22"/>
              </w:rPr>
              <w:t xml:space="preserve">~20 (2023)</w:t>
            </w:r>
          </w:p>
        </w:tc>
        <w:tc>
          <w:tcPr/>
          <w:p>
            <w:pPr>
              <w:pStyle w:val="Compact"/>
              <w:spacing w:line="240" w:lineRule="auto"/>
              <w:ind w:firstLine="0"/>
              <w:jc w:val="left"/>
            </w:pPr>
            <w:r>
              <w:rPr>
                <w:rFonts w:ascii="Times New Roman" w:hAnsi="Times New Roman" w:cs="Times New Roman" w:eastAsia="Times New Roman"/>
                <w:sz w:val="22"/>
              </w:rPr>
              <w:t xml:space="preserve">18,4</w:t>
            </w:r>
          </w:p>
        </w:tc>
        <w:tc>
          <w:tcPr/>
          <w:p>
            <w:pPr>
              <w:pStyle w:val="Compact"/>
              <w:spacing w:line="240" w:lineRule="auto"/>
              <w:ind w:firstLine="0"/>
              <w:jc w:val="left"/>
            </w:pPr>
            <w:r>
              <w:rPr>
                <w:rFonts w:ascii="Times New Roman" w:hAnsi="Times New Roman" w:cs="Times New Roman" w:eastAsia="Times New Roman"/>
                <w:sz w:val="22"/>
              </w:rPr>
              <w:t xml:space="preserve">9,0</w:t>
            </w:r>
          </w:p>
        </w:tc>
        <w:tc>
          <w:tcPr/>
          <w:p>
            <w:pPr>
              <w:pStyle w:val="Compact"/>
              <w:spacing w:line="240" w:lineRule="auto"/>
              <w:ind w:firstLine="0"/>
              <w:jc w:val="left"/>
            </w:pPr>
            <w:r>
              <w:rPr>
                <w:rFonts w:ascii="Times New Roman" w:hAnsi="Times New Roman" w:cs="Times New Roman" w:eastAsia="Times New Roman"/>
                <w:sz w:val="22"/>
              </w:rPr>
              <w:t xml:space="preserve">&lt; 10</w:t>
            </w:r>
          </w:p>
        </w:tc>
        <w:tc>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ROA, %</w:t>
            </w:r>
          </w:p>
        </w:tc>
        <w:tc>
          <w:tcPr/>
          <w:p>
            <w:pPr>
              <w:pStyle w:val="Compact"/>
              <w:spacing w:line="240" w:lineRule="auto"/>
              <w:ind w:firstLine="0"/>
              <w:jc w:val="left"/>
            </w:pPr>
            <w:r>
              <w:rPr>
                <w:rFonts w:ascii="Times New Roman" w:hAnsi="Times New Roman" w:cs="Times New Roman" w:eastAsia="Times New Roman"/>
                <w:sz w:val="22"/>
              </w:rPr>
              <w:t xml:space="preserve">2,2</w:t>
            </w:r>
          </w:p>
        </w:tc>
        <w:tc>
          <w:tcPr/>
          <w:p>
            <w:pPr>
              <w:pStyle w:val="Compact"/>
              <w:spacing w:line="240" w:lineRule="auto"/>
              <w:ind w:firstLine="0"/>
              <w:jc w:val="left"/>
            </w:pPr>
            <w:r>
              <w:rPr>
                <w:rFonts w:ascii="Times New Roman" w:hAnsi="Times New Roman" w:cs="Times New Roman" w:eastAsia="Times New Roman"/>
                <w:sz w:val="22"/>
              </w:rPr>
              <w:t xml:space="preserve">2,0</w:t>
            </w:r>
          </w:p>
        </w:tc>
        <w:tc>
          <w:tcPr/>
          <w:p>
            <w:pPr>
              <w:pStyle w:val="Compact"/>
              <w:spacing w:line="240" w:lineRule="auto"/>
              <w:ind w:firstLine="0"/>
              <w:jc w:val="left"/>
            </w:pPr>
            <w:r>
              <w:rPr>
                <w:rFonts w:ascii="Times New Roman" w:hAnsi="Times New Roman" w:cs="Times New Roman" w:eastAsia="Times New Roman"/>
                <w:sz w:val="22"/>
              </w:rPr>
              <w:t xml:space="preserve">0,6</w:t>
            </w:r>
          </w:p>
        </w:tc>
        <w:tc>
          <w:tcPr/>
          <w:p>
            <w:pPr>
              <w:pStyle w:val="Compact"/>
              <w:spacing w:line="240" w:lineRule="auto"/>
              <w:ind w:firstLine="0"/>
              <w:jc w:val="left"/>
            </w:pPr>
            <w:r>
              <w:rPr>
                <w:rFonts w:ascii="Times New Roman" w:hAnsi="Times New Roman" w:cs="Times New Roman" w:eastAsia="Times New Roman"/>
                <w:sz w:val="22"/>
              </w:rPr>
              <w:t xml:space="preserve">&gt; 1 (CAMELS 1-reyting)</w:t>
            </w:r>
          </w:p>
        </w:tc>
        <w:tc>
          <w:tcPr/>
          <w:p>
            <w:pPr>
              <w:pStyle w:val="Compact"/>
              <w:spacing w:line="240" w:lineRule="auto"/>
              <w:ind w:firstLine="0"/>
              <w:jc w:val="left"/>
            </w:pPr>
            <w:r>
              <w:rPr>
                <w:rFonts w:ascii="Times New Roman" w:hAnsi="Times New Roman" w:cs="Times New Roman" w:eastAsia="Times New Roman"/>
                <w:sz w:val="22"/>
              </w:rPr>
              <w:t xml:space="preserve">Tizim va SQB yuqori, MK past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LCR, %</w:t>
            </w:r>
          </w:p>
        </w:tc>
        <w:tc>
          <w:tcPr/>
          <w:p>
            <w:pPr>
              <w:pStyle w:val="Compact"/>
              <w:spacing w:line="240" w:lineRule="auto"/>
              <w:ind w:firstLine="0"/>
              <w:jc w:val="left"/>
            </w:pPr>
            <w:r>
              <w:rPr>
                <w:rFonts w:ascii="Times New Roman" w:hAnsi="Times New Roman" w:cs="Times New Roman" w:eastAsia="Times New Roman"/>
                <w:sz w:val="22"/>
              </w:rPr>
              <w:t xml:space="preserve">195</w:t>
            </w:r>
          </w:p>
        </w:tc>
        <w:tc>
          <w:tcPr/>
          <w:p>
            <w:pPr>
              <w:pStyle w:val="Compact"/>
              <w:spacing w:line="240" w:lineRule="auto"/>
              <w:ind w:firstLine="0"/>
              <w:jc w:val="left"/>
            </w:pPr>
            <w:r>
              <w:rPr>
                <w:rFonts w:ascii="Times New Roman" w:hAnsi="Times New Roman" w:cs="Times New Roman" w:eastAsia="Times New Roman"/>
                <w:sz w:val="22"/>
              </w:rPr>
              <w:t xml:space="preserve">222,9</w:t>
            </w:r>
          </w:p>
        </w:tc>
        <w:tc>
          <w:tcPr/>
          <w:p>
            <w:pPr>
              <w:pStyle w:val="Compact"/>
              <w:spacing w:line="240" w:lineRule="auto"/>
              <w:ind w:firstLine="0"/>
              <w:jc w:val="left"/>
            </w:pPr>
            <w:r>
              <w:rPr>
                <w:rFonts w:ascii="Times New Roman" w:hAnsi="Times New Roman" w:cs="Times New Roman" w:eastAsia="Times New Roman"/>
                <w:sz w:val="22"/>
              </w:rPr>
              <w:t xml:space="preserve">231,9</w:t>
            </w:r>
          </w:p>
        </w:tc>
        <w:tc>
          <w:tcPr/>
          <w:p>
            <w:pPr>
              <w:pStyle w:val="Compact"/>
              <w:spacing w:line="240" w:lineRule="auto"/>
              <w:ind w:firstLine="0"/>
              <w:jc w:val="left"/>
            </w:pPr>
            <w:r>
              <w:rPr>
                <w:rFonts w:ascii="Times New Roman" w:hAnsi="Times New Roman" w:cs="Times New Roman" w:eastAsia="Times New Roman"/>
                <w:sz w:val="22"/>
              </w:rPr>
              <w:t xml:space="preserve">≥ 100 (Bazel III)</w:t>
            </w:r>
          </w:p>
        </w:tc>
        <w:tc>
          <w:tcPr/>
          <w:p>
            <w:pPr>
              <w:pStyle w:val="Compact"/>
              <w:spacing w:line="240" w:lineRule="auto"/>
              <w:ind w:firstLine="0"/>
              <w:jc w:val="left"/>
            </w:pPr>
            <w:r>
              <w:rPr>
                <w:rFonts w:ascii="Times New Roman" w:hAnsi="Times New Roman" w:cs="Times New Roman" w:eastAsia="Times New Roman"/>
                <w:sz w:val="22"/>
              </w:rPr>
              <w:t xml:space="preserve">Yuqori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NSFR, %</w:t>
            </w:r>
          </w:p>
        </w:tc>
        <w:tc>
          <w:tcPr/>
          <w:p>
            <w:pPr>
              <w:pStyle w:val="Compact"/>
              <w:spacing w:line="240" w:lineRule="auto"/>
              <w:ind w:firstLine="0"/>
              <w:jc w:val="left"/>
            </w:pPr>
            <w:r>
              <w:rPr>
                <w:rFonts w:ascii="Times New Roman" w:hAnsi="Times New Roman" w:cs="Times New Roman" w:eastAsia="Times New Roman"/>
                <w:sz w:val="22"/>
              </w:rPr>
              <w:t xml:space="preserve">117</w:t>
            </w:r>
          </w:p>
        </w:tc>
        <w:tc>
          <w:tcPr/>
          <w:p>
            <w:pPr>
              <w:pStyle w:val="Compact"/>
              <w:spacing w:line="240" w:lineRule="auto"/>
              <w:ind w:firstLine="0"/>
              <w:jc w:val="left"/>
            </w:pPr>
            <w:r>
              <w:rPr>
                <w:rFonts w:ascii="Times New Roman" w:hAnsi="Times New Roman" w:cs="Times New Roman" w:eastAsia="Times New Roman"/>
                <w:sz w:val="22"/>
              </w:rPr>
              <w:t xml:space="preserve">122,2</w:t>
            </w:r>
          </w:p>
        </w:tc>
        <w:tc>
          <w:tcPr/>
          <w:p>
            <w:pPr>
              <w:pStyle w:val="Compact"/>
              <w:spacing w:line="240" w:lineRule="auto"/>
              <w:ind w:firstLine="0"/>
              <w:jc w:val="left"/>
            </w:pPr>
            <w:r>
              <w:rPr>
                <w:rFonts w:ascii="Times New Roman" w:hAnsi="Times New Roman" w:cs="Times New Roman" w:eastAsia="Times New Roman"/>
                <w:sz w:val="22"/>
              </w:rPr>
              <w:t xml:space="preserve">113,0</w:t>
            </w:r>
          </w:p>
        </w:tc>
        <w:tc>
          <w:tcPr/>
          <w:p>
            <w:pPr>
              <w:pStyle w:val="Compact"/>
              <w:spacing w:line="240" w:lineRule="auto"/>
              <w:ind w:firstLine="0"/>
              <w:jc w:val="left"/>
            </w:pPr>
            <w:r>
              <w:rPr>
                <w:rFonts w:ascii="Times New Roman" w:hAnsi="Times New Roman" w:cs="Times New Roman" w:eastAsia="Times New Roman"/>
                <w:sz w:val="22"/>
              </w:rPr>
              <w:t xml:space="preserve">≥ 100 (Bazel III)</w:t>
            </w:r>
          </w:p>
        </w:tc>
        <w:tc>
          <w:tcPr/>
          <w:p>
            <w:pPr>
              <w:pStyle w:val="Compact"/>
              <w:spacing w:line="240" w:lineRule="auto"/>
              <w:ind w:firstLine="0"/>
              <w:jc w:val="left"/>
            </w:pPr>
            <w:r>
              <w:rPr>
                <w:rFonts w:ascii="Times New Roman" w:hAnsi="Times New Roman" w:cs="Times New Roman" w:eastAsia="Times New Roman"/>
                <w:sz w:val="22"/>
              </w:rPr>
              <w:t xml:space="preserve">Yetarli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p>
            <w:pPr>
              <w:pStyle w:val="Compact"/>
              <w:spacing w:line="240" w:lineRule="auto"/>
              <w:ind w:firstLine="0"/>
              <w:jc w:val="left"/>
            </w:pPr>
            <w:r>
              <w:rPr>
                <w:rFonts w:ascii="Times New Roman" w:hAnsi="Times New Roman" w:cs="Times New Roman" w:eastAsia="Times New Roman"/>
                <w:sz w:val="22"/>
              </w:rPr>
              <w:t xml:space="preserve">172,7</w:t>
            </w:r>
          </w:p>
        </w:tc>
        <w:tc>
          <w:tcPr/>
          <w:p>
            <w:pPr>
              <w:pStyle w:val="Compact"/>
              <w:spacing w:line="240" w:lineRule="auto"/>
              <w:ind w:firstLine="0"/>
              <w:jc w:val="left"/>
            </w:pPr>
            <w:r>
              <w:rPr>
                <w:rFonts w:ascii="Times New Roman" w:hAnsi="Times New Roman" w:cs="Times New Roman" w:eastAsia="Times New Roman"/>
                <w:sz w:val="22"/>
              </w:rPr>
              <w:t xml:space="preserve">206,5</w:t>
            </w:r>
          </w:p>
        </w:tc>
        <w:tc>
          <w:tcPr/>
          <w:p>
            <w:pPr>
              <w:pStyle w:val="Compact"/>
              <w:spacing w:line="240" w:lineRule="auto"/>
              <w:ind w:firstLine="0"/>
              <w:jc w:val="left"/>
            </w:pPr>
            <w:r>
              <w:rPr>
                <w:rFonts w:ascii="Times New Roman" w:hAnsi="Times New Roman" w:cs="Times New Roman" w:eastAsia="Times New Roman"/>
                <w:sz w:val="22"/>
              </w:rPr>
              <w:t xml:space="preserve">208,5</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Yuqori risk</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banklar moliyaviy barqarorlik ko‘rsatkichlarini tadqiq etgan holda xulosa qilish mumkinki, 2021–2025-yillarda bank tizimi jadal o‘sib, davlat banklarining ulushi 81 foizdan 62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ikki-uch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bookmarkEnd w:id="65"/>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45.</w:t>
      </w:r>
    </w:p>
  </w:footnote>
  <w:footnote w:id="21">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2021–2025-yillar 30-dekabr holatiga.</w:t>
      </w:r>
    </w:p>
  </w:footnote>
  <w:footnote w:id="22">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23">
    <w:p>
      <w:pPr>
        <w:pStyle w:val="FootnoteText"/>
      </w:pPr>
      <w:r>
        <w:rPr>
          <w:rStyle w:val="FootnoteReference"/>
        </w:rPr>
        <w:footnoteRef/>
      </w:r>
      <w:r>
        <w:t xml:space="preserve"> </w:t>
      </w:r>
      <w:r>
        <w:t xml:space="preserve">World Bank. Uzbekistan Financial Sector Reform Project: Project Appraisal Document. Report No. PAD4468. – Washington, DC: World Bank, 2022.</w:t>
      </w:r>
    </w:p>
  </w:footnote>
  <w:footnote w:id="24">
    <w:p>
      <w:pPr>
        <w:pStyle w:val="FootnoteText"/>
      </w:pPr>
      <w:r>
        <w:rPr>
          <w:rStyle w:val="FootnoteReference"/>
        </w:rPr>
        <w:footnoteRef/>
      </w:r>
      <w:r>
        <w:t xml:space="preserve"> </w:t>
      </w:r>
      <w:r>
        <w:t xml:space="preserve">World Bank. Republic of Uzbekistan: Financial Sector Assessment. – Washington, DC: World Bank, 2025.</w:t>
      </w:r>
    </w:p>
  </w:footnote>
  <w:footnote w:id="25">
    <w:p>
      <w:pPr>
        <w:pStyle w:val="FootnoteText"/>
      </w:pPr>
      <w:r>
        <w:rPr>
          <w:rStyle w:val="FootnoteReference"/>
        </w:rPr>
        <w:footnoteRef/>
      </w:r>
      <w:r>
        <w:t xml:space="preserve"> </w:t>
      </w:r>
      <w:r>
        <w:t xml:space="preserve">Non-Bank Financial Institutions &amp; Private Credit in Uzbekistan 2026 // Kilde. – https://www.kilde.sg/post/non-bank-financial-institutions-and-private-credit-investment-in-uzbekistan-2026-update</w:t>
      </w:r>
    </w:p>
  </w:footnote>
  <w:footnote w:id="26">
    <w:p>
      <w:pPr>
        <w:pStyle w:val="FootnoteText"/>
      </w:pPr>
      <w:r>
        <w:rPr>
          <w:rStyle w:val="FootnoteReference"/>
        </w:rPr>
        <w:footnoteRef/>
      </w:r>
      <w:r>
        <w:t xml:space="preserve"> </w:t>
      </w:r>
      <w:r>
        <w:t xml:space="preserve">World Bank. Republic of Uzbekistan: Financial Sector Assessment. – Washington, DC: World Bank, 2025; Private bank assets in Uzbekistan rise 29% in a year // UzDaily.uz. – 2026. – https://www.uzdaily.uz/en/private-bank-assets-in-uzbekistan-rise-29-in-a-year/</w:t>
      </w:r>
    </w:p>
  </w:footnote>
  <w:footnote w:id="27">
    <w:p>
      <w:pPr>
        <w:pStyle w:val="FootnoteText"/>
      </w:pPr>
      <w:r>
        <w:rPr>
          <w:rStyle w:val="FootnoteReference"/>
        </w:rPr>
        <w:footnoteRef/>
      </w:r>
      <w:r>
        <w:t xml:space="preserve"> </w:t>
      </w:r>
      <w:r>
        <w:t xml:space="preserve">Tadqiqot natijasida muallif tomonidan quyidagi manbalar ma’lumotlari asosida ishlab chiqildi: World Bank. Uzbekistan Financial Sector Reform Project: Project Appraisal Document. Report No. PAD4468. – Washington, DC: World Bank, 2022; World Bank. Republic of Uzbekistan: Financial Sector Assessment. – Washington, DC: World Bank, 2025; Private bank assets in Uzbekistan rise 29% in a year // UzDaily.uz. – 2026. – https://www.uzdaily.uz/en/private-bank-assets-in-uzbekistan-rise-29-in-a-year.</w:t>
      </w:r>
    </w:p>
  </w:footnote>
  <w:footnote w:id="28">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29">
    <w:p>
      <w:pPr>
        <w:pStyle w:val="FootnoteText"/>
      </w:pPr>
      <w:r>
        <w:rPr>
          <w:rStyle w:val="FootnoteReference"/>
        </w:rPr>
        <w:footnoteRef/>
      </w:r>
      <w:r>
        <w:t xml:space="preserve"> </w:t>
      </w:r>
      <w:r>
        <w:t xml:space="preserve">Tadqiqot natijasida muallif tomonidan quyidagi manbalar ma’lumotlari asosida ishlab chiqildi: International Monetary Fund. Republic of Uzbekistan: Financial Sector Assessment Program – Financial System Stability Assessment. IMF Country Report No. 25/145. – Washington, DC: IMF, 2025; O‘zbekiston Respublikasi Markaziy banki. Moliyaviy barqarorlik sharhi: 2022-yil. – Toshkent, 2023; The Central Bank of the Republic of Uzbekistan. Financial Stability Report for 2023. – Tashkent, 2024; The Central Bank of the Republic of Uzbekistan. Financial Stability Report for the first half of 2025. – Tashkent, 2025; The Central Bank of the Republic of Uzbekistan. Financial Stability Report for 2025. – Tashkent, 2026; World Bank. Republic of Uzbekistan: Financial Sector Assessment. – Washington, DC: World Bank, 2025; Key trends in Uzbekistan’s banking sector // German Economic Team. – https://www.german-economic-team.com/en/newsletter/key-trends-in-uzbekistans-banking-sector.</w:t>
      </w:r>
    </w:p>
  </w:footnote>
  <w:footnote w:id="30">
    <w:p>
      <w:pPr>
        <w:pStyle w:val="FootnoteText"/>
      </w:pPr>
      <w:r>
        <w:rPr>
          <w:rStyle w:val="FootnoteReference"/>
        </w:rPr>
        <w:footnoteRef/>
      </w:r>
      <w:r>
        <w:t xml:space="preserve"> </w:t>
      </w:r>
      <w:r>
        <w:t xml:space="preserve">International Monetary Fund. Republic of Uzbekistan: Financial Sector Assessment Program – Detailed Assessment of Observance – Basel Core Principles for Effective Banking Supervision. IMF Country Report No. 25/227. – Washington, DC: IMF, 2025.</w:t>
      </w:r>
    </w:p>
  </w:footnote>
  <w:footnote w:id="31">
    <w:p>
      <w:pPr>
        <w:pStyle w:val="FootnoteText"/>
      </w:pPr>
      <w:r>
        <w:rPr>
          <w:rStyle w:val="FootnoteReference"/>
        </w:rPr>
        <w:footnoteRef/>
      </w:r>
      <w:r>
        <w:t xml:space="preserve"> </w:t>
      </w:r>
      <w:r>
        <w:t xml:space="preserve">The Central Bank of the Republic of Uzbekistan. Financial Stability Report for 2025. – Tashkent, 2026.</w:t>
      </w:r>
    </w:p>
  </w:footnote>
  <w:footnote w:id="32">
    <w:p>
      <w:pPr>
        <w:pStyle w:val="FootnoteText"/>
      </w:pPr>
      <w:r>
        <w:rPr>
          <w:rStyle w:val="FootnoteReference"/>
        </w:rPr>
        <w:footnoteRef/>
      </w:r>
      <w:r>
        <w:t xml:space="preserve"> </w:t>
      </w:r>
      <w:r>
        <w:t xml:space="preserve">Tadqiqot natijasida muallif tomonidan 2.2.1-jadval ma’lumotlari asosida ishlab chiqildi.</w:t>
      </w:r>
    </w:p>
  </w:footnote>
  <w:footnote w:id="33">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6–7, 15.</w:t>
      </w:r>
    </w:p>
  </w:footnote>
  <w:footnote w:id="3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80.</w:t>
      </w:r>
    </w:p>
  </w:footnote>
  <w:footnote w:id="35">
    <w:p>
      <w:pPr>
        <w:pStyle w:val="FootnoteText"/>
      </w:pPr>
      <w:r>
        <w:rPr>
          <w:rStyle w:val="FootnoteReference"/>
        </w:rPr>
        <w:footnoteRef/>
      </w:r>
      <w:r>
        <w:t xml:space="preserve"> </w:t>
      </w:r>
      <w:r>
        <w:t xml:space="preserve">International Monetary Fund. Republic of Uzbekistan: Financial Sector Assessment Program – Detailed Assessment of Observance – Basel Core Principles for Effective Banking Supervision. IMF Country Report No. 25/227. – Washington, DC: IMF, 2025.</w:t>
      </w:r>
    </w:p>
  </w:footnote>
  <w:footnote w:id="36">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7">
    <w:p>
      <w:pPr>
        <w:pStyle w:val="FootnoteText"/>
      </w:pPr>
      <w:r>
        <w:rPr>
          <w:rStyle w:val="FootnoteReference"/>
        </w:rPr>
        <w:footnoteRef/>
      </w:r>
      <w:r>
        <w:t xml:space="preserve"> </w:t>
      </w:r>
      <w:r>
        <w:t xml:space="preserve">The Central Bank of the Republic of Uzbekistan. Financial Stability Report for 2025. – Tashkent, 2026.</w:t>
      </w:r>
    </w:p>
  </w:footnote>
  <w:footnote w:id="38">
    <w:p>
      <w:pPr>
        <w:pStyle w:val="FootnoteText"/>
      </w:pPr>
      <w:r>
        <w:rPr>
          <w:rStyle w:val="FootnoteReference"/>
        </w:rPr>
        <w:footnoteRef/>
      </w:r>
      <w:r>
        <w:t xml:space="preserve"> </w:t>
      </w:r>
      <w:r>
        <w:t xml:space="preserve">World Bank. Republic of Uzbekistan: Financial Sector Assessment. – Washington, DC: World Bank, 2025.</w:t>
      </w:r>
    </w:p>
  </w:footnote>
  <w:footnote w:id="39">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40">
    <w:p>
      <w:pPr>
        <w:pStyle w:val="FootnoteText"/>
      </w:pPr>
      <w:r>
        <w:rPr>
          <w:rStyle w:val="FootnoteReference"/>
        </w:rPr>
        <w:footnoteRef/>
      </w:r>
      <w:r>
        <w:t xml:space="preserve"> </w:t>
      </w:r>
      <w:r>
        <w:t xml:space="preserve">O‘zbekiston Respublikasi Markaziy banki. Moliyaviy barqarorlik sharhi: 2022-yil. – Toshkent, 2023.</w:t>
      </w:r>
    </w:p>
  </w:footnote>
  <w:footnote w:id="41">
    <w:p>
      <w:pPr>
        <w:pStyle w:val="FootnoteText"/>
      </w:pPr>
      <w:r>
        <w:rPr>
          <w:rStyle w:val="FootnoteReference"/>
        </w:rPr>
        <w:footnoteRef/>
      </w:r>
      <w:r>
        <w:t xml:space="preserve"> </w:t>
      </w:r>
      <w:r>
        <w:t xml:space="preserve">The Central Bank of the Republic of Uzbekistan. Financial Stability Report for 2023. – Tashkent, 2024.</w:t>
      </w:r>
    </w:p>
  </w:footnote>
  <w:footnote w:id="42">
    <w:p>
      <w:pPr>
        <w:pStyle w:val="FootnoteText"/>
      </w:pPr>
      <w:r>
        <w:rPr>
          <w:rStyle w:val="FootnoteReference"/>
        </w:rPr>
        <w:footnoteRef/>
      </w:r>
      <w:r>
        <w:t xml:space="preserve"> </w:t>
      </w:r>
      <w:r>
        <w:t xml:space="preserve">World Bank. Republic of Uzbekistan: Financial Sector Assessment. – Washington, DC: World Bank, 2025.</w:t>
      </w:r>
    </w:p>
  </w:footnote>
  <w:footnote w:id="43">
    <w:p>
      <w:pPr>
        <w:pStyle w:val="FootnoteText"/>
      </w:pPr>
      <w:r>
        <w:rPr>
          <w:rStyle w:val="FootnoteReference"/>
        </w:rPr>
        <w:footnoteRef/>
      </w:r>
      <w:r>
        <w:t xml:space="preserve"> </w:t>
      </w:r>
      <w:r>
        <w:t xml:space="preserve">Tadqiqot natijasida muallif tomonidan quyidagi manbalar ma’lumotlari asosida ishlab chiqildi: International Monetary Fund. Republic of Uzbekistan: Financial Sector Assessment Program – Financial System Stability Assessment. IMF Country Report No. 25/145. – Washington, DC: IMF, 2025; O‘zbekiston Respublikasi Markaziy banki. Moliyaviy barqarorlik sharhi: 2022-yil. – Toshkent, 2023; The Central Bank of the Republic of Uzbekistan. Financial Stability Report for 2023. – Tashkent, 2024; World Bank. Republic of Uzbekistan: Financial Sector Assessment. – Washington, DC: World Bank, 2025.</w:t>
      </w:r>
    </w:p>
  </w:footnote>
  <w:footnote w:id="44">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4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46">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53.</w:t>
      </w:r>
    </w:p>
  </w:footnote>
  <w:footnote w:id="47">
    <w:p>
      <w:pPr>
        <w:pStyle w:val="FootnoteText"/>
      </w:pPr>
      <w:r>
        <w:rPr>
          <w:rStyle w:val="FootnoteReference"/>
        </w:rPr>
        <w:footnoteRef/>
      </w:r>
      <w:r>
        <w:t xml:space="preserve"> </w:t>
      </w:r>
      <w:r>
        <w:t xml:space="preserve">Key trends in Uzbekistan’s banking sector // German Economic Team. – https://www.german-economic-team.com/en/newsletter/key-trends-in-uzbekistans-banking-sector/</w:t>
      </w:r>
    </w:p>
  </w:footnote>
  <w:footnote w:id="48">
    <w:p>
      <w:pPr>
        <w:pStyle w:val="FootnoteText"/>
      </w:pPr>
      <w:r>
        <w:rPr>
          <w:rStyle w:val="FootnoteReference"/>
        </w:rPr>
        <w:footnoteRef/>
      </w:r>
      <w:r>
        <w:t xml:space="preserve"> </w:t>
      </w:r>
      <w:r>
        <w:t xml:space="preserve">O‘zbekiston Respublikasi Markaziy banki. Moliyaviy barqarorlik sharhi: 2022-yil. – Toshkent, 2023.</w:t>
      </w:r>
    </w:p>
  </w:footnote>
  <w:footnote w:id="49">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50">
    <w:p>
      <w:pPr>
        <w:pStyle w:val="FootnoteText"/>
      </w:pPr>
      <w:r>
        <w:rPr>
          <w:rStyle w:val="FootnoteReference"/>
        </w:rPr>
        <w:footnoteRef/>
      </w:r>
      <w:r>
        <w:t xml:space="preserve"> </w:t>
      </w:r>
      <w:r>
        <w:t xml:space="preserve">The Central Bank of the Republic of Uzbekistan. Financial Stability Report for 2025. – Tashkent, 2026.</w:t>
      </w:r>
    </w:p>
  </w:footnote>
  <w:footnote w:id="51">
    <w:p>
      <w:pPr>
        <w:pStyle w:val="FootnoteText"/>
      </w:pPr>
      <w:r>
        <w:rPr>
          <w:rStyle w:val="FootnoteReference"/>
        </w:rPr>
        <w:footnoteRef/>
      </w:r>
      <w:r>
        <w:t xml:space="preserve"> </w:t>
      </w:r>
      <w:r>
        <w:t xml:space="preserve">Tadqiqot natijasida muallif tomonidan 2.2.1-jadval ma’lumotlari asosida ishlab chiqildi.</w:t>
      </w:r>
    </w:p>
  </w:footnote>
  <w:footnote w:id="5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84–85.</w:t>
      </w:r>
    </w:p>
  </w:footnote>
  <w:footnote w:id="53">
    <w:p>
      <w:pPr>
        <w:pStyle w:val="FootnoteText"/>
      </w:pPr>
      <w:r>
        <w:rPr>
          <w:rStyle w:val="FootnoteReference"/>
        </w:rPr>
        <w:footnoteRef/>
      </w:r>
      <w:r>
        <w:t xml:space="preserve"> </w:t>
      </w:r>
      <w:r>
        <w:t xml:space="preserve">The Central Bank of the Republic of Uzbekistan. Financial Stability Report for the first half of 2025. – Tashkent, 2025.</w:t>
      </w:r>
    </w:p>
  </w:footnote>
  <w:footnote w:id="54">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55">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56">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7">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8">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59">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60">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61">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62">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63">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2021–2025-yillar 30-dekabr holatiga.</w:t>
      </w:r>
    </w:p>
  </w:footnote>
  <w:footnote w:id="64">
    <w:p>
      <w:pPr>
        <w:pStyle w:val="FootnoteText"/>
      </w:pPr>
      <w:r>
        <w:rPr>
          <w:rStyle w:val="FootnoteReference"/>
        </w:rPr>
        <w:footnoteRef/>
      </w:r>
      <w:r>
        <w:t xml:space="preserve"> </w:t>
      </w:r>
      <w:r>
        <w:t xml:space="preserve">Tadqiqot natijasida muallif tomonidan quyidagi manbalar ma’lumotlari asosida ishlab chiqildi: International Monetary Fund. Republic of Uzbekistan: Financial Sector Assessment Program – Financial System Stability Assessment. IMF Country Report No. 25/145. – Washington, DC: IMF, 2025;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 Joint Stock Commercial Bank «Uzbek Industrial and Construction Bank» and its subsidiaries. Consolidated Financial Statements for the year ended 31 December 2025 and Independent Auditor’s Report. – Tashkent, 2026. – P. 28–31.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 Id="rId13" Type="http://schemas.openxmlformats.org/officeDocument/2006/relationships/chart" Target="charts/chart5.xml"/><Relationship Id="rId14" Type="http://schemas.openxmlformats.org/officeDocument/2006/relationships/chart" Target="charts/chart6.xml"/><Relationship Id="rId15" Type="http://schemas.openxmlformats.org/officeDocument/2006/relationships/chart" Target="charts/chart7.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ishtirokidagi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2019-y. boshi</c:v>
                </c:pt>
                <c:pt idx="1">
                  <c:v>2021-y. oxiri</c:v>
                </c:pt>
                <c:pt idx="2">
                  <c:v>2024-y.</c:v>
                </c:pt>
                <c:pt idx="3">
                  <c:v>2026-y. o‘rtasi</c:v>
                </c:pt>
              </c:strCache>
            </c:strRef>
          </c:cat>
          <c:val>
            <c:numRef>
              <c:f>Sheet1!$B$2:$B$5</c:f>
              <c:numCache>
                <c:formatCode>General</c:formatCode>
                <c:ptCount val="4"/>
                <c:pt idx="0">
                  <c:v>84</c:v>
                </c:pt>
                <c:pt idx="1">
                  <c:v>81</c:v>
                </c:pt>
                <c:pt idx="2">
                  <c:v>67</c:v>
                </c:pt>
                <c:pt idx="3">
                  <c:v>62</c:v>
                </c:pt>
              </c:numCache>
            </c:numRef>
          </c:val>
        </c:ser>
        <c:gapWidth val="9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aktivlariga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17.0</c:v>
                </c:pt>
                <c:pt idx="4">
                  <c:v>18.3</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1">
                  <c:v>14.4</c:v>
                </c:pt>
                <c:pt idx="2">
                  <c:v>14.1</c:v>
                </c:pt>
                <c:pt idx="4">
                  <c:v>14.7</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Rasmiy muammoli kreditlar</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5.8</c:v>
                </c:pt>
                <c:pt idx="1">
                  <c:v>3.5</c:v>
                </c:pt>
                <c:pt idx="2">
                  <c:v>3.5</c:v>
                </c:pt>
                <c:pt idx="3">
                  <c:v>4.2</c:v>
                </c:pt>
                <c:pt idx="4">
                  <c:v>4.1</c:v>
                </c:pt>
              </c:numCache>
            </c:numRef>
          </c:val>
        </c:ser>
        <c:ser>
          <c:idx val="1"/>
          <c:order val="1"/>
          <c:tx>
            <c:strRef>
              <c:f>Sheet1!$C$1</c:f>
              <c:strCache>
                <c:ptCount val="1"/>
                <c:pt idx="0">
                  <c:v>MHXS 9 bo‘yicha 3-bosqich kreditlari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2">
                  <c:v>7.8</c:v>
                </c:pt>
              </c:numCache>
            </c:numRef>
          </c:val>
        </c:ser>
        <c:ser>
          <c:idx val="2"/>
          <c:order val="2"/>
          <c:tx>
            <c:strRef>
              <c:f>Sheet1!$D$1</c:f>
              <c:strCache>
                <c:ptCount val="1"/>
                <c:pt idx="0">
                  <c:v>Nostandart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12.5</c:v>
                </c:pt>
                <c:pt idx="1">
                  <c:v>15.9</c:v>
                </c:pt>
                <c:pt idx="2">
                  <c:v>20.0</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1.3</c:v>
                </c:pt>
                <c:pt idx="1">
                  <c:v>2.5</c:v>
                </c:pt>
                <c:pt idx="2">
                  <c:v>2.6</c:v>
                </c:pt>
                <c:pt idx="3">
                  <c:v>2.0</c:v>
                </c:pt>
                <c:pt idx="4">
                  <c:v>2.2</c:v>
                </c:pt>
              </c:numCache>
            </c:numRef>
          </c:yVal>
          <c:smooth val="0"/>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6.0</c:v>
                </c:pt>
                <c:pt idx="1">
                  <c:v>13.3</c:v>
                </c:pt>
                <c:pt idx="2">
                  <c:v>14.2</c:v>
                </c:pt>
                <c:pt idx="3">
                  <c:v>10.1</c:v>
                </c:pt>
                <c:pt idx="4">
                  <c:v>12.4</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c:v>
                </c:pt>
                <c:pt idx="3">
                  <c:v>15.6</c:v>
                </c:pt>
                <c:pt idx="4">
                  <c:v>17.0</c:v>
                </c:pt>
              </c:numCache>
            </c:numRef>
          </c:val>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c:v>
                </c:pt>
                <c:pt idx="3">
                  <c:v>15.4</c:v>
                </c:pt>
                <c:pt idx="4">
                  <c:v>18.5</c:v>
                </c:pt>
              </c:numCache>
            </c:numRef>
          </c:val>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11.0</c:v>
                </c:pt>
                <c:pt idx="3">
                  <c:v>14.8</c:v>
                </c:pt>
                <c:pt idx="4">
                  <c:v>18.4</c:v>
                </c:pt>
              </c:numCache>
            </c:numRef>
          </c:val>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16.0</c:v>
                </c:pt>
                <c:pt idx="1">
                  <c:v>7.6</c:v>
                </c:pt>
                <c:pt idx="2">
                  <c:v>11.0</c:v>
                </c:pt>
                <c:pt idx="3">
                  <c:v>13.9</c:v>
                </c:pt>
                <c:pt idx="4">
                  <c:v>17.2</c:v>
                </c:pt>
              </c:numCache>
            </c:numRef>
          </c:val>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2.2</c:v>
                </c:pt>
                <c:pt idx="1">
                  <c:v>0.7</c:v>
                </c:pt>
                <c:pt idx="2">
                  <c:v>1.1</c:v>
                </c:pt>
                <c:pt idx="3">
                  <c:v>-45.5</c:v>
                </c:pt>
                <c:pt idx="4">
                  <c:v>3.5</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2026-10-11T03:17:13Z</dcterms:created>
  <dcterms:modified xsi:type="dcterms:W3CDTF">2026-10-11T03:17:13Z</dcterms:modified>
</cp:coreProperties>
</file>

<file path=docProps/custom.xml><?xml version="1.0" encoding="utf-8"?>
<Properties xmlns="http://schemas.openxmlformats.org/officeDocument/2006/custom-properties" xmlns:vt="http://schemas.openxmlformats.org/officeDocument/2006/docPropsVTypes"/>
</file>