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0a8f05e5cd7bad167a6c1dddfdd9ff0edf10251"/>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1.3-§. Xorijiy mamlakatlarda banklar moliyaviy barqarorligini tartibga solish va baholash tajribasi</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paragrafda ko‘rib chiqilgan xalqaro standartlar banklar moliyaviy barqarorligini baholashning umumiy tamoyillarini belgilab beradi. Biroq bu tamoyillar har bir mamlakatda bir xil shaklda qo‘llanmaydi. Milliy nazorat organlari bank tizimining tuzilishi, huquqiy an’analar, statistik ma’lumotlarning holati va o‘tmishda boshdan kechirilgan inqirozlar tajribasidan kelib chiqqan holda o‘z baholash tizimlarini shakllantirgan. Shu bois xorijiy tajribani o‘rganish O‘zbekiston sharoitida qaysi yondashuvlar samara berishi mumkinligini aniqlash, boshqa mamlakatlar yo‘l qo‘ygan xatolarni takrorlamaslik imkonini beradi.</w:t>
      </w:r>
    </w:p>
    <w:p>
      <w:pPr>
        <w:pStyle w:val="BodyText"/>
        <w:spacing w:line="360" w:lineRule="auto" w:before="0" w:after="0"/>
        <w:ind w:firstLine="709"/>
        <w:jc w:val="both"/>
      </w:pPr>
      <w:r>
        <w:rPr>
          <w:rFonts w:ascii="Times New Roman" w:hAnsi="Times New Roman" w:cs="Times New Roman" w:eastAsia="Times New Roman"/>
          <w:sz w:val="28"/>
        </w:rPr>
        <w:t xml:space="preserve">Tadqiqotda besh guruh mamlakatlar tajribasi tahlil qilindi: AQSh, G‘arbiy Yevropa mamlakatlari (Buyuk Britaniya, Germaniya, Fransiya, Italiya, Niderlandiya), Yevropa Ittifoqining makroprudensial tizimi, Rossiya Federatsiyasi hamda rivojlanayotgan bozorlar, ya’ni Xitoy, Sharqiy Yevropa va BRIKS mamlakatlari. Mamlakatlarni tanlashda ikki mezonga tayanildi: birinchidan, baholash tizimining ilmiy adabiyotda yetarlicha yoritilganligi, ikkinchidan, uning O‘zbekiston bank tizimi sharoitiga yaqinligi.</w:t>
      </w:r>
    </w:p>
    <w:p>
      <w:pPr>
        <w:pStyle w:val="BodyText"/>
        <w:spacing w:line="360" w:lineRule="auto" w:before="0" w:after="0"/>
        <w:ind w:firstLine="709"/>
        <w:jc w:val="both"/>
      </w:pPr>
      <w:r>
        <w:rPr>
          <w:rFonts w:ascii="Times New Roman" w:hAnsi="Times New Roman" w:cs="Times New Roman" w:eastAsia="Times New Roman"/>
          <w:sz w:val="28"/>
        </w:rPr>
        <w:t xml:space="preserve">Xorijiy tajribani tahlil qilishni avvalo mavjud baholash tizimlarini tartibga solishdan boshlash maqsadga muvofiq. Xalqaro hisob-kitoblar banki G-10 mamlakatlarida qo‘llanadigan nazorat tizimlarini to‘rt toifaga ajratadi: nazorat reyting tizimlari; moliyaviy koeffitsiyentlar va guruhlab tahlil qilish tizimlari; risklarni kompleks baholash tizimlari; statistik modellar</w:t>
      </w:r>
      <w:r>
        <w:rPr>
          <w:rStyle w:val="FootnoteReference"/>
        </w:rPr>
        <w:footnoteReference w:id="20"/>
      </w:r>
      <w:r>
        <w:rPr>
          <w:rFonts w:ascii="Times New Roman" w:hAnsi="Times New Roman" w:cs="Times New Roman" w:eastAsia="Times New Roman"/>
          <w:sz w:val="28"/>
        </w:rPr>
        <w:t xml:space="preserve">. Ushbu toifalar va ularga mansub milliy tizimlar 1.3.1-rasmda umumlashtirildi.</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304000"/>
                <wp:effectExtent l="0" t="0" r="0" b="0"/>
                <wp:docPr id="1001" name="1.3.1-rasm"/>
                <wp:cNvGraphicFramePr/>
                <a:graphic>
                  <a:graphicData uri="http://schemas.microsoft.com/office/word/2010/wordprocessingGroup">
                    <wpg:wgp>
                      <wpg:cNvGrpSpPr/>
                      <wpg:grpSpPr>
                        <a:xfrm>
                          <a:off x="0" y="0"/>
                          <a:ext cx="5904000" cy="2304000"/>
                          <a:chOff x="0" y="0"/>
                          <a:chExt cx="5904000" cy="2304000"/>
                        </a:xfrm>
                      </wpg:grpSpPr>
                      <wps:wsp>
                        <wps:cNvPr id="2" name="Shape 2"/>
                        <wps:cNvSpPr/>
                        <wps:spPr>
                          <a:xfrm>
                            <a:off x="1332000" y="36000"/>
                            <a:ext cx="3240000" cy="360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Banklar moliyaviy barqarorligini baholash tizimlari</w:t>
                              </w:r>
                            </w:p>
                            <w:p>
                              <w:pPr>
                                <w:spacing w:before="0" w:after="0" w:line="228" w:lineRule="auto"/>
                                <w:jc w:val="center"/>
                                <w:ind w:firstLine="0"/>
                              </w:pPr>
                              <w:r>
                                <w:rPr>
                                  <w:rFonts w:ascii="Times New Roman" w:hAnsi="Times New Roman" w:cs="Times New Roman"/>
                                  <w:b/>
                                  <w:color w:val="FFFFFF"/>
                                  <w:sz w:val="22"/>
                                  <w:szCs w:val="22"/>
                                </w:rPr>
                                <w:t xml:space="preserve">(Xalqaro hisob-kitoblar banki tasnifi)</w:t>
                              </w:r>
                            </w:p>
                          </w:txbxContent>
                        </wps:txbx>
                        <wps:bodyPr rot="0" vert="horz" wrap="square" lIns="36000" tIns="18000" rIns="36000" bIns="18000" anchor="ctr" anchorCtr="0">
                          <a:noAutofit/>
                        </wps:bodyPr>
                      </wps:wsp>
                      <wps:wsp>
                        <wps:cNvPr id="3" name="Connector 3"/>
                        <wps:cNvCnPr/>
                        <wps:spPr>
                          <a:xfrm flipH="1">
                            <a:off x="729000" y="396000"/>
                            <a:ext cx="2223000" cy="234000"/>
                          </a:xfrm>
                          <a:prstGeom prst="straightConnector1">
                            <a:avLst/>
                          </a:prstGeom>
                          <a:ln w="15875">
                            <a:solidFill>
                              <a:srgbClr val="404040"/>
                            </a:solidFill>
                            <a:tailEnd type="triangle" w="med" len="med"/>
                          </a:ln>
                        </wps:spPr>
                        <wps:bodyPr/>
                      </wps:wsp>
                      <wps:wsp>
                        <wps:cNvPr id="4" name="Shape 4"/>
                        <wps:cNvSpPr/>
                        <wps:spPr>
                          <a:xfrm>
                            <a:off x="36000" y="630000"/>
                            <a:ext cx="1386000" cy="396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Nazorat reyting</w:t>
                              </w:r>
                            </w:p>
                            <w:p>
                              <w:pPr>
                                <w:spacing w:before="0" w:after="0" w:line="228" w:lineRule="auto"/>
                                <w:jc w:val="center"/>
                                <w:ind w:firstLine="0"/>
                              </w:pPr>
                              <w:r>
                                <w:rPr>
                                  <w:rFonts w:ascii="Times New Roman" w:hAnsi="Times New Roman" w:cs="Times New Roman"/>
                                  <w:b/>
                                  <w:color w:val="FFFFFF"/>
                                  <w:sz w:val="21"/>
                                  <w:szCs w:val="21"/>
                                </w:rPr>
                                <w:t xml:space="preserve">tizimlari</w:t>
                              </w:r>
                            </w:p>
                          </w:txbxContent>
                        </wps:txbx>
                        <wps:bodyPr rot="0" vert="horz" wrap="square" lIns="36000" tIns="18000" rIns="36000" bIns="18000" anchor="ctr" anchorCtr="0">
                          <a:noAutofit/>
                        </wps:bodyPr>
                      </wps:wsp>
                      <wps:wsp>
                        <wps:cNvPr id="5" name="Shape 5"/>
                        <wps:cNvSpPr/>
                        <wps:spPr>
                          <a:xfrm>
                            <a:off x="36000" y="1080000"/>
                            <a:ext cx="1386000" cy="828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CAMELS (AQSh)</w:t>
                              </w:r>
                            </w:p>
                            <w:p>
                              <w:pPr>
                                <w:spacing w:before="0" w:after="0" w:line="228" w:lineRule="auto"/>
                                <w:jc w:val="center"/>
                                <w:ind w:firstLine="0"/>
                              </w:pPr>
                              <w:r>
                                <w:rPr>
                                  <w:rFonts w:ascii="Times New Roman" w:hAnsi="Times New Roman" w:cs="Times New Roman"/>
                                  <w:color w:val="000000"/>
                                  <w:sz w:val="20"/>
                                  <w:szCs w:val="20"/>
                                </w:rPr>
                                <w:t xml:space="preserve">ORAP (Fransiya)</w:t>
                              </w:r>
                            </w:p>
                            <w:p>
                              <w:pPr>
                                <w:spacing w:before="0" w:after="0" w:line="228" w:lineRule="auto"/>
                                <w:jc w:val="center"/>
                                <w:ind w:firstLine="0"/>
                              </w:pPr>
                              <w:r>
                                <w:rPr>
                                  <w:rFonts w:ascii="Times New Roman" w:hAnsi="Times New Roman" w:cs="Times New Roman"/>
                                  <w:color w:val="000000"/>
                                  <w:sz w:val="20"/>
                                  <w:szCs w:val="20"/>
                                </w:rPr>
                                <w:t xml:space="preserve">PATROL (Italiya)</w:t>
                              </w:r>
                            </w:p>
                            <w:p>
                              <w:pPr>
                                <w:spacing w:before="0" w:after="0" w:line="228" w:lineRule="auto"/>
                                <w:jc w:val="center"/>
                                <w:ind w:firstLine="0"/>
                              </w:pPr>
                              <w:r>
                                <w:rPr>
                                  <w:rFonts w:ascii="Times New Roman" w:hAnsi="Times New Roman" w:cs="Times New Roman"/>
                                  <w:color w:val="000000"/>
                                  <w:sz w:val="20"/>
                                  <w:szCs w:val="20"/>
                                </w:rPr>
                                <w:t xml:space="preserve">Rossiya banki</w:t>
                              </w:r>
                            </w:p>
                            <w:p>
                              <w:pPr>
                                <w:spacing w:before="0" w:after="0" w:line="228" w:lineRule="auto"/>
                                <w:jc w:val="center"/>
                                <w:ind w:firstLine="0"/>
                              </w:pPr>
                              <w:r>
                                <w:rPr>
                                  <w:rFonts w:ascii="Times New Roman" w:hAnsi="Times New Roman" w:cs="Times New Roman"/>
                                  <w:color w:val="000000"/>
                                  <w:sz w:val="20"/>
                                  <w:szCs w:val="20"/>
                                </w:rPr>
                                <w:t xml:space="preserve">reytingi</w:t>
                              </w:r>
                            </w:p>
                          </w:txbxContent>
                        </wps:txbx>
                        <wps:bodyPr rot="0" vert="horz" wrap="square" lIns="36000" tIns="18000" rIns="36000" bIns="18000" anchor="ctr" anchorCtr="0">
                          <a:noAutofit/>
                        </wps:bodyPr>
                      </wps:wsp>
                      <wps:wsp>
                        <wps:cNvPr id="6" name="Connector 6"/>
                        <wps:cNvCnPr/>
                        <wps:spPr>
                          <a:xfrm flipH="1">
                            <a:off x="2205000" y="396000"/>
                            <a:ext cx="747000" cy="234000"/>
                          </a:xfrm>
                          <a:prstGeom prst="straightConnector1">
                            <a:avLst/>
                          </a:prstGeom>
                          <a:ln w="15875">
                            <a:solidFill>
                              <a:srgbClr val="404040"/>
                            </a:solidFill>
                            <a:tailEnd type="triangle" w="med" len="med"/>
                          </a:ln>
                        </wps:spPr>
                        <wps:bodyPr/>
                      </wps:wsp>
                      <wps:wsp>
                        <wps:cNvPr id="7" name="Shape 7"/>
                        <wps:cNvSpPr/>
                        <wps:spPr>
                          <a:xfrm>
                            <a:off x="1512000" y="630000"/>
                            <a:ext cx="1386000" cy="39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Koeffitsiyentlar va</w:t>
                              </w:r>
                            </w:p>
                            <w:p>
                              <w:pPr>
                                <w:spacing w:before="0" w:after="0" w:line="228" w:lineRule="auto"/>
                                <w:jc w:val="center"/>
                                <w:ind w:firstLine="0"/>
                              </w:pPr>
                              <w:r>
                                <w:rPr>
                                  <w:rFonts w:ascii="Times New Roman" w:hAnsi="Times New Roman" w:cs="Times New Roman"/>
                                  <w:b/>
                                  <w:color w:val="FFFFFF"/>
                                  <w:sz w:val="21"/>
                                  <w:szCs w:val="21"/>
                                </w:rPr>
                                <w:t xml:space="preserve">guruhlab tahlil</w:t>
                              </w:r>
                            </w:p>
                          </w:txbxContent>
                        </wps:txbx>
                        <wps:bodyPr rot="0" vert="horz" wrap="square" lIns="36000" tIns="18000" rIns="36000" bIns="18000" anchor="ctr" anchorCtr="0">
                          <a:noAutofit/>
                        </wps:bodyPr>
                      </wps:wsp>
                      <wps:wsp>
                        <wps:cNvPr id="8" name="Shape 8"/>
                        <wps:cNvSpPr/>
                        <wps:spPr>
                          <a:xfrm>
                            <a:off x="1512000" y="1080000"/>
                            <a:ext cx="1386000" cy="828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BAKIS (Germaniya)</w:t>
                              </w:r>
                            </w:p>
                            <w:p>
                              <w:pPr>
                                <w:spacing w:before="0" w:after="0" w:line="228" w:lineRule="auto"/>
                                <w:jc w:val="center"/>
                                <w:ind w:firstLine="0"/>
                              </w:pPr>
                              <w:r>
                                <w:rPr>
                                  <w:rFonts w:ascii="Times New Roman" w:hAnsi="Times New Roman" w:cs="Times New Roman"/>
                                  <w:color w:val="000000"/>
                                  <w:sz w:val="20"/>
                                  <w:szCs w:val="20"/>
                                </w:rPr>
                                <w:t xml:space="preserve">EBA risk</w:t>
                              </w:r>
                            </w:p>
                            <w:p>
                              <w:pPr>
                                <w:spacing w:before="0" w:after="0" w:line="228" w:lineRule="auto"/>
                                <w:jc w:val="center"/>
                                <w:ind w:firstLine="0"/>
                              </w:pPr>
                              <w:r>
                                <w:rPr>
                                  <w:rFonts w:ascii="Times New Roman" w:hAnsi="Times New Roman" w:cs="Times New Roman"/>
                                  <w:color w:val="000000"/>
                                  <w:sz w:val="20"/>
                                  <w:szCs w:val="20"/>
                                </w:rPr>
                                <w:t xml:space="preserve">indikatorlari</w:t>
                              </w:r>
                            </w:p>
                            <w:p>
                              <w:pPr>
                                <w:spacing w:before="0" w:after="0" w:line="228" w:lineRule="auto"/>
                                <w:jc w:val="center"/>
                                <w:ind w:firstLine="0"/>
                              </w:pPr>
                              <w:r>
                                <w:rPr>
                                  <w:rFonts w:ascii="Times New Roman" w:hAnsi="Times New Roman" w:cs="Times New Roman"/>
                                  <w:color w:val="000000"/>
                                  <w:sz w:val="20"/>
                                  <w:szCs w:val="20"/>
                                </w:rPr>
                                <w:t xml:space="preserve">(Yevropa Ittifoqi)</w:t>
                              </w:r>
                            </w:p>
                          </w:txbxContent>
                        </wps:txbx>
                        <wps:bodyPr rot="0" vert="horz" wrap="square" lIns="36000" tIns="18000" rIns="36000" bIns="18000" anchor="ctr" anchorCtr="0">
                          <a:noAutofit/>
                        </wps:bodyPr>
                      </wps:wsp>
                      <wps:wsp>
                        <wps:cNvPr id="9" name="Connector 9"/>
                        <wps:cNvCnPr/>
                        <wps:spPr>
                          <a:xfrm>
                            <a:off x="2952000" y="396000"/>
                            <a:ext cx="729000" cy="234000"/>
                          </a:xfrm>
                          <a:prstGeom prst="straightConnector1">
                            <a:avLst/>
                          </a:prstGeom>
                          <a:ln w="15875">
                            <a:solidFill>
                              <a:srgbClr val="404040"/>
                            </a:solidFill>
                            <a:tailEnd type="triangle" w="med" len="med"/>
                          </a:ln>
                        </wps:spPr>
                        <wps:bodyPr/>
                      </wps:wsp>
                      <wps:wsp>
                        <wps:cNvPr id="10" name="Shape 10"/>
                        <wps:cNvSpPr/>
                        <wps:spPr>
                          <a:xfrm>
                            <a:off x="2988000" y="630000"/>
                            <a:ext cx="1386000" cy="39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Risklarni kompleks</w:t>
                              </w:r>
                            </w:p>
                            <w:p>
                              <w:pPr>
                                <w:spacing w:before="0" w:after="0" w:line="228" w:lineRule="auto"/>
                                <w:jc w:val="center"/>
                                <w:ind w:firstLine="0"/>
                              </w:pPr>
                              <w:r>
                                <w:rPr>
                                  <w:rFonts w:ascii="Times New Roman" w:hAnsi="Times New Roman" w:cs="Times New Roman"/>
                                  <w:b/>
                                  <w:color w:val="FFFFFF"/>
                                  <w:sz w:val="21"/>
                                  <w:szCs w:val="21"/>
                                </w:rPr>
                                <w:t xml:space="preserve">baholash</w:t>
                              </w:r>
                            </w:p>
                          </w:txbxContent>
                        </wps:txbx>
                        <wps:bodyPr rot="0" vert="horz" wrap="square" lIns="36000" tIns="18000" rIns="36000" bIns="18000" anchor="ctr" anchorCtr="0">
                          <a:noAutofit/>
                        </wps:bodyPr>
                      </wps:wsp>
                      <wps:wsp>
                        <wps:cNvPr id="11" name="Shape 11"/>
                        <wps:cNvSpPr/>
                        <wps:spPr>
                          <a:xfrm>
                            <a:off x="2988000" y="1080000"/>
                            <a:ext cx="1386000" cy="828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BAITE, RATE</w:t>
                              </w:r>
                            </w:p>
                            <w:p>
                              <w:pPr>
                                <w:spacing w:before="0" w:after="0" w:line="228" w:lineRule="auto"/>
                                <w:jc w:val="center"/>
                                <w:ind w:firstLine="0"/>
                              </w:pPr>
                              <w:r>
                                <w:rPr>
                                  <w:rFonts w:ascii="Times New Roman" w:hAnsi="Times New Roman" w:cs="Times New Roman"/>
                                  <w:color w:val="000000"/>
                                  <w:sz w:val="20"/>
                                  <w:szCs w:val="20"/>
                                </w:rPr>
                                <w:t xml:space="preserve">(Buyuk Britaniya)</w:t>
                              </w:r>
                            </w:p>
                            <w:p>
                              <w:pPr>
                                <w:spacing w:before="0" w:after="0" w:line="228" w:lineRule="auto"/>
                                <w:jc w:val="center"/>
                                <w:ind w:firstLine="0"/>
                              </w:pPr>
                              <w:r>
                                <w:rPr>
                                  <w:rFonts w:ascii="Times New Roman" w:hAnsi="Times New Roman" w:cs="Times New Roman"/>
                                  <w:color w:val="000000"/>
                                  <w:sz w:val="20"/>
                                  <w:szCs w:val="20"/>
                                </w:rPr>
                                <w:t xml:space="preserve">RAST</w:t>
                              </w:r>
                            </w:p>
                            <w:p>
                              <w:pPr>
                                <w:spacing w:before="0" w:after="0" w:line="228" w:lineRule="auto"/>
                                <w:jc w:val="center"/>
                                <w:ind w:firstLine="0"/>
                              </w:pPr>
                              <w:r>
                                <w:rPr>
                                  <w:rFonts w:ascii="Times New Roman" w:hAnsi="Times New Roman" w:cs="Times New Roman"/>
                                  <w:color w:val="000000"/>
                                  <w:sz w:val="20"/>
                                  <w:szCs w:val="20"/>
                                </w:rPr>
                                <w:t xml:space="preserve">(Niderlandiya)</w:t>
                              </w:r>
                            </w:p>
                          </w:txbxContent>
                        </wps:txbx>
                        <wps:bodyPr rot="0" vert="horz" wrap="square" lIns="36000" tIns="18000" rIns="36000" bIns="18000" anchor="ctr" anchorCtr="0">
                          <a:noAutofit/>
                        </wps:bodyPr>
                      </wps:wsp>
                      <wps:wsp>
                        <wps:cNvPr id="12" name="Connector 12"/>
                        <wps:cNvCnPr/>
                        <wps:spPr>
                          <a:xfrm>
                            <a:off x="2952000" y="396000"/>
                            <a:ext cx="2205000" cy="234000"/>
                          </a:xfrm>
                          <a:prstGeom prst="straightConnector1">
                            <a:avLst/>
                          </a:prstGeom>
                          <a:ln w="15875">
                            <a:solidFill>
                              <a:srgbClr val="404040"/>
                            </a:solidFill>
                            <a:tailEnd type="triangle" w="med" len="med"/>
                          </a:ln>
                        </wps:spPr>
                        <wps:bodyPr/>
                      </wps:wsp>
                      <wps:wsp>
                        <wps:cNvPr id="13" name="Shape 13"/>
                        <wps:cNvSpPr/>
                        <wps:spPr>
                          <a:xfrm>
                            <a:off x="4464000" y="630000"/>
                            <a:ext cx="1386000" cy="396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1"/>
                                  <w:szCs w:val="21"/>
                                </w:rPr>
                                <w:t xml:space="preserve">Statistik</w:t>
                              </w:r>
                            </w:p>
                            <w:p>
                              <w:pPr>
                                <w:spacing w:before="0" w:after="0" w:line="228" w:lineRule="auto"/>
                                <w:jc w:val="center"/>
                                <w:ind w:firstLine="0"/>
                              </w:pPr>
                              <w:r>
                                <w:rPr>
                                  <w:rFonts w:ascii="Times New Roman" w:hAnsi="Times New Roman" w:cs="Times New Roman"/>
                                  <w:b/>
                                  <w:color w:val="000000"/>
                                  <w:sz w:val="21"/>
                                  <w:szCs w:val="21"/>
                                </w:rPr>
                                <w:t xml:space="preserve">modellar</w:t>
                              </w:r>
                            </w:p>
                          </w:txbxContent>
                        </wps:txbx>
                        <wps:bodyPr rot="0" vert="horz" wrap="square" lIns="36000" tIns="18000" rIns="36000" bIns="18000" anchor="ctr" anchorCtr="0">
                          <a:noAutofit/>
                        </wps:bodyPr>
                      </wps:wsp>
                      <wps:wsp>
                        <wps:cNvPr id="14" name="Shape 14"/>
                        <wps:cNvSpPr/>
                        <wps:spPr>
                          <a:xfrm>
                            <a:off x="4464000" y="1080000"/>
                            <a:ext cx="1386000" cy="828000"/>
                          </a:xfrm>
                          <a:prstGeom prst="roundRect">
                            <a:avLst>
                              <a:gd name="adj" fmla="val 10000"/>
                            </a:avLst>
                          </a:prstGeom>
                          <a:solidFill>
                            <a:srgbClr val="F2F2F2"/>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FIMS, SEER,</w:t>
                              </w:r>
                            </w:p>
                            <w:p>
                              <w:pPr>
                                <w:spacing w:before="0" w:after="0" w:line="228" w:lineRule="auto"/>
                                <w:jc w:val="center"/>
                                <w:ind w:firstLine="0"/>
                              </w:pPr>
                              <w:r>
                                <w:rPr>
                                  <w:rFonts w:ascii="Times New Roman" w:hAnsi="Times New Roman" w:cs="Times New Roman"/>
                                  <w:color w:val="000000"/>
                                  <w:sz w:val="20"/>
                                  <w:szCs w:val="20"/>
                                </w:rPr>
                                <w:t xml:space="preserve">SCOR (AQSh)</w:t>
                              </w:r>
                            </w:p>
                            <w:p>
                              <w:pPr>
                                <w:spacing w:before="0" w:after="0" w:line="228" w:lineRule="auto"/>
                                <w:jc w:val="center"/>
                                <w:ind w:firstLine="0"/>
                              </w:pPr>
                              <w:r>
                                <w:rPr>
                                  <w:rFonts w:ascii="Times New Roman" w:hAnsi="Times New Roman" w:cs="Times New Roman"/>
                                  <w:color w:val="000000"/>
                                  <w:sz w:val="20"/>
                                  <w:szCs w:val="20"/>
                                </w:rPr>
                                <w:t xml:space="preserve">SAABA ekspert</w:t>
                              </w:r>
                            </w:p>
                            <w:p>
                              <w:pPr>
                                <w:spacing w:before="0" w:after="0" w:line="228" w:lineRule="auto"/>
                                <w:jc w:val="center"/>
                                <w:ind w:firstLine="0"/>
                              </w:pPr>
                              <w:r>
                                <w:rPr>
                                  <w:rFonts w:ascii="Times New Roman" w:hAnsi="Times New Roman" w:cs="Times New Roman"/>
                                  <w:color w:val="000000"/>
                                  <w:sz w:val="20"/>
                                  <w:szCs w:val="20"/>
                                </w:rPr>
                                <w:t xml:space="preserve">tizimi (Fransiya)</w:t>
                              </w:r>
                            </w:p>
                          </w:txbxContent>
                        </wps:txbx>
                        <wps:bodyPr rot="0" vert="horz" wrap="square" lIns="36000" tIns="18000" rIns="36000" bIns="18000" anchor="ctr" anchorCtr="0">
                          <a:noAutofit/>
                        </wps:bodyPr>
                      </wps:wsp>
                      <wps:wsp>
                        <wps:cNvPr id="15" name="Shape 15"/>
                        <wps:cNvSpPr/>
                        <wps:spPr>
                          <a:xfrm>
                            <a:off x="36000" y="1980000"/>
                            <a:ext cx="5796000" cy="270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i/>
                                  <w:color w:val="000000"/>
                                  <w:sz w:val="20"/>
                                  <w:szCs w:val="20"/>
                                </w:rPr>
                                <w:t xml:space="preserve">Joriy holatni baholash  ←————————————————→  Kelgusi holatni bashorat qilish</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1.3.1-rasm. Xorijiy mamlakatlarda banklar moliyaviy barqarorligini baholash tizimlarining tasnifi</w:t>
      </w:r>
      <w:r>
        <w:rPr>
          <w:rStyle w:val="FootnoteReference"/>
        </w:rPr>
        <w:footnoteReference w:id="21"/>
      </w:r>
    </w:p>
    <w:p>
      <w:pPr>
        <w:pStyle w:val="BodyText"/>
        <w:spacing w:line="360" w:lineRule="auto" w:before="0" w:after="0"/>
        <w:ind w:firstLine="709"/>
        <w:jc w:val="both"/>
      </w:pPr>
      <w:r>
        <w:rPr>
          <w:rFonts w:ascii="Times New Roman" w:hAnsi="Times New Roman" w:cs="Times New Roman" w:eastAsia="Times New Roman"/>
          <w:sz w:val="28"/>
        </w:rPr>
        <w:t xml:space="preserve">Tasnifdan ko‘rinib turibdiki, rivojlangan mamlakatlarda bitta tizim bilan cheklanib qolinmaydi, balki bir vaqtning o‘zida bir necha turdagi tizim qo‘llanadi. Masalan, AQShda CAMELS reyting tizimi bilan bir qatorda SEER, SCOR kabi statistik modellar ishlatilsa, Fransiyada ORAP reyting tizimi va SAABA ekspert tizimi bir-birini to‘ldirgan holda faoliyat yuritadi. Bunday yondashuvning mantig‘i shundaki, reyting tizimi bankning joriy holatini baholaydi, statistik model esa uning kelgusidagi holatini bashorat qiladi. Ushbu tizimlarning asosiy xususiyatlari 1.3.1-jadvalda qiyosiy tarzda keltirildi.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1.3.1-jadval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Rivojlangan mamlakatlarda banklarni baholash tizimlarining qiyosiy tavsifi</w:t>
      </w:r>
      <w:r>
        <w:rPr>
          <w:rStyle w:val="FootnoteReference"/>
        </w:rPr>
        <w:footnoteReference w:id="22"/>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Mamlakat</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Tizim (joriy etilgan yili)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Turi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Asosiy xususiyatlari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AQSh</w:t>
            </w:r>
          </w:p>
        </w:tc>
        <w:tc>
          <w:tcPr/>
          <w:p>
            <w:pPr>
              <w:pStyle w:val="Compact"/>
              <w:spacing w:line="240" w:lineRule="auto"/>
              <w:ind w:firstLine="0"/>
              <w:jc w:val="left"/>
            </w:pPr>
            <w:r>
              <w:rPr>
                <w:rFonts w:ascii="Times New Roman" w:hAnsi="Times New Roman" w:cs="Times New Roman" w:eastAsia="Times New Roman"/>
                <w:sz w:val="22"/>
              </w:rPr>
              <w:t xml:space="preserve">CAMELS (1978–1979)</w:t>
            </w:r>
          </w:p>
        </w:tc>
        <w:tc>
          <w:tcPr/>
          <w:p>
            <w:pPr>
              <w:pStyle w:val="Compact"/>
              <w:spacing w:line="240" w:lineRule="auto"/>
              <w:ind w:firstLine="0"/>
              <w:jc w:val="left"/>
            </w:pPr>
            <w:r>
              <w:rPr>
                <w:rFonts w:ascii="Times New Roman" w:hAnsi="Times New Roman" w:cs="Times New Roman" w:eastAsia="Times New Roman"/>
                <w:sz w:val="22"/>
              </w:rPr>
              <w:t xml:space="preserve">Reyting</w:t>
            </w:r>
          </w:p>
        </w:tc>
        <w:tc>
          <w:tcPr/>
          <w:p>
            <w:pPr>
              <w:pStyle w:val="Compact"/>
              <w:spacing w:line="240" w:lineRule="auto"/>
              <w:ind w:firstLine="0"/>
              <w:jc w:val="left"/>
            </w:pPr>
            <w:r>
              <w:rPr>
                <w:rFonts w:ascii="Times New Roman" w:hAnsi="Times New Roman" w:cs="Times New Roman" w:eastAsia="Times New Roman"/>
                <w:sz w:val="22"/>
              </w:rPr>
              <w:t xml:space="preserve">6 komponent, 1–5 ballik shkala; yig‘ma ball o‘rtacha emas, tekshiruv guruhi bahosi; natijalar oshkor qilinmaydi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AQSh</w:t>
            </w:r>
          </w:p>
        </w:tc>
        <w:tc>
          <w:tcPr/>
          <w:p>
            <w:pPr>
              <w:pStyle w:val="Compact"/>
              <w:spacing w:line="240" w:lineRule="auto"/>
              <w:ind w:firstLine="0"/>
              <w:jc w:val="left"/>
            </w:pPr>
            <w:r>
              <w:rPr>
                <w:rFonts w:ascii="Times New Roman" w:hAnsi="Times New Roman" w:cs="Times New Roman" w:eastAsia="Times New Roman"/>
                <w:sz w:val="22"/>
              </w:rPr>
              <w:t xml:space="preserve">FIMS, SEER, SCOR</w:t>
            </w:r>
          </w:p>
        </w:tc>
        <w:tc>
          <w:tcPr/>
          <w:p>
            <w:pPr>
              <w:pStyle w:val="Compact"/>
              <w:spacing w:line="240" w:lineRule="auto"/>
              <w:ind w:firstLine="0"/>
              <w:jc w:val="left"/>
            </w:pPr>
            <w:r>
              <w:rPr>
                <w:rFonts w:ascii="Times New Roman" w:hAnsi="Times New Roman" w:cs="Times New Roman" w:eastAsia="Times New Roman"/>
                <w:sz w:val="22"/>
              </w:rPr>
              <w:t xml:space="preserve">Statistik</w:t>
            </w:r>
          </w:p>
        </w:tc>
        <w:tc>
          <w:tcPr/>
          <w:p>
            <w:pPr>
              <w:pStyle w:val="Compact"/>
              <w:spacing w:line="240" w:lineRule="auto"/>
              <w:ind w:firstLine="0"/>
              <w:jc w:val="left"/>
            </w:pPr>
            <w:r>
              <w:rPr>
                <w:rFonts w:ascii="Times New Roman" w:hAnsi="Times New Roman" w:cs="Times New Roman" w:eastAsia="Times New Roman"/>
                <w:sz w:val="22"/>
              </w:rPr>
              <w:t xml:space="preserve">Logit modellar orqali reyting pasayishi va bankrotlik ehtimolini bashorat qilish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Buyuk Britaniya</w:t>
            </w:r>
          </w:p>
        </w:tc>
        <w:tc>
          <w:tcPr/>
          <w:p>
            <w:pPr>
              <w:pStyle w:val="Compact"/>
              <w:spacing w:line="240" w:lineRule="auto"/>
              <w:ind w:firstLine="0"/>
              <w:jc w:val="left"/>
            </w:pPr>
            <w:r>
              <w:rPr>
                <w:rFonts w:ascii="Times New Roman" w:hAnsi="Times New Roman" w:cs="Times New Roman" w:eastAsia="Times New Roman"/>
                <w:sz w:val="22"/>
              </w:rPr>
              <w:t xml:space="preserve">BAITE (1997), RATE (1998)</w:t>
            </w:r>
          </w:p>
        </w:tc>
        <w:tc>
          <w:tcPr/>
          <w:p>
            <w:pPr>
              <w:pStyle w:val="Compact"/>
              <w:spacing w:line="240" w:lineRule="auto"/>
              <w:ind w:firstLine="0"/>
              <w:jc w:val="left"/>
            </w:pPr>
            <w:r>
              <w:rPr>
                <w:rFonts w:ascii="Times New Roman" w:hAnsi="Times New Roman" w:cs="Times New Roman" w:eastAsia="Times New Roman"/>
                <w:sz w:val="22"/>
              </w:rPr>
              <w:t xml:space="preserve">Risklarni kompleks baholash</w:t>
            </w:r>
          </w:p>
        </w:tc>
        <w:tc>
          <w:tcPr/>
          <w:p>
            <w:pPr>
              <w:pStyle w:val="Compact"/>
              <w:spacing w:line="240" w:lineRule="auto"/>
              <w:ind w:firstLine="0"/>
              <w:jc w:val="left"/>
            </w:pPr>
            <w:r>
              <w:rPr>
                <w:rFonts w:ascii="Times New Roman" w:hAnsi="Times New Roman" w:cs="Times New Roman" w:eastAsia="Times New Roman"/>
                <w:sz w:val="22"/>
              </w:rPr>
              <w:t xml:space="preserve">9 yo‘nalish; risk darajasi va nazorat sifati matritsasi; nazorat davri riskka bog‘langan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Germaniya</w:t>
            </w:r>
          </w:p>
        </w:tc>
        <w:tc>
          <w:tcPr/>
          <w:p>
            <w:pPr>
              <w:pStyle w:val="Compact"/>
              <w:spacing w:line="240" w:lineRule="auto"/>
              <w:ind w:firstLine="0"/>
              <w:jc w:val="left"/>
            </w:pPr>
            <w:r>
              <w:rPr>
                <w:rFonts w:ascii="Times New Roman" w:hAnsi="Times New Roman" w:cs="Times New Roman" w:eastAsia="Times New Roman"/>
                <w:sz w:val="22"/>
              </w:rPr>
              <w:t xml:space="preserve">BAKIS (1997)</w:t>
            </w:r>
          </w:p>
        </w:tc>
        <w:tc>
          <w:tcPr/>
          <w:p>
            <w:pPr>
              <w:pStyle w:val="Compact"/>
              <w:spacing w:line="240" w:lineRule="auto"/>
              <w:ind w:firstLine="0"/>
              <w:jc w:val="left"/>
            </w:pPr>
            <w:r>
              <w:rPr>
                <w:rFonts w:ascii="Times New Roman" w:hAnsi="Times New Roman" w:cs="Times New Roman" w:eastAsia="Times New Roman"/>
                <w:sz w:val="22"/>
              </w:rPr>
              <w:t xml:space="preserve">Koeffitsiyentlar va guruhlab tahlil</w:t>
            </w:r>
          </w:p>
        </w:tc>
        <w:tc>
          <w:tcPr/>
          <w:p>
            <w:pPr>
              <w:pStyle w:val="Compact"/>
              <w:spacing w:line="240" w:lineRule="auto"/>
              <w:ind w:firstLine="0"/>
              <w:jc w:val="left"/>
            </w:pPr>
            <w:r>
              <w:rPr>
                <w:rFonts w:ascii="Times New Roman" w:hAnsi="Times New Roman" w:cs="Times New Roman" w:eastAsia="Times New Roman"/>
                <w:sz w:val="22"/>
              </w:rPr>
              <w:t xml:space="preserve">47 ko‘rsatkich, teng vaznlar; guruh o‘rtachasi bilan taqqoslash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Fransiya</w:t>
            </w:r>
          </w:p>
        </w:tc>
        <w:tc>
          <w:tcPr/>
          <w:p>
            <w:pPr>
              <w:pStyle w:val="Compact"/>
              <w:spacing w:line="240" w:lineRule="auto"/>
              <w:ind w:firstLine="0"/>
              <w:jc w:val="left"/>
            </w:pPr>
            <w:r>
              <w:rPr>
                <w:rFonts w:ascii="Times New Roman" w:hAnsi="Times New Roman" w:cs="Times New Roman" w:eastAsia="Times New Roman"/>
                <w:sz w:val="22"/>
              </w:rPr>
              <w:t xml:space="preserve">ORAP (1997), SAABA</w:t>
            </w:r>
          </w:p>
        </w:tc>
        <w:tc>
          <w:tcPr/>
          <w:p>
            <w:pPr>
              <w:pStyle w:val="Compact"/>
              <w:spacing w:line="240" w:lineRule="auto"/>
              <w:ind w:firstLine="0"/>
              <w:jc w:val="left"/>
            </w:pPr>
            <w:r>
              <w:rPr>
                <w:rFonts w:ascii="Times New Roman" w:hAnsi="Times New Roman" w:cs="Times New Roman" w:eastAsia="Times New Roman"/>
                <w:sz w:val="22"/>
              </w:rPr>
              <w:t xml:space="preserve">Reyting va ekspert tizimi</w:t>
            </w:r>
          </w:p>
        </w:tc>
        <w:tc>
          <w:tcPr/>
          <w:p>
            <w:pPr>
              <w:pStyle w:val="Compact"/>
              <w:spacing w:line="240" w:lineRule="auto"/>
              <w:ind w:firstLine="0"/>
              <w:jc w:val="left"/>
            </w:pPr>
            <w:r>
              <w:rPr>
                <w:rFonts w:ascii="Times New Roman" w:hAnsi="Times New Roman" w:cs="Times New Roman" w:eastAsia="Times New Roman"/>
                <w:sz w:val="22"/>
              </w:rPr>
              <w:t xml:space="preserve">SAABA 25 ma’lumotlar bazasidan foydalanadi; 3 yillik to‘lov qobiliyati bahosi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Italiya</w:t>
            </w:r>
          </w:p>
        </w:tc>
        <w:tc>
          <w:tcPr/>
          <w:p>
            <w:pPr>
              <w:pStyle w:val="Compact"/>
              <w:spacing w:line="240" w:lineRule="auto"/>
              <w:ind w:firstLine="0"/>
              <w:jc w:val="left"/>
            </w:pPr>
            <w:r>
              <w:rPr>
                <w:rFonts w:ascii="Times New Roman" w:hAnsi="Times New Roman" w:cs="Times New Roman" w:eastAsia="Times New Roman"/>
                <w:sz w:val="22"/>
              </w:rPr>
              <w:t xml:space="preserve">PATROL (1993)</w:t>
            </w:r>
          </w:p>
        </w:tc>
        <w:tc>
          <w:tcPr/>
          <w:p>
            <w:pPr>
              <w:pStyle w:val="Compact"/>
              <w:spacing w:line="240" w:lineRule="auto"/>
              <w:ind w:firstLine="0"/>
              <w:jc w:val="left"/>
            </w:pPr>
            <w:r>
              <w:rPr>
                <w:rFonts w:ascii="Times New Roman" w:hAnsi="Times New Roman" w:cs="Times New Roman" w:eastAsia="Times New Roman"/>
                <w:sz w:val="22"/>
              </w:rPr>
              <w:t xml:space="preserve">Reyting</w:t>
            </w:r>
          </w:p>
        </w:tc>
        <w:tc>
          <w:tcPr/>
          <w:p>
            <w:pPr>
              <w:pStyle w:val="Compact"/>
              <w:spacing w:line="240" w:lineRule="auto"/>
              <w:ind w:firstLine="0"/>
              <w:jc w:val="left"/>
            </w:pPr>
            <w:r>
              <w:rPr>
                <w:rFonts w:ascii="Times New Roman" w:hAnsi="Times New Roman" w:cs="Times New Roman" w:eastAsia="Times New Roman"/>
                <w:sz w:val="22"/>
              </w:rPr>
              <w:t xml:space="preserve">Masofaviy nazorat va reyting</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Niderlandiya</w:t>
            </w:r>
          </w:p>
        </w:tc>
        <w:tc>
          <w:tcPr/>
          <w:p>
            <w:pPr>
              <w:pStyle w:val="Compact"/>
              <w:spacing w:line="240" w:lineRule="auto"/>
              <w:ind w:firstLine="0"/>
              <w:jc w:val="left"/>
            </w:pPr>
            <w:r>
              <w:rPr>
                <w:rFonts w:ascii="Times New Roman" w:hAnsi="Times New Roman" w:cs="Times New Roman" w:eastAsia="Times New Roman"/>
                <w:sz w:val="22"/>
              </w:rPr>
              <w:t xml:space="preserve">RAST</w:t>
            </w:r>
          </w:p>
        </w:tc>
        <w:tc>
          <w:tcPr/>
          <w:p>
            <w:pPr>
              <w:pStyle w:val="Compact"/>
              <w:spacing w:line="240" w:lineRule="auto"/>
              <w:ind w:firstLine="0"/>
              <w:jc w:val="left"/>
            </w:pPr>
            <w:r>
              <w:rPr>
                <w:rFonts w:ascii="Times New Roman" w:hAnsi="Times New Roman" w:cs="Times New Roman" w:eastAsia="Times New Roman"/>
                <w:sz w:val="22"/>
              </w:rPr>
              <w:t xml:space="preserve">Risklarni kompleks baholash</w:t>
            </w:r>
          </w:p>
        </w:tc>
        <w:tc>
          <w:tcPr/>
          <w:p>
            <w:pPr>
              <w:pStyle w:val="Compact"/>
              <w:spacing w:line="240" w:lineRule="auto"/>
              <w:ind w:firstLine="0"/>
              <w:jc w:val="left"/>
            </w:pPr>
            <w:r>
              <w:rPr>
                <w:rFonts w:ascii="Times New Roman" w:hAnsi="Times New Roman" w:cs="Times New Roman" w:eastAsia="Times New Roman"/>
                <w:sz w:val="22"/>
              </w:rPr>
              <w:t xml:space="preserve">Risklarni tahlil qilish va nazorat choralarini belgilash</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ko‘rib chiqilgan tizimlarning aksariyati 1990-yillarning ikkinchi yarmida joriy etilgan. Bu tasodif emas, albatta: aynan shu davrda Bazel qo‘mitasining samarali bank nazorati bo‘yicha asosiy tamoyillari qabul qilinib, nazoratning risklarga asoslangan yondashuvga o‘tishi boshlangan edi. Shu bilan birga, tizimlar o‘rtasida muhim farq ham ko‘zga tashlanadi. AQSh va Fransiya tizimlari asosan bankning o‘ziga baho beradi, Buyuk Britaniya va Niderlandiya tizimlari esa baho bilan birga nazorat organining keyingi harakatini ham belgilaydi.</w:t>
      </w:r>
    </w:p>
    <w:p>
      <w:pPr>
        <w:pStyle w:val="BodyText"/>
        <w:spacing w:line="360" w:lineRule="auto" w:before="0" w:after="0"/>
        <w:ind w:firstLine="709"/>
        <w:jc w:val="both"/>
      </w:pPr>
      <w:r>
        <w:rPr>
          <w:rFonts w:ascii="Times New Roman" w:hAnsi="Times New Roman" w:cs="Times New Roman" w:eastAsia="Times New Roman"/>
          <w:sz w:val="28"/>
        </w:rPr>
        <w:t xml:space="preserve">Ushbu tizimlar orasida eng ko‘p qatlamlisi AQSh tizimi hisoblanadi. Uning shakllanishi bevosita mamlakat bank inqirozlari tarixi bilan bog‘liq. J.M. Hendrickson ko‘rsatganidek, AQShda bank regulyatsiyasi «inqiroz – yangi qoida» sxemasi bo‘yicha, ya’ni sinov va xatolar orqali rivojlangan; 1929–1933-yillarda taxminan 10 ming bank, 2009-yilning o‘zida esa 140 bank inqirozga uchragan</w:t>
      </w:r>
      <w:r>
        <w:rPr>
          <w:rStyle w:val="FootnoteReference"/>
        </w:rPr>
        <w:footnoteReference w:id="23"/>
      </w:r>
      <w:r>
        <w:rPr>
          <w:rFonts w:ascii="Times New Roman" w:hAnsi="Times New Roman" w:cs="Times New Roman" w:eastAsia="Times New Roman"/>
          <w:sz w:val="28"/>
        </w:rPr>
        <w:t xml:space="preserve">. Har bir yirik inqiroz nazorat tizimiga yangi vositani olib kirgan, natijada bugungi kunda AQShda reyting, kapitalga asoslangan majburiy choralar, statistik modellar va stress-testlardan iborat to‘rt qatlamli tizim shakllangan.</w:t>
      </w:r>
    </w:p>
    <w:p>
      <w:pPr>
        <w:pStyle w:val="BodyText"/>
        <w:spacing w:line="360" w:lineRule="auto" w:before="0" w:after="0"/>
        <w:ind w:firstLine="709"/>
        <w:jc w:val="both"/>
      </w:pPr>
      <w:r>
        <w:rPr>
          <w:rFonts w:ascii="Times New Roman" w:hAnsi="Times New Roman" w:cs="Times New Roman" w:eastAsia="Times New Roman"/>
          <w:sz w:val="28"/>
        </w:rPr>
        <w:t xml:space="preserve">Bu tizimning birinchi qatlamini CAMELS reyting tizimi tashkil etadi. U 1978-yilda Moliya institutlari federal ekspertiza kengashi tomonidan yaratilgan bo‘lib, 1997-yildan unga bozor riskiga sezgirlik komponenti qo‘shilgan</w:t>
      </w:r>
      <w:r>
        <w:rPr>
          <w:rStyle w:val="FootnoteReference"/>
        </w:rPr>
        <w:footnoteReference w:id="24"/>
      </w:r>
      <w:r>
        <w:rPr>
          <w:rFonts w:ascii="Times New Roman" w:hAnsi="Times New Roman" w:cs="Times New Roman" w:eastAsia="Times New Roman"/>
          <w:sz w:val="28"/>
        </w:rPr>
        <w:t xml:space="preserve">. Har bir komponent 1 (eng yaxshi) dan 5 (eng yomon) gacha baholanadi. Ta’kidlash lozimki, T.F. Cargill fikricha, yig‘ma ball komponentlarning oddiy o‘rtachasi emas, balki tekshiruv guruhining umumiy bahosidir; 3, 4 yoki 5 ball olgan bank «muammoli banklar» ro‘yxatiga kiritiladi, ballarning o‘zi esa omonatchilar orasida vahima chiqarmaslik uchun oshkor qilinmaydi</w:t>
      </w:r>
      <w:r>
        <w:rPr>
          <w:rStyle w:val="FootnoteReference"/>
        </w:rPr>
        <w:footnoteReference w:id="25"/>
      </w:r>
      <w:r>
        <w:rPr>
          <w:rFonts w:ascii="Times New Roman" w:hAnsi="Times New Roman" w:cs="Times New Roman" w:eastAsia="Times New Roman"/>
          <w:sz w:val="28"/>
        </w:rPr>
        <w:t xml:space="preserve">. Demak, CAMELS tizimi ichki nazorat vositasi bo‘lib, bozor intizomini kuchaytirishga xizmat qilmaydi.</w:t>
      </w:r>
    </w:p>
    <w:p>
      <w:pPr>
        <w:pStyle w:val="BodyText"/>
        <w:spacing w:line="360" w:lineRule="auto" w:before="0" w:after="0"/>
        <w:ind w:firstLine="709"/>
        <w:jc w:val="both"/>
      </w:pPr>
      <w:r>
        <w:rPr>
          <w:rFonts w:ascii="Times New Roman" w:hAnsi="Times New Roman" w:cs="Times New Roman" w:eastAsia="Times New Roman"/>
          <w:sz w:val="28"/>
        </w:rPr>
        <w:t xml:space="preserve">Reyting tizimining bu cheklovi 1980-yillarda yaqqol namoyon bo‘ldi. Jamg‘arma va kredit muassasalari inqirozi soliq to‘lovchilarga 214 mlrd dollarga tushgach, nazorat organlarining kechikib harakat qilishiga barham berish maqsadida kapital yetarliligiga asoslangan tezkor tuzatuvchi choralar tizimi joriy etildi</w:t>
      </w:r>
      <w:r>
        <w:rPr>
          <w:rStyle w:val="FootnoteReference"/>
        </w:rPr>
        <w:footnoteReference w:id="26"/>
      </w:r>
      <w:r>
        <w:rPr>
          <w:rFonts w:ascii="Times New Roman" w:hAnsi="Times New Roman" w:cs="Times New Roman" w:eastAsia="Times New Roman"/>
          <w:sz w:val="28"/>
        </w:rPr>
        <w:t xml:space="preserve">. Unga ko‘ra banklar kapital darajasiga qarab besh toifaga ajratiladi va har bir toifaga majburiy nazorat choralari biriktiriladi (1.3.2-rasm).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76000" cy="2376000"/>
                <wp:effectExtent l="0" t="0" r="0" b="0"/>
                <wp:docPr id="1002" name="1.3.2-rasm"/>
                <wp:cNvGraphicFramePr/>
                <a:graphic>
                  <a:graphicData uri="http://schemas.microsoft.com/office/word/2010/wordprocessingGroup">
                    <wpg:wgp>
                      <wpg:cNvGrpSpPr/>
                      <wpg:grpSpPr>
                        <a:xfrm>
                          <a:off x="0" y="0"/>
                          <a:ext cx="5976000" cy="2376000"/>
                          <a:chOff x="0" y="0"/>
                          <a:chExt cx="5976000" cy="2376000"/>
                        </a:xfrm>
                      </wpg:grpSpPr>
                      <wps:wsp>
                        <wps:cNvPr id="16" name="Shape 16"/>
                        <wps:cNvSpPr/>
                        <wps:spPr>
                          <a:xfrm>
                            <a:off x="36000" y="36000"/>
                            <a:ext cx="1656000" cy="39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Yaxshi kapitallashgan</w:t>
                              </w:r>
                            </w:p>
                          </w:txbxContent>
                        </wps:txbx>
                        <wps:bodyPr rot="0" vert="horz" wrap="square" lIns="36000" tIns="18000" rIns="36000" bIns="18000" anchor="ctr" anchorCtr="0">
                          <a:noAutofit/>
                        </wps:bodyPr>
                      </wps:wsp>
                      <wps:wsp>
                        <wps:cNvPr id="17" name="Shape 17"/>
                        <wps:cNvSpPr/>
                        <wps:spPr>
                          <a:xfrm>
                            <a:off x="1746000" y="36000"/>
                            <a:ext cx="1944000" cy="396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Jami kapital ≥ 10%; 1-darajali ≥ 6%; leverej ≥ 5%</w:t>
                              </w:r>
                            </w:p>
                          </w:txbxContent>
                        </wps:txbx>
                        <wps:bodyPr rot="0" vert="horz" wrap="square" lIns="36000" tIns="18000" rIns="36000" bIns="18000" anchor="ctr" anchorCtr="0">
                          <a:noAutofit/>
                        </wps:bodyPr>
                      </wps:wsp>
                      <wps:wsp>
                        <wps:cNvPr id="18" name="Shape 18"/>
                        <wps:cNvSpPr/>
                        <wps:spPr>
                          <a:xfrm>
                            <a:off x="3744000" y="36000"/>
                            <a:ext cx="2088000" cy="396000"/>
                          </a:xfrm>
                          <a:prstGeom prst="roundRect">
                            <a:avLst>
                              <a:gd name="adj" fmla="val 10000"/>
                            </a:avLst>
                          </a:prstGeom>
                          <a:solidFill>
                            <a:srgbClr val="FFFFFF"/>
                          </a:solidFill>
                          <a:ln w="12700">
                            <a:solidFill>
                              <a:srgbClr val="70AD47"/>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Cheklovlar yo‘q</w:t>
                              </w:r>
                            </w:p>
                          </w:txbxContent>
                        </wps:txbx>
                        <wps:bodyPr rot="0" vert="horz" wrap="square" lIns="36000" tIns="18000" rIns="36000" bIns="18000" anchor="ctr" anchorCtr="0">
                          <a:noAutofit/>
                        </wps:bodyPr>
                      </wps:wsp>
                      <wps:wsp>
                        <wps:cNvPr id="19" name="Shape 19"/>
                        <wps:cNvSpPr/>
                        <wps:spPr>
                          <a:xfrm>
                            <a:off x="180000" y="504000"/>
                            <a:ext cx="1656000" cy="396000"/>
                          </a:xfrm>
                          <a:prstGeom prst="roundRect">
                            <a:avLst>
                              <a:gd name="adj" fmla="val 10000"/>
                            </a:avLst>
                          </a:prstGeom>
                          <a:solidFill>
                            <a:srgbClr val="9DC3E6"/>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Yetarli kapitallashgan</w:t>
                              </w:r>
                            </w:p>
                          </w:txbxContent>
                        </wps:txbx>
                        <wps:bodyPr rot="0" vert="horz" wrap="square" lIns="36000" tIns="18000" rIns="36000" bIns="18000" anchor="ctr" anchorCtr="0">
                          <a:noAutofit/>
                        </wps:bodyPr>
                      </wps:wsp>
                      <wps:wsp>
                        <wps:cNvPr id="20" name="Shape 20"/>
                        <wps:cNvSpPr/>
                        <wps:spPr>
                          <a:xfrm>
                            <a:off x="1890000" y="504000"/>
                            <a:ext cx="1944000" cy="396000"/>
                          </a:xfrm>
                          <a:prstGeom prst="roundRect">
                            <a:avLst>
                              <a:gd name="adj" fmla="val 10000"/>
                            </a:avLst>
                          </a:prstGeom>
                          <a:solidFill>
                            <a:srgbClr val="F2F2F2"/>
                          </a:solidFill>
                          <a:ln w="12700">
                            <a:solidFill>
                              <a:srgbClr val="9DC3E6"/>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Jami kapital ≥ 8%; 1-darajali ≥ 4%; leverej ≥ 4%</w:t>
                              </w:r>
                            </w:p>
                          </w:txbxContent>
                        </wps:txbx>
                        <wps:bodyPr rot="0" vert="horz" wrap="square" lIns="36000" tIns="18000" rIns="36000" bIns="18000" anchor="ctr" anchorCtr="0">
                          <a:noAutofit/>
                        </wps:bodyPr>
                      </wps:wsp>
                      <wps:wsp>
                        <wps:cNvPr id="21" name="Shape 21"/>
                        <wps:cNvSpPr/>
                        <wps:spPr>
                          <a:xfrm>
                            <a:off x="3888000" y="504000"/>
                            <a:ext cx="1944000" cy="396000"/>
                          </a:xfrm>
                          <a:prstGeom prst="roundRect">
                            <a:avLst>
                              <a:gd name="adj" fmla="val 10000"/>
                            </a:avLst>
                          </a:prstGeom>
                          <a:solidFill>
                            <a:srgbClr val="FFFFFF"/>
                          </a:solidFill>
                          <a:ln w="12700">
                            <a:solidFill>
                              <a:srgbClr val="9DC3E6"/>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Broker depozitlarini jalb qilish cheklanadi</w:t>
                              </w:r>
                            </w:p>
                          </w:txbxContent>
                        </wps:txbx>
                        <wps:bodyPr rot="0" vert="horz" wrap="square" lIns="36000" tIns="18000" rIns="36000" bIns="18000" anchor="ctr" anchorCtr="0">
                          <a:noAutofit/>
                        </wps:bodyPr>
                      </wps:wsp>
                      <wps:wsp>
                        <wps:cNvPr id="22" name="Shape 22"/>
                        <wps:cNvSpPr/>
                        <wps:spPr>
                          <a:xfrm>
                            <a:off x="324000" y="972000"/>
                            <a:ext cx="1656000" cy="396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Kapitali yetarli emas</w:t>
                              </w:r>
                            </w:p>
                          </w:txbxContent>
                        </wps:txbx>
                        <wps:bodyPr rot="0" vert="horz" wrap="square" lIns="36000" tIns="18000" rIns="36000" bIns="18000" anchor="ctr" anchorCtr="0">
                          <a:noAutofit/>
                        </wps:bodyPr>
                      </wps:wsp>
                      <wps:wsp>
                        <wps:cNvPr id="23" name="Shape 23"/>
                        <wps:cNvSpPr/>
                        <wps:spPr>
                          <a:xfrm>
                            <a:off x="2034000" y="972000"/>
                            <a:ext cx="1944000" cy="396000"/>
                          </a:xfrm>
                          <a:prstGeom prst="roundRect">
                            <a:avLst>
                              <a:gd name="adj" fmla="val 10000"/>
                            </a:avLst>
                          </a:prstGeom>
                          <a:solidFill>
                            <a:srgbClr val="F2F2F2"/>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Jami kapital &lt; 8%; 1-darajali &lt; 4%; leverej &lt; 4%</w:t>
                              </w:r>
                            </w:p>
                          </w:txbxContent>
                        </wps:txbx>
                        <wps:bodyPr rot="0" vert="horz" wrap="square" lIns="36000" tIns="18000" rIns="36000" bIns="18000" anchor="ctr" anchorCtr="0">
                          <a:noAutofit/>
                        </wps:bodyPr>
                      </wps:wsp>
                      <wps:wsp>
                        <wps:cNvPr id="24" name="Shape 24"/>
                        <wps:cNvSpPr/>
                        <wps:spPr>
                          <a:xfrm>
                            <a:off x="4032000" y="972000"/>
                            <a:ext cx="1800000" cy="396000"/>
                          </a:xfrm>
                          <a:prstGeom prst="roundRect">
                            <a:avLst>
                              <a:gd name="adj" fmla="val 10000"/>
                            </a:avLst>
                          </a:prstGeom>
                          <a:solidFill>
                            <a:srgbClr val="FFFFFF"/>
                          </a:solidFill>
                          <a:ln w="12700">
                            <a:solidFill>
                              <a:srgbClr val="FFC000"/>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Kapitalni tiklash rejasi; aktivlar o‘sishi va dividendlar cheklanadi</w:t>
                              </w:r>
                            </w:p>
                          </w:txbxContent>
                        </wps:txbx>
                        <wps:bodyPr rot="0" vert="horz" wrap="square" lIns="36000" tIns="18000" rIns="36000" bIns="18000" anchor="ctr" anchorCtr="0">
                          <a:noAutofit/>
                        </wps:bodyPr>
                      </wps:wsp>
                      <wps:wsp>
                        <wps:cNvPr id="25" name="Shape 25"/>
                        <wps:cNvSpPr/>
                        <wps:spPr>
                          <a:xfrm>
                            <a:off x="468000" y="1440000"/>
                            <a:ext cx="1656000" cy="39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Kapitali sezilarli yetarli emas</w:t>
                              </w:r>
                            </w:p>
                          </w:txbxContent>
                        </wps:txbx>
                        <wps:bodyPr rot="0" vert="horz" wrap="square" lIns="36000" tIns="18000" rIns="36000" bIns="18000" anchor="ctr" anchorCtr="0">
                          <a:noAutofit/>
                        </wps:bodyPr>
                      </wps:wsp>
                      <wps:wsp>
                        <wps:cNvPr id="26" name="Shape 26"/>
                        <wps:cNvSpPr/>
                        <wps:spPr>
                          <a:xfrm>
                            <a:off x="2178000" y="1440000"/>
                            <a:ext cx="1944000" cy="39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Jami kapital &lt; 6%; 1-darajali &lt; 3%; leverej &lt; 3%</w:t>
                              </w:r>
                            </w:p>
                          </w:txbxContent>
                        </wps:txbx>
                        <wps:bodyPr rot="0" vert="horz" wrap="square" lIns="36000" tIns="18000" rIns="36000" bIns="18000" anchor="ctr" anchorCtr="0">
                          <a:noAutofit/>
                        </wps:bodyPr>
                      </wps:wsp>
                      <wps:wsp>
                        <wps:cNvPr id="27" name="Shape 27"/>
                        <wps:cNvSpPr/>
                        <wps:spPr>
                          <a:xfrm>
                            <a:off x="4176000" y="1440000"/>
                            <a:ext cx="1656000" cy="396000"/>
                          </a:xfrm>
                          <a:prstGeom prst="roundRect">
                            <a:avLst>
                              <a:gd name="adj" fmla="val 10000"/>
                            </a:avLst>
                          </a:prstGeom>
                          <a:solidFill>
                            <a:srgbClr val="FFFFFF"/>
                          </a:solidFill>
                          <a:ln w="12700">
                            <a:solidFill>
                              <a:srgbClr val="EB6834"/>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Rahbariyat almashtirilishi, faoliyat cheklanishi mumkin</w:t>
                              </w:r>
                            </w:p>
                          </w:txbxContent>
                        </wps:txbx>
                        <wps:bodyPr rot="0" vert="horz" wrap="square" lIns="36000" tIns="18000" rIns="36000" bIns="18000" anchor="ctr" anchorCtr="0">
                          <a:noAutofit/>
                        </wps:bodyPr>
                      </wps:wsp>
                      <wps:wsp>
                        <wps:cNvPr id="28" name="Shape 28"/>
                        <wps:cNvSpPr/>
                        <wps:spPr>
                          <a:xfrm>
                            <a:off x="612000" y="1908000"/>
                            <a:ext cx="1656000" cy="396000"/>
                          </a:xfrm>
                          <a:prstGeom prst="roundRect">
                            <a:avLst>
                              <a:gd name="adj" fmla="val 10000"/>
                            </a:avLst>
                          </a:prstGeom>
                          <a:solidFill>
                            <a:srgbClr val="C00000"/>
                          </a:solidFill>
                          <a:ln w="12700">
                            <a:solidFill>
                              <a:srgbClr val="C00000"/>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Kapitali keskin yetarli emas</w:t>
                              </w:r>
                            </w:p>
                          </w:txbxContent>
                        </wps:txbx>
                        <wps:bodyPr rot="0" vert="horz" wrap="square" lIns="36000" tIns="18000" rIns="36000" bIns="18000" anchor="ctr" anchorCtr="0">
                          <a:noAutofit/>
                        </wps:bodyPr>
                      </wps:wsp>
                      <wps:wsp>
                        <wps:cNvPr id="29" name="Shape 29"/>
                        <wps:cNvSpPr/>
                        <wps:spPr>
                          <a:xfrm>
                            <a:off x="2322000" y="1908000"/>
                            <a:ext cx="1944000" cy="396000"/>
                          </a:xfrm>
                          <a:prstGeom prst="roundRect">
                            <a:avLst>
                              <a:gd name="adj" fmla="val 10000"/>
                            </a:avLst>
                          </a:prstGeom>
                          <a:solidFill>
                            <a:srgbClr val="F2F2F2"/>
                          </a:solidFill>
                          <a:ln w="12700">
                            <a:solidFill>
                              <a:srgbClr val="C00000"/>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Moddiy kapital ≤ 2%</w:t>
                              </w:r>
                            </w:p>
                          </w:txbxContent>
                        </wps:txbx>
                        <wps:bodyPr rot="0" vert="horz" wrap="square" lIns="36000" tIns="18000" rIns="36000" bIns="18000" anchor="ctr" anchorCtr="0">
                          <a:noAutofit/>
                        </wps:bodyPr>
                      </wps:wsp>
                      <wps:wsp>
                        <wps:cNvPr id="30" name="Shape 30"/>
                        <wps:cNvSpPr/>
                        <wps:spPr>
                          <a:xfrm>
                            <a:off x="4320000" y="1908000"/>
                            <a:ext cx="1512000" cy="396000"/>
                          </a:xfrm>
                          <a:prstGeom prst="roundRect">
                            <a:avLst>
                              <a:gd name="adj" fmla="val 10000"/>
                            </a:avLst>
                          </a:prstGeom>
                          <a:solidFill>
                            <a:srgbClr val="FFFFFF"/>
                          </a:solidFill>
                          <a:ln w="12700">
                            <a:solidFill>
                              <a:srgbClr val="C00000"/>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Vaqtinchalik boshqaruv yoki tugatish</w:t>
                              </w:r>
                            </w:p>
                          </w:txbxContent>
                        </wps:txbx>
                        <wps:bodyPr rot="0" vert="horz" wrap="square" lIns="36000" tIns="18000" rIns="36000" bIns="18000" anchor="ctr" anchorCtr="0">
                          <a:noAutofit/>
                        </wps:bodyPr>
                      </wps:wsp>
                      <wps:wsp>
                        <wps:cNvPr id="31" name="Connector 31"/>
                        <wps:cNvCnPr/>
                        <wps:spPr>
                          <a:xfrm>
                            <a:off x="5922000" y="72000"/>
                            <a:ext cx="0" cy="2196000"/>
                          </a:xfrm>
                          <a:prstGeom prst="straightConnector1">
                            <a:avLst/>
                          </a:prstGeom>
                          <a:ln w="28575">
                            <a:solidFill>
                              <a:srgbClr val="C00000"/>
                            </a:solidFill>
                            <a:tailEnd type="triangle" w="med" len="med"/>
                          </a:ln>
                        </wps:spPr>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1.3.2-rasm. AQShda tezkor tuzatuvchi choralar tizimining kapital chegaralari</w:t>
      </w:r>
      <w:r>
        <w:rPr>
          <w:rStyle w:val="FootnoteReference"/>
        </w:rPr>
        <w:footnoteReference w:id="27"/>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tizim kapital ko‘rsatkichini «bajarildi – bajarilmadi» degan ikkilik mezon bilan emas, balki besh pog‘onali shkala bilan baholaydi va har bir pog‘onani aniq nazorat oqibatlari bilan bog‘laydi. Bank kapitali pasaygan sari nazorat organining harakat erkinligi torayib, aralashuv majburiy tus oladi. Bunda faqat kapital yetarliligi emas, leverej koeffitsiyenti ham hisobga olinadi. D.K. Tarullo ma’lumotiga ko‘ra, leverej 4 foizdan past bo‘lsa aralashuv, 3 foizdan past bo‘lsa kuchli choralar boshlanadi, 2 foizdan past leverej esa bankrotlikka yaqinlik bilan kuchli korrelyatsiyaga ega</w:t>
      </w:r>
      <w:r>
        <w:rPr>
          <w:rStyle w:val="FootnoteReference"/>
        </w:rPr>
        <w:footnoteReference w:id="28"/>
      </w:r>
      <w:r>
        <w:rPr>
          <w:rFonts w:ascii="Times New Roman" w:hAnsi="Times New Roman" w:cs="Times New Roman" w:eastAsia="Times New Roman"/>
          <w:sz w:val="28"/>
        </w:rPr>
        <w:t xml:space="preserve">. Muallif fikricha, baholash natijasini nazorat qarori bilan avtomatik bog‘lash tamoyili O‘zbekiston uchun PCA tizimining eng qimmatli jihati hisoblanadi.</w:t>
      </w:r>
    </w:p>
    <w:p>
      <w:pPr>
        <w:pStyle w:val="BodyText"/>
        <w:spacing w:line="360" w:lineRule="auto" w:before="0" w:after="0"/>
        <w:ind w:firstLine="709"/>
        <w:jc w:val="both"/>
      </w:pPr>
      <w:r>
        <w:rPr>
          <w:rFonts w:ascii="Times New Roman" w:hAnsi="Times New Roman" w:cs="Times New Roman" w:eastAsia="Times New Roman"/>
          <w:sz w:val="28"/>
        </w:rPr>
        <w:t xml:space="preserve">Biroq kapitalga asoslangan choralar ham muammo yuzaga kelgandan keyin ishga tushadi. Shu sababli AQSh Federal rezerv tizimi uchinchi qatlam sifatida bankning kelgusidagi holatini bashorat qiluvchi statistik modellarni ishlab chiqdi. Ulardan biri FIMS modeli bo‘lib, u CAMELS reytingining pasayishi va bankrotlik ehtimolini baholaydi. O.I. Lavrushin va I.D. Mamonova keltirgan ma’lumotlarga ko‘ra, 48 306 kuzatuv asosida sinovdan o‘tkazilgan FIMS modeli avvalgi UBSS tizimiga nisbatan bashorat aniqligini sezilarli oshirgan</w:t>
      </w:r>
      <w:r>
        <w:rPr>
          <w:rStyle w:val="FootnoteReference"/>
        </w:rPr>
        <w:footnoteReference w:id="29"/>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(1.3.3-rasm).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3" name="1.3.3-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1.3.3-rasm. AQShda FIMS va UBSS modellarining bashorat aniqligi, %</w:t>
      </w:r>
      <w:r>
        <w:rPr>
          <w:rStyle w:val="FootnoteReference"/>
        </w:rPr>
        <w:footnoteReference w:id="30"/>
      </w:r>
    </w:p>
    <w:p>
      <w:pPr>
        <w:pStyle w:val="BodyText"/>
        <w:spacing w:line="360" w:lineRule="auto" w:before="0" w:after="0"/>
        <w:ind w:firstLine="709"/>
        <w:jc w:val="both"/>
      </w:pPr>
      <w:r>
        <w:rPr>
          <w:rFonts w:ascii="Times New Roman" w:hAnsi="Times New Roman" w:cs="Times New Roman" w:eastAsia="Times New Roman"/>
          <w:sz w:val="28"/>
        </w:rPr>
        <w:t xml:space="preserve">Rasm ma’lumotlari FIMS modeli to‘g‘ri bashorat ulushini 50 foizdan 74,6 foizga oshirganini, birinchi tur xatosini, ya’ni muammoli bankni sog‘lom deb topish holatlarini esa 32,7 foizdan 17 foizgacha kamaytirganini ko‘rsatadi. Bu natijaga erishishda bitta metodik yechim muhim rol o‘ynagan: qoniqarli va qoniqarsiz holat chegarasi 2,5 balldan 2,3 ballgacha tushirilgan. Bu yechim nazorat uchun eng xavfli bo‘lgan birinchi tur xatosini kamaytirishga qaratilgan edi, biroq natijada ikkinchi tur xatosi ham 12,2 foizdan 7,4 foizgacha qisqargan. Bu yechim integral baholash metodikasida chegara qiymatlarni tanlash xatolar narxini hisobga olgan holda amalga oshirilishi kerakligini ko‘rsatadi.</w:t>
      </w:r>
    </w:p>
    <w:p>
      <w:pPr>
        <w:pStyle w:val="BodyText"/>
        <w:spacing w:line="360" w:lineRule="auto" w:before="0" w:after="0"/>
        <w:ind w:firstLine="709"/>
        <w:jc w:val="both"/>
      </w:pPr>
      <w:r>
        <w:rPr>
          <w:rFonts w:ascii="Times New Roman" w:hAnsi="Times New Roman" w:cs="Times New Roman" w:eastAsia="Times New Roman"/>
          <w:sz w:val="28"/>
        </w:rPr>
        <w:t xml:space="preserve">To‘rtinchi qatlam – nazorat stress-testlari – 2008-yilgi inqirozdan keyin shakllandi. 2010-yildagi Dodd-Frank qonuni aktivlari 50 mlrd dollardan ortiq bank xolding kompaniyalari uchun yillik nazorat stress-testini majburiy qildi. Test 9 choraklik gorizontda bazaviy, salbiy va keskin salbiy ssenariylar bo‘yicha o‘tkaziladi. E’tiborli jihati shundaki, CAMELS reytingidan farqli o‘laroq, stress-test natijalari ommaga e’lon qilinadi</w:t>
      </w:r>
      <w:r>
        <w:rPr>
          <w:rStyle w:val="FootnoteReference"/>
        </w:rPr>
        <w:footnoteReference w:id="31"/>
      </w:r>
      <w:r>
        <w:rPr>
          <w:rFonts w:ascii="Times New Roman" w:hAnsi="Times New Roman" w:cs="Times New Roman" w:eastAsia="Times New Roman"/>
          <w:sz w:val="28"/>
        </w:rPr>
        <w:t xml:space="preserve">. Shu tariqa AQSh nazorati yopiq baholashdan ochiq baholashga qarab qadam qo‘ydi va bozor intizomini nazorat vositasi sifatida ishga soldi.</w:t>
      </w:r>
    </w:p>
    <w:p>
      <w:pPr>
        <w:pStyle w:val="BodyText"/>
        <w:spacing w:line="360" w:lineRule="auto" w:before="0" w:after="0"/>
        <w:ind w:firstLine="709"/>
        <w:jc w:val="both"/>
      </w:pPr>
      <w:r>
        <w:rPr>
          <w:rFonts w:ascii="Times New Roman" w:hAnsi="Times New Roman" w:cs="Times New Roman" w:eastAsia="Times New Roman"/>
          <w:sz w:val="28"/>
        </w:rPr>
        <w:t xml:space="preserve">AQSh baholash tizimi hozir ham o‘zgarishda davom etmoqda. 2023-yil bahorida Silicon Valley Bank va boshqa o‘rta banklar inqirozidan keyin nazoratning samaradorligi qayta ko‘rib chiqildi, biroq keyingi islohotlar asosan nazorat bahosini moliyaviy risklarga yanada yaqinlashtirish yo‘nalishida bormoqda. Federal rezerv tizimi 2025-yil noyabrida yirik moliya institutlari reyting tizimiga o‘zgartirish kiritib, «yaxshi boshqariladigan» bank ta’rifini yumshatdi: endi bitta komponent bo‘yicha qoniqarsiz baho bankni bu toifadan chiqarib yubormaydi</w:t>
      </w:r>
      <w:r>
        <w:rPr>
          <w:rStyle w:val="FootnoteReference"/>
        </w:rPr>
        <w:footnoteReference w:id="32"/>
      </w:r>
      <w:r>
        <w:rPr>
          <w:rFonts w:ascii="Times New Roman" w:hAnsi="Times New Roman" w:cs="Times New Roman" w:eastAsia="Times New Roman"/>
          <w:sz w:val="28"/>
        </w:rPr>
        <w:t xml:space="preserve">. 2026-yil mayida esa Moliya institutlari federal ekspertiza kengashi CAMELS tizimini 1996-yildan buyon birinchi marta tubdan qayta ko‘rib chiqishni taklif qildi. Taklifga ko‘ra, yig‘ma bahoda boshqaruv komponentiga berilgan alohida ustunlik bekor qilinadi, boshqaruv bo‘yicha 3 va undan past baho esa faqat jiddiy moliyaviy risk mavjud bo‘lgandagina qo‘yiladi</w:t>
      </w:r>
      <w:r>
        <w:rPr>
          <w:rStyle w:val="FootnoteReference"/>
        </w:rPr>
        <w:footnoteReference w:id="33"/>
      </w:r>
      <w:r>
        <w:rPr>
          <w:rFonts w:ascii="Times New Roman" w:hAnsi="Times New Roman" w:cs="Times New Roman" w:eastAsia="Times New Roman"/>
          <w:sz w:val="28"/>
        </w:rPr>
        <w:t xml:space="preserve">. Stress-testlar ham isloh qilindi: 2026-yil sentabrida qabul qilingan qoidalarga ko‘ra, ssenariylar va modellar har yili jamoatchilik muhokamasiga qo‘yiladi, stress-test asosidagi kapital buferi esa ikki yillik natijalarning o‘rtachasi bo‘yicha belgilanadi</w:t>
      </w:r>
      <w:r>
        <w:rPr>
          <w:rStyle w:val="FootnoteReference"/>
        </w:rPr>
        <w:footnoteReference w:id="34"/>
      </w:r>
      <w:r>
        <w:rPr>
          <w:rFonts w:ascii="Times New Roman" w:hAnsi="Times New Roman" w:cs="Times New Roman" w:eastAsia="Times New Roman"/>
          <w:sz w:val="28"/>
        </w:rPr>
        <w:t xml:space="preserve">. Nihoyat, 2026-yil martida Bazel III ning yakuniy standartlarini joriy etish bo‘yicha qayta ishlangan takliflar e’lon qilindi; ular faqat eng yirik banklarga tatbiq etilishi va umumiy kapital talablarini biroz pasaytirishi kutilmoqda</w:t>
      </w:r>
      <w:r>
        <w:rPr>
          <w:rStyle w:val="FootnoteReference"/>
        </w:rPr>
        <w:footnoteReference w:id="35"/>
      </w:r>
      <w:r>
        <w:rPr>
          <w:rFonts w:ascii="Times New Roman" w:hAnsi="Times New Roman" w:cs="Times New Roman" w:eastAsia="Times New Roman"/>
          <w:sz w:val="28"/>
        </w:rPr>
        <w:t xml:space="preserve">. Ushbu islohotlar baholash natijasini nazorat qarori bilan bog‘lash tamoyili saqlanib qolgan holda, uning mezonlari moliyaviy ko‘rsatkichlarga ko‘proq tayanadigan bo‘lib borayotganini ko‘rsatadi.</w:t>
      </w:r>
    </w:p>
    <w:p>
      <w:pPr>
        <w:pStyle w:val="BodyText"/>
        <w:spacing w:line="360" w:lineRule="auto" w:before="0" w:after="0"/>
        <w:ind w:firstLine="709"/>
        <w:jc w:val="both"/>
      </w:pPr>
      <w:r>
        <w:rPr>
          <w:rFonts w:ascii="Times New Roman" w:hAnsi="Times New Roman" w:cs="Times New Roman" w:eastAsia="Times New Roman"/>
          <w:sz w:val="28"/>
        </w:rPr>
        <w:t xml:space="preserve">Shu bilan birga, AQSh tajribasi tartibga solish maqsadlari o‘rtasidagi ziddiyatni ham namoyon etadi. J.M. Hendrickson qayd etishicha, kam daromadli aholini kreditlashni talab qiluvchi CRA qonuni bank kapitaliga qo‘yiladigan talablarga zid keladi: tavakkalchilik bilan kreditlash CRA reytingini yaxshilaydi, ammo CAMELS reytingini yomonlashtiradi; 1993–2007-yillarda 3,5 trln dollardan ortiq CRA kreditlari berilgan</w:t>
      </w:r>
      <w:r>
        <w:rPr>
          <w:rStyle w:val="FootnoteReference"/>
        </w:rPr>
        <w:footnoteReference w:id="36"/>
      </w:r>
      <w:r>
        <w:rPr>
          <w:rFonts w:ascii="Times New Roman" w:hAnsi="Times New Roman" w:cs="Times New Roman" w:eastAsia="Times New Roman"/>
          <w:sz w:val="28"/>
        </w:rPr>
        <w:t xml:space="preserve">. Bu xulosa davlat dasturlari bo‘yicha kreditlash ulushi yuqori bo‘lgan O‘zbekiston bank tizimi uchun ham dolzarbdir, chunki ijtimoiy maqsadlardagi kreditlash bank barqarorligi ko‘rsatkichlariga ta’sir qilmay qolmaydi.</w:t>
      </w:r>
    </w:p>
    <w:p>
      <w:pPr>
        <w:pStyle w:val="BodyText"/>
        <w:spacing w:line="360" w:lineRule="auto" w:before="0" w:after="0"/>
        <w:ind w:firstLine="709"/>
        <w:jc w:val="both"/>
      </w:pPr>
      <w:r>
        <w:rPr>
          <w:rFonts w:ascii="Times New Roman" w:hAnsi="Times New Roman" w:cs="Times New Roman" w:eastAsia="Times New Roman"/>
          <w:sz w:val="28"/>
        </w:rPr>
        <w:t xml:space="preserve">AQShdan farqli ravishda, G‘arbiy Yevropa mamlakatlari nazoratni risklarga asoslangan holda tashkil etishga ko‘proq e’tibor qaratgan. Bu yo‘nalishda Buyuk Britaniya tajribasi alohida o‘rin tutadi. Angliya banki 1997-yildan BAITE tizimini qo‘llab kelmoqda. U uch blokdan, ya’ni risklarni baholash, nazorat vositalari va samaradorlikni baholashdan iborat bo‘lib, to‘qqiz yo‘nalish bo‘yicha risklarni tahlil qiladi</w:t>
      </w:r>
      <w:r>
        <w:rPr>
          <w:rStyle w:val="FootnoteReference"/>
        </w:rPr>
        <w:footnoteReference w:id="37"/>
      </w:r>
      <w:r>
        <w:rPr>
          <w:rFonts w:ascii="Times New Roman" w:hAnsi="Times New Roman" w:cs="Times New Roman" w:eastAsia="Times New Roman"/>
          <w:sz w:val="28"/>
        </w:rPr>
        <w:t xml:space="preserve">. Keyinchalik joriy etilgan RATE tizimi CAMEL-B omillari (kapital, aktivlar, bozor riski, foyda, majburiyatlar, biznes) va COM omillari (nazorat, tashkiliy tuzilma, boshqaruv) asosida yagona ball chiqaradi, nazorat davri esa 6 oydan 3 yilgacha belgilanadi</w:t>
      </w:r>
      <w:r>
        <w:rPr>
          <w:rStyle w:val="FootnoteReference"/>
        </w:rPr>
        <w:footnoteReference w:id="38"/>
      </w:r>
      <w:r>
        <w:rPr>
          <w:rFonts w:ascii="Times New Roman" w:hAnsi="Times New Roman" w:cs="Times New Roman" w:eastAsia="Times New Roman"/>
          <w:sz w:val="28"/>
        </w:rPr>
        <w:t xml:space="preserve">. Britaniya tizimining eng muhim xususiyati shundaki, bankning risk darajasi va undagi nazorat sifati bir matritsada birlashtirilib, nazorat intensivligi shu matritsa asosida belgilanadi (1.3.4-rasm).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448000"/>
                <wp:effectExtent l="0" t="0" r="0" b="0"/>
                <wp:docPr id="1004" name="1.3.4-rasm"/>
                <wp:cNvGraphicFramePr/>
                <a:graphic>
                  <a:graphicData uri="http://schemas.microsoft.com/office/word/2010/wordprocessingGroup">
                    <wpg:wgp>
                      <wpg:cNvGrpSpPr/>
                      <wpg:grpSpPr>
                        <a:xfrm>
                          <a:off x="0" y="0"/>
                          <a:ext cx="5904000" cy="2448000"/>
                          <a:chOff x="0" y="0"/>
                          <a:chExt cx="5904000" cy="2448000"/>
                        </a:xfrm>
                      </wpg:grpSpPr>
                      <wps:wsp>
                        <wps:cNvPr id="32" name="Shape 32"/>
                        <wps:cNvSpPr/>
                        <wps:spPr>
                          <a:xfrm>
                            <a:off x="36000" y="342000"/>
                            <a:ext cx="828000" cy="198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19"/>
                                  <w:szCs w:val="19"/>
                                </w:rPr>
                                <w:t xml:space="preserve">Risk darajasi</w:t>
                              </w:r>
                            </w:p>
                          </w:txbxContent>
                        </wps:txbx>
                        <wps:bodyPr rot="0" vert="horz" wrap="square" lIns="36000" tIns="18000" rIns="36000" bIns="18000" anchor="ctr" anchorCtr="0">
                          <a:noAutofit/>
                        </wps:bodyPr>
                      </wps:wsp>
                      <wps:wsp>
                        <wps:cNvPr id="33" name="Shape 33"/>
                        <wps:cNvSpPr/>
                        <wps:spPr>
                          <a:xfrm>
                            <a:off x="900000" y="36000"/>
                            <a:ext cx="4932000" cy="252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Ichki nazorat sifati</w:t>
                              </w:r>
                            </w:p>
                          </w:txbxContent>
                        </wps:txbx>
                        <wps:bodyPr rot="0" vert="horz" wrap="square" lIns="36000" tIns="18000" rIns="36000" bIns="18000" anchor="ctr" anchorCtr="0">
                          <a:noAutofit/>
                        </wps:bodyPr>
                      </wps:wsp>
                      <wps:wsp>
                        <wps:cNvPr id="34" name="Shape 34"/>
                        <wps:cNvSpPr/>
                        <wps:spPr>
                          <a:xfrm>
                            <a:off x="900000" y="342000"/>
                            <a:ext cx="2448000" cy="198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Yuqori</w:t>
                              </w:r>
                            </w:p>
                          </w:txbxContent>
                        </wps:txbx>
                        <wps:bodyPr rot="0" vert="horz" wrap="square" lIns="36000" tIns="18000" rIns="36000" bIns="18000" anchor="ctr" anchorCtr="0">
                          <a:noAutofit/>
                        </wps:bodyPr>
                      </wps:wsp>
                      <wps:wsp>
                        <wps:cNvPr id="35" name="Shape 35"/>
                        <wps:cNvSpPr/>
                        <wps:spPr>
                          <a:xfrm>
                            <a:off x="3384000" y="342000"/>
                            <a:ext cx="2448000" cy="198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Past</w:t>
                              </w:r>
                            </w:p>
                          </w:txbxContent>
                        </wps:txbx>
                        <wps:bodyPr rot="0" vert="horz" wrap="square" lIns="36000" tIns="18000" rIns="36000" bIns="18000" anchor="ctr" anchorCtr="0">
                          <a:noAutofit/>
                        </wps:bodyPr>
                      </wps:wsp>
                      <wps:wsp>
                        <wps:cNvPr id="36" name="Shape 36"/>
                        <wps:cNvSpPr/>
                        <wps:spPr>
                          <a:xfrm>
                            <a:off x="900000" y="576000"/>
                            <a:ext cx="2448000" cy="882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FFFFFF"/>
                                  <w:sz w:val="22"/>
                                  <w:szCs w:val="22"/>
                                </w:rPr>
                                <w:t xml:space="preserve">A</w:t>
                              </w:r>
                            </w:p>
                            <w:p>
                              <w:pPr>
                                <w:spacing w:before="0" w:after="0" w:line="228" w:lineRule="auto"/>
                                <w:jc w:val="center"/>
                                <w:ind w:firstLine="0"/>
                              </w:pPr>
                              <w:r>
                                <w:rPr>
                                  <w:rFonts w:ascii="Times New Roman" w:hAnsi="Times New Roman" w:cs="Times New Roman"/>
                                  <w:color w:val="FFFFFF"/>
                                  <w:sz w:val="22"/>
                                  <w:szCs w:val="22"/>
                                </w:rPr>
                                <w:t xml:space="preserve">Tekshiruv davri:</w:t>
                              </w:r>
                            </w:p>
                            <w:p>
                              <w:pPr>
                                <w:spacing w:before="0" w:after="0" w:line="228" w:lineRule="auto"/>
                                <w:jc w:val="center"/>
                                <w:ind w:firstLine="0"/>
                              </w:pPr>
                              <w:r>
                                <w:rPr>
                                  <w:rFonts w:ascii="Times New Roman" w:hAnsi="Times New Roman" w:cs="Times New Roman"/>
                                  <w:color w:val="FFFFFF"/>
                                  <w:sz w:val="22"/>
                                  <w:szCs w:val="22"/>
                                </w:rPr>
                                <w:t xml:space="preserve">18–24 oy</w:t>
                              </w:r>
                            </w:p>
                          </w:txbxContent>
                        </wps:txbx>
                        <wps:bodyPr rot="0" vert="horz" wrap="square" lIns="36000" tIns="18000" rIns="36000" bIns="18000" anchor="ctr" anchorCtr="0">
                          <a:noAutofit/>
                        </wps:bodyPr>
                      </wps:wsp>
                      <wps:wsp>
                        <wps:cNvPr id="37" name="Shape 37"/>
                        <wps:cNvSpPr/>
                        <wps:spPr>
                          <a:xfrm>
                            <a:off x="3384000" y="576000"/>
                            <a:ext cx="2448000" cy="882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B</w:t>
                              </w:r>
                            </w:p>
                            <w:p>
                              <w:pPr>
                                <w:spacing w:before="0" w:after="0" w:line="228" w:lineRule="auto"/>
                                <w:jc w:val="center"/>
                                <w:ind w:firstLine="0"/>
                              </w:pPr>
                              <w:r>
                                <w:rPr>
                                  <w:rFonts w:ascii="Times New Roman" w:hAnsi="Times New Roman" w:cs="Times New Roman"/>
                                  <w:color w:val="000000"/>
                                  <w:sz w:val="22"/>
                                  <w:szCs w:val="22"/>
                                </w:rPr>
                                <w:t xml:space="preserve">Tekshiruv davri:</w:t>
                              </w:r>
                            </w:p>
                            <w:p>
                              <w:pPr>
                                <w:spacing w:before="0" w:after="0" w:line="228" w:lineRule="auto"/>
                                <w:jc w:val="center"/>
                                <w:ind w:firstLine="0"/>
                              </w:pPr>
                              <w:r>
                                <w:rPr>
                                  <w:rFonts w:ascii="Times New Roman" w:hAnsi="Times New Roman" w:cs="Times New Roman"/>
                                  <w:color w:val="000000"/>
                                  <w:sz w:val="22"/>
                                  <w:szCs w:val="22"/>
                                </w:rPr>
                                <w:t xml:space="preserve">12–18 oy</w:t>
                              </w:r>
                            </w:p>
                          </w:txbxContent>
                        </wps:txbx>
                        <wps:bodyPr rot="0" vert="horz" wrap="square" lIns="36000" tIns="18000" rIns="36000" bIns="18000" anchor="ctr" anchorCtr="0">
                          <a:noAutofit/>
                        </wps:bodyPr>
                      </wps:wsp>
                      <wps:wsp>
                        <wps:cNvPr id="38" name="Shape 38"/>
                        <wps:cNvSpPr/>
                        <wps:spPr>
                          <a:xfrm>
                            <a:off x="36000" y="576000"/>
                            <a:ext cx="828000" cy="882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19"/>
                                  <w:szCs w:val="19"/>
                                </w:rPr>
                                <w:t xml:space="preserve">Past</w:t>
                              </w:r>
                            </w:p>
                          </w:txbxContent>
                        </wps:txbx>
                        <wps:bodyPr rot="0" vert="horz" wrap="square" lIns="36000" tIns="18000" rIns="36000" bIns="18000" anchor="ctr" anchorCtr="0">
                          <a:noAutofit/>
                        </wps:bodyPr>
                      </wps:wsp>
                      <wps:wsp>
                        <wps:cNvPr id="39" name="Shape 39"/>
                        <wps:cNvSpPr/>
                        <wps:spPr>
                          <a:xfrm>
                            <a:off x="900000" y="1494000"/>
                            <a:ext cx="2448000" cy="882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C</w:t>
                              </w:r>
                            </w:p>
                            <w:p>
                              <w:pPr>
                                <w:spacing w:before="0" w:after="0" w:line="228" w:lineRule="auto"/>
                                <w:jc w:val="center"/>
                                <w:ind w:firstLine="0"/>
                              </w:pPr>
                              <w:r>
                                <w:rPr>
                                  <w:rFonts w:ascii="Times New Roman" w:hAnsi="Times New Roman" w:cs="Times New Roman"/>
                                  <w:color w:val="000000"/>
                                  <w:sz w:val="22"/>
                                  <w:szCs w:val="22"/>
                                </w:rPr>
                                <w:t xml:space="preserve">Tekshiruv davri:</w:t>
                              </w:r>
                            </w:p>
                            <w:p>
                              <w:pPr>
                                <w:spacing w:before="0" w:after="0" w:line="228" w:lineRule="auto"/>
                                <w:jc w:val="center"/>
                                <w:ind w:firstLine="0"/>
                              </w:pPr>
                              <w:r>
                                <w:rPr>
                                  <w:rFonts w:ascii="Times New Roman" w:hAnsi="Times New Roman" w:cs="Times New Roman"/>
                                  <w:color w:val="000000"/>
                                  <w:sz w:val="22"/>
                                  <w:szCs w:val="22"/>
                                </w:rPr>
                                <w:t xml:space="preserve">6–12 oy</w:t>
                              </w:r>
                            </w:p>
                          </w:txbxContent>
                        </wps:txbx>
                        <wps:bodyPr rot="0" vert="horz" wrap="square" lIns="36000" tIns="18000" rIns="36000" bIns="18000" anchor="ctr" anchorCtr="0">
                          <a:noAutofit/>
                        </wps:bodyPr>
                      </wps:wsp>
                      <wps:wsp>
                        <wps:cNvPr id="40" name="Shape 40"/>
                        <wps:cNvSpPr/>
                        <wps:spPr>
                          <a:xfrm>
                            <a:off x="3384000" y="1494000"/>
                            <a:ext cx="2448000" cy="882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FFFFFF"/>
                                  <w:sz w:val="22"/>
                                  <w:szCs w:val="22"/>
                                </w:rPr>
                                <w:t xml:space="preserve">D</w:t>
                              </w:r>
                            </w:p>
                            <w:p>
                              <w:pPr>
                                <w:spacing w:before="0" w:after="0" w:line="228" w:lineRule="auto"/>
                                <w:jc w:val="center"/>
                                <w:ind w:firstLine="0"/>
                              </w:pPr>
                              <w:r>
                                <w:rPr>
                                  <w:rFonts w:ascii="Times New Roman" w:hAnsi="Times New Roman" w:cs="Times New Roman"/>
                                  <w:color w:val="FFFFFF"/>
                                  <w:sz w:val="22"/>
                                  <w:szCs w:val="22"/>
                                </w:rPr>
                                <w:t xml:space="preserve">Tekshiruv davri:</w:t>
                              </w:r>
                            </w:p>
                            <w:p>
                              <w:pPr>
                                <w:spacing w:before="0" w:after="0" w:line="228" w:lineRule="auto"/>
                                <w:jc w:val="center"/>
                                <w:ind w:firstLine="0"/>
                              </w:pPr>
                              <w:r>
                                <w:rPr>
                                  <w:rFonts w:ascii="Times New Roman" w:hAnsi="Times New Roman" w:cs="Times New Roman"/>
                                  <w:color w:val="FFFFFF"/>
                                  <w:sz w:val="22"/>
                                  <w:szCs w:val="22"/>
                                </w:rPr>
                                <w:t xml:space="preserve">taxminan 1 yil va</w:t>
                              </w:r>
                            </w:p>
                            <w:p>
                              <w:pPr>
                                <w:spacing w:before="0" w:after="0" w:line="228" w:lineRule="auto"/>
                                <w:jc w:val="center"/>
                                <w:ind w:firstLine="0"/>
                              </w:pPr>
                              <w:r>
                                <w:rPr>
                                  <w:rFonts w:ascii="Times New Roman" w:hAnsi="Times New Roman" w:cs="Times New Roman"/>
                                  <w:color w:val="FFFFFF"/>
                                  <w:sz w:val="22"/>
                                  <w:szCs w:val="22"/>
                                </w:rPr>
                                <w:t xml:space="preserve">qo‘shimcha choralar</w:t>
                              </w:r>
                            </w:p>
                          </w:txbxContent>
                        </wps:txbx>
                        <wps:bodyPr rot="0" vert="horz" wrap="square" lIns="36000" tIns="18000" rIns="36000" bIns="18000" anchor="ctr" anchorCtr="0">
                          <a:noAutofit/>
                        </wps:bodyPr>
                      </wps:wsp>
                      <wps:wsp>
                        <wps:cNvPr id="41" name="Shape 41"/>
                        <wps:cNvSpPr/>
                        <wps:spPr>
                          <a:xfrm>
                            <a:off x="36000" y="1494000"/>
                            <a:ext cx="828000" cy="882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19"/>
                                  <w:szCs w:val="19"/>
                                </w:rPr>
                                <w:t xml:space="preserve">Yuqori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1.3.4-rasm. Angliya bankining BAITE tizimida risk va nazorat matritsasi</w:t>
      </w:r>
      <w:r>
        <w:rPr>
          <w:rStyle w:val="FootnoteReference"/>
        </w:rPr>
        <w:footnoteReference w:id="39"/>
      </w:r>
    </w:p>
    <w:p>
      <w:pPr>
        <w:pStyle w:val="BodyText"/>
        <w:spacing w:line="360" w:lineRule="auto" w:before="0" w:after="0"/>
        <w:ind w:firstLine="709"/>
        <w:jc w:val="both"/>
      </w:pPr>
      <w:r>
        <w:rPr>
          <w:rFonts w:ascii="Times New Roman" w:hAnsi="Times New Roman" w:cs="Times New Roman" w:eastAsia="Times New Roman"/>
          <w:sz w:val="28"/>
        </w:rPr>
        <w:t xml:space="preserve">Matritsadan ko‘rinadiki, riski past va ichki nazorati kuchli bank keyingi tekshiruvgacha 18–24 oy kutishi mumkin, riski yuqori va nazorati zaif bank esa deyarli har yili tekshiriladi. Bu yondashuvning afzalligi cheklangan nazorat resurslarini eng riskli banklarga yo‘naltirishdadir. Boshqacha aytganda, baholash natijasi shunchaki reyting bo‘lib qolmaydi, balki aniq nazorat qaroriga, ya’ni keyingi tekshiruv qachon o‘tkazilishiga aylanadi.</w:t>
      </w:r>
    </w:p>
    <w:p>
      <w:pPr>
        <w:pStyle w:val="BodyText"/>
        <w:spacing w:line="360" w:lineRule="auto" w:before="0" w:after="0"/>
        <w:ind w:firstLine="709"/>
        <w:jc w:val="both"/>
      </w:pPr>
      <w:r>
        <w:rPr>
          <w:rFonts w:ascii="Times New Roman" w:hAnsi="Times New Roman" w:cs="Times New Roman" w:eastAsia="Times New Roman"/>
          <w:sz w:val="28"/>
        </w:rPr>
        <w:t xml:space="preserve">Germaniyada esa boshqacha yo‘l tanlangan. Bu yerda qo‘llanadigan BAKIS tizimi koeffitsiyentli yondashuvning namunasi bo‘lib, 47 ta ko‘rsatkichni o‘z ichiga oladi: ulardan 19 tasi kredit riski, 16 tasi bozor riski, 2 tasi likvidlik, 10 tasi rentabellik bilan bog‘liq. Barcha ko‘rsatkichlar teng vaznda olinadi va bank ko‘rsatkichlari o‘xshash banklar guruhining o‘rtachasi bilan taqqoslanadi</w:t>
      </w:r>
      <w:r>
        <w:rPr>
          <w:rStyle w:val="FootnoteReference"/>
        </w:rPr>
        <w:footnoteReference w:id="40"/>
      </w:r>
      <w:r>
        <w:rPr>
          <w:rFonts w:ascii="Times New Roman" w:hAnsi="Times New Roman" w:cs="Times New Roman" w:eastAsia="Times New Roman"/>
          <w:sz w:val="28"/>
        </w:rPr>
        <w:t xml:space="preserve">. Teng vaznlar baholovchining sub’ektiv qarashini kamaytirsa, guruh o‘rtachasi bilan taqqoslash bankning tizimdagi nisbiy o‘rnini aniqlash imkonini beradi. Ammo ko‘rsatkichlar tarkibiga e’tibor qaratilsa, ularning qariyb yarmi kredit riskiga tegishli ekani ko‘rinadi, bu esa yig‘ma bahoda kredit riskining ortiqcha og‘irlik kasb etishiga olib keladi.</w:t>
      </w:r>
    </w:p>
    <w:p>
      <w:pPr>
        <w:pStyle w:val="BodyText"/>
        <w:spacing w:line="360" w:lineRule="auto" w:before="0" w:after="0"/>
        <w:ind w:firstLine="709"/>
        <w:jc w:val="both"/>
      </w:pPr>
      <w:r>
        <w:rPr>
          <w:rFonts w:ascii="Times New Roman" w:hAnsi="Times New Roman" w:cs="Times New Roman" w:eastAsia="Times New Roman"/>
          <w:sz w:val="28"/>
        </w:rPr>
        <w:t xml:space="preserve">Fransiya tajribasi reyting va ekspert tizimlarini uyg‘unlashtirishga asoslangan. ORAP reyting tizimi bilan birga qo‘llanadigan SAABA ekspert tizimi 25 ta ma’lumotlar bazasidan foydalanadi va kapital yetarliligi 8 foizdan yuqori bo‘lgan bankni keyingi uch yilda to‘lovga qodir deb hisoblaydi</w:t>
      </w:r>
      <w:r>
        <w:rPr>
          <w:rStyle w:val="FootnoteReference"/>
        </w:rPr>
        <w:footnoteReference w:id="41"/>
      </w:r>
      <w:r>
        <w:rPr>
          <w:rFonts w:ascii="Times New Roman" w:hAnsi="Times New Roman" w:cs="Times New Roman" w:eastAsia="Times New Roman"/>
          <w:sz w:val="28"/>
        </w:rPr>
        <w:t xml:space="preserve">. Italiyada esa 1993-yildan PATROL tizimi masofaviy nazorat va reyting baholash uchun ishlatiladi</w:t>
      </w:r>
      <w:r>
        <w:rPr>
          <w:rStyle w:val="FootnoteReference"/>
        </w:rPr>
        <w:footnoteReference w:id="42"/>
      </w:r>
      <w:r>
        <w:rPr>
          <w:rFonts w:ascii="Times New Roman" w:hAnsi="Times New Roman" w:cs="Times New Roman" w:eastAsia="Times New Roman"/>
          <w:sz w:val="28"/>
        </w:rPr>
        <w:t xml:space="preserve">. Italiya tajribasi Bazel III talablarini bajarishdagi amaliy qiyinchiliklarni ham ochib berdi. F. Tutino va hammualliflar 2011-yilda birinchi darajali kapitali 11 foizdan past bo‘lgan 10 ta Italiya bank guruhini tadqiq qilib, bu darajani faqat foyda hisobiga barqaror ushlab turish uchun aktivlar rentabelligi o‘rtacha 1,28 foiz bo‘lishi kerakligini aniqlagan</w:t>
      </w:r>
      <w:r>
        <w:rPr>
          <w:rStyle w:val="FootnoteReference"/>
        </w:rPr>
        <w:footnoteReference w:id="43"/>
      </w:r>
      <w:r>
        <w:rPr>
          <w:rFonts w:ascii="Times New Roman" w:hAnsi="Times New Roman" w:cs="Times New Roman" w:eastAsia="Times New Roman"/>
          <w:sz w:val="28"/>
        </w:rPr>
        <w:t xml:space="preserve">. Holbuki, bunday rentabellikka qisqa muddatda erishib bo‘lmaydi. Demak, kapital talablarini oshirishda bankning foyda olish salohiyati ham hisobga olinishi zarur.</w:t>
      </w:r>
    </w:p>
    <w:p>
      <w:pPr>
        <w:pStyle w:val="BodyText"/>
        <w:spacing w:line="360" w:lineRule="auto" w:before="0" w:after="0"/>
        <w:ind w:firstLine="709"/>
        <w:jc w:val="both"/>
      </w:pPr>
      <w:r>
        <w:rPr>
          <w:rFonts w:ascii="Times New Roman" w:hAnsi="Times New Roman" w:cs="Times New Roman" w:eastAsia="Times New Roman"/>
          <w:sz w:val="28"/>
        </w:rPr>
        <w:t xml:space="preserve">Yuqorida ko‘rib chiqilgan milliy tizimlar asosan alohida bank darajasida ishlaydi. 2007–2009-yillardagi inqiroz esa alohida banklar barqaror ko‘ringan holda ham butun tizim inqirozga uchrashi mumkinligini ko‘rsatdi. Shundan so‘ng Yevropa Ittifoqida bank nazorati ikki darajali tizimga aylantirildi. Mikroprudensial nazoratni milliy organlar va Yagona nazorat mexanizmi, makroprudensial nazoratni esa Yevropa tizimli risklar kengashi amalga oshiradi; Yevropa bank boshqarmasi yagona qoidalar va ma’lumotlar bazasini ta’minlaydi</w:t>
      </w:r>
      <w:r>
        <w:rPr>
          <w:rStyle w:val="FootnoteReference"/>
        </w:rPr>
        <w:footnoteReference w:id="44"/>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Nazoratning bu ikki darajasi o‘rtasidagi farqni E. Gualandri va M. Noera C. Borio yondashuviga tayangan holda tizimlashtirgan. Ularning fikricha, mikroprudensial nazorat alohida institut va omonatchini himoya qilishni maqsad qiladi, riskni tashqi (ekzogen) deb qaraydi, banklar o‘rtasidagi korrelyatsiyani hisobga olmaydi va «pastdan yuqoriga» kalibrlanadi. Makroprudensial nazorat esa butun tizim inqirozini cheklashni maqsad qiladi, riskni ichki (endogen) deb qaraydi, banklar o‘rtasidagi korrelyatsiyani muhim deb biladi va «yuqoridan pastga» kalibrlanadi</w:t>
      </w:r>
      <w:r>
        <w:rPr>
          <w:rStyle w:val="FootnoteReference"/>
        </w:rPr>
        <w:footnoteReference w:id="45"/>
      </w:r>
      <w:r>
        <w:rPr>
          <w:rFonts w:ascii="Times New Roman" w:hAnsi="Times New Roman" w:cs="Times New Roman" w:eastAsia="Times New Roman"/>
          <w:sz w:val="28"/>
        </w:rPr>
        <w:t xml:space="preserve">. Iqtisodiy tanazzul davrida ular o‘rtasidagi ziddiyat kuchayadi: makroprudensial siyosat kreditlashni qo‘llab-quvvatlash uchun buferlarni bo‘shatishni talab qilsa, mikroprudensial nazorat alohida bank barqarorligi uchun ularni saqlab qolishga intiladi.</w:t>
      </w:r>
    </w:p>
    <w:p>
      <w:pPr>
        <w:pStyle w:val="BodyText"/>
        <w:spacing w:line="360" w:lineRule="auto" w:before="0" w:after="0"/>
        <w:ind w:firstLine="709"/>
        <w:jc w:val="both"/>
      </w:pPr>
      <w:r>
        <w:rPr>
          <w:rFonts w:ascii="Times New Roman" w:hAnsi="Times New Roman" w:cs="Times New Roman" w:eastAsia="Times New Roman"/>
          <w:sz w:val="28"/>
        </w:rPr>
        <w:t xml:space="preserve">Ikki darajani bog‘lashda yagona ma’lumotlar bazasi muhim rol o‘ynaydi. Yevropa bank boshqarmasi 2009-yildan buyon Yevropa iqtisodiy hududining 20 ta mamlakatidagi 57 ta yirik bankdan har chorakda 53 ta asosiy risk indikatorini yig‘ib keladi. Bu banklar har bir milliy bank sektori aktivlarining kamida 50 foizini qamrab oladi</w:t>
      </w:r>
      <w:r>
        <w:rPr>
          <w:rStyle w:val="FootnoteReference"/>
        </w:rPr>
        <w:footnoteReference w:id="46"/>
      </w:r>
      <w:r>
        <w:rPr>
          <w:rFonts w:ascii="Times New Roman" w:hAnsi="Times New Roman" w:cs="Times New Roman" w:eastAsia="Times New Roman"/>
          <w:sz w:val="28"/>
        </w:rPr>
        <w:t xml:space="preserve">. Indikatorlar to‘rt blokka – kapital yetarliligi, aktivlar sifati, rentabellik va balans tuzilmasiga ajratilgan bo‘lib, ular asosida 11 ta risk omilini aks ettiruvchi «risklar paneli» shakllantiriladi</w:t>
      </w:r>
      <w:r>
        <w:rPr>
          <w:rStyle w:val="FootnoteReference"/>
        </w:rPr>
        <w:footnoteReference w:id="47"/>
      </w:r>
      <w:r>
        <w:rPr>
          <w:rFonts w:ascii="Times New Roman" w:hAnsi="Times New Roman" w:cs="Times New Roman" w:eastAsia="Times New Roman"/>
          <w:sz w:val="28"/>
        </w:rPr>
        <w:t xml:space="preserve">. Shunday qilib, Yevropa Ittifoqida baholash natijalari nazorat organining ichki hujjati bo‘lib qolmasdan, bozor ishtirokchilari foydalanishi mumkin bo‘lgan ochiq axborotga aylangan.</w:t>
      </w:r>
    </w:p>
    <w:p>
      <w:pPr>
        <w:pStyle w:val="BodyText"/>
        <w:spacing w:line="360" w:lineRule="auto" w:before="0" w:after="0"/>
        <w:ind w:firstLine="709"/>
        <w:jc w:val="both"/>
      </w:pPr>
      <w:r>
        <w:rPr>
          <w:rFonts w:ascii="Times New Roman" w:hAnsi="Times New Roman" w:cs="Times New Roman" w:eastAsia="Times New Roman"/>
          <w:sz w:val="28"/>
        </w:rPr>
        <w:t xml:space="preserve">Makroprudensial darajada esa Yevropa tizimli risklar kengashi beshta oraliq maqsadni belgilagan: kredit o‘sishi va leverejni cheklash; muddatlar nomutanosibligi va bozor nolikvidligini cheklash; ekspozitsiyalar konsentratsiyasini cheklash; noto‘g‘ri rag‘batlar va «qulashiga yo‘l qo‘yib bo‘lmaydigan darajada yirik» banklar muammosini yumshatish; moliyaviy infratuzilma barqarorligini oshirish. Dastlab taklif etilgan 45 ta vosita keyinchalik 15 taga qisqartirilgan bo‘lib, ular orasida kontrsiklik bufer, leverej, LTV, LTI, LTD, LCR, NSFR va tizimli banklar uchun qo‘shimcha kapital talablari bor</w:t>
      </w:r>
      <w:r>
        <w:rPr>
          <w:rStyle w:val="FootnoteReference"/>
        </w:rPr>
        <w:footnoteReference w:id="48"/>
      </w:r>
      <w:r>
        <w:rPr>
          <w:rFonts w:ascii="Times New Roman" w:hAnsi="Times New Roman" w:cs="Times New Roman" w:eastAsia="Times New Roman"/>
          <w:sz w:val="28"/>
        </w:rPr>
        <w:t xml:space="preserve">. Mualliflar eng maqbul yondashuv sifatida qat’iy bazaviy qoidani va unga qo‘shiladigan, vaziyatga qarab o‘zgartiriladigan diskretsion vositalarni ko‘rsatadi</w:t>
      </w:r>
      <w:r>
        <w:rPr>
          <w:rStyle w:val="FootnoteReference"/>
        </w:rPr>
        <w:footnoteReference w:id="49"/>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Yevropa Ittifoqida Bazel III ning yakuniy standartlarini joriy etish ham so‘nggi yillarda nihoyasiga yetmoqda. 2025-yil 1-yanvardan kapital talablari bo‘yicha yangi reglament (CRR3) amalga kirdi; unda ichki modellar asosida hisoblangan kapital standart yondashuvdagi darajaning 72,5 foizidan past bo‘lmasligini talab qiluvchi «quyi chegara» bosqichma-bosqich joriy etiladi, bozor riski bo‘yicha yangi talablar esa 2027-yilgacha kechiktirildi</w:t>
      </w:r>
      <w:r>
        <w:rPr>
          <w:rStyle w:val="FootnoteReference"/>
        </w:rPr>
        <w:footnoteReference w:id="50"/>
      </w:r>
      <w:r>
        <w:rPr>
          <w:rFonts w:ascii="Times New Roman" w:hAnsi="Times New Roman" w:cs="Times New Roman" w:eastAsia="Times New Roman"/>
          <w:sz w:val="28"/>
        </w:rPr>
        <w:t xml:space="preserve">. Buyuk Britaniyada bu standartlar 2027-yil 1-yanvardan kuchga kiradi</w:t>
      </w:r>
      <w:r>
        <w:rPr>
          <w:rStyle w:val="FootnoteReference"/>
        </w:rPr>
        <w:footnoteReference w:id="51"/>
      </w:r>
      <w:r>
        <w:rPr>
          <w:rFonts w:ascii="Times New Roman" w:hAnsi="Times New Roman" w:cs="Times New Roman" w:eastAsia="Times New Roman"/>
          <w:sz w:val="28"/>
        </w:rPr>
        <w:t xml:space="preserve">. Nazorat stress-testlari ham muntazam davom etmoqda: Yevropa bank boshqarmasining 2025-yilgi stress-testi 17 mamlakatdagi 64 ta bankni, ya’ni Ittifoq bank sektori aktivlarining 75 foizini qamrab oldi. Salbiy ssenariyda banklarning asosiy kapitali 370 bazis punktga kamayib, uch yil oxirida 12 foizni tashkil etishi aniqlandi</w:t>
      </w:r>
      <w:r>
        <w:rPr>
          <w:rStyle w:val="FootnoteReference"/>
        </w:rPr>
        <w:footnoteReference w:id="52"/>
      </w:r>
      <w:r>
        <w:rPr>
          <w:rFonts w:ascii="Times New Roman" w:hAnsi="Times New Roman" w:cs="Times New Roman" w:eastAsia="Times New Roman"/>
          <w:sz w:val="28"/>
        </w:rPr>
        <w:t xml:space="preserve">. Bu natijalar ham har bir bank kesimida ochiq e’lon qilinadi.</w:t>
      </w:r>
    </w:p>
    <w:p>
      <w:pPr>
        <w:pStyle w:val="BodyText"/>
        <w:spacing w:line="360" w:lineRule="auto" w:before="0" w:after="0"/>
        <w:ind w:firstLine="709"/>
        <w:jc w:val="both"/>
      </w:pPr>
      <w:r>
        <w:rPr>
          <w:rFonts w:ascii="Times New Roman" w:hAnsi="Times New Roman" w:cs="Times New Roman" w:eastAsia="Times New Roman"/>
          <w:sz w:val="28"/>
        </w:rPr>
        <w:t xml:space="preserve">G‘arb mamlakatlari tajribasi ilg‘or bo‘lsa-da, uni to‘g‘ridan-to‘g‘ri ko‘chirib bo‘lmaydi, chunki bu mamlakatlarning moliya bozorlari va ma’lumotlar bazasi O‘zbekistondagidan ancha rivojlangan. Shu nuqtai nazardan Rossiya tajribasi O‘zbekiston uchun alohida ahamiyatga ega. Ikkala mamlakat bank tizimlari umumiy tarixiy asosdan o‘sib chiqqan, buxgalteriya hisobi va nazorat an’analari o‘xshash, Bazel standartlarini joriy etishda ham yaqin muammolarga duch kelgan. Rossiya bankining baholash tizimi qariyb chorak asr davomida bir necha bosqichda rivojlangan (1.3.2-jadval).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1.3.2-jadval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Rossiya bankining banklar moliyaviy barqarorligini baholash tizimi evolyutsiyasi</w:t>
      </w:r>
      <w:r>
        <w:rPr>
          <w:rStyle w:val="FootnoteReference"/>
        </w:rPr>
        <w:footnoteReference w:id="53"/>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Yil</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Hujjat</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Mazmuni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1995</w:t>
            </w:r>
          </w:p>
        </w:tc>
        <w:tc>
          <w:tcPr/>
          <w:p>
            <w:pPr>
              <w:pStyle w:val="Compact"/>
              <w:spacing w:line="240" w:lineRule="auto"/>
              <w:ind w:firstLine="0"/>
              <w:jc w:val="left"/>
            </w:pPr>
            <w:r>
              <w:rPr>
                <w:rFonts w:ascii="Times New Roman" w:hAnsi="Times New Roman" w:cs="Times New Roman" w:eastAsia="Times New Roman"/>
                <w:sz w:val="22"/>
              </w:rPr>
              <w:t xml:space="preserve">15-3-3/668-son xat</w:t>
            </w:r>
          </w:p>
        </w:tc>
        <w:tc>
          <w:tcPr/>
          <w:p>
            <w:pPr>
              <w:pStyle w:val="Compact"/>
              <w:spacing w:line="240" w:lineRule="auto"/>
              <w:ind w:firstLine="0"/>
              <w:jc w:val="left"/>
            </w:pPr>
            <w:r>
              <w:rPr>
                <w:rFonts w:ascii="Times New Roman" w:hAnsi="Times New Roman" w:cs="Times New Roman" w:eastAsia="Times New Roman"/>
                <w:sz w:val="22"/>
              </w:rPr>
              <w:t xml:space="preserve">CAMEL ga asoslangan, 4 parametr</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1997</w:t>
            </w:r>
          </w:p>
        </w:tc>
        <w:tc>
          <w:tcPr/>
          <w:p>
            <w:pPr>
              <w:pStyle w:val="Compact"/>
              <w:spacing w:line="240" w:lineRule="auto"/>
              <w:ind w:firstLine="0"/>
              <w:jc w:val="left"/>
            </w:pPr>
            <w:r>
              <w:rPr>
                <w:rFonts w:ascii="Times New Roman" w:hAnsi="Times New Roman" w:cs="Times New Roman" w:eastAsia="Times New Roman"/>
                <w:sz w:val="22"/>
              </w:rPr>
              <w:t xml:space="preserve">457-son xat</w:t>
            </w:r>
          </w:p>
        </w:tc>
        <w:tc>
          <w:tcPr/>
          <w:p>
            <w:pPr>
              <w:pStyle w:val="Compact"/>
              <w:spacing w:line="240" w:lineRule="auto"/>
              <w:ind w:firstLine="0"/>
              <w:jc w:val="left"/>
            </w:pPr>
            <w:r>
              <w:rPr>
                <w:rFonts w:ascii="Times New Roman" w:hAnsi="Times New Roman" w:cs="Times New Roman" w:eastAsia="Times New Roman"/>
                <w:sz w:val="22"/>
              </w:rPr>
              <w:t xml:space="preserve">Ikki toifa va ikki guruh; 2601 bankdan 852 tasi (32,8%) barqaror, 1052 tasi (40,4%) muammoli deb topilgan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2000</w:t>
            </w:r>
          </w:p>
        </w:tc>
        <w:tc>
          <w:tcPr/>
          <w:p>
            <w:pPr>
              <w:pStyle w:val="Compact"/>
              <w:spacing w:line="240" w:lineRule="auto"/>
              <w:ind w:firstLine="0"/>
              <w:jc w:val="left"/>
            </w:pPr>
            <w:r>
              <w:rPr>
                <w:rFonts w:ascii="Times New Roman" w:hAnsi="Times New Roman" w:cs="Times New Roman" w:eastAsia="Times New Roman"/>
                <w:sz w:val="22"/>
              </w:rPr>
              <w:t xml:space="preserve">766-U ko‘rsatma</w:t>
            </w:r>
          </w:p>
        </w:tc>
        <w:tc>
          <w:tcPr/>
          <w:p>
            <w:pPr>
              <w:pStyle w:val="Compact"/>
              <w:spacing w:line="240" w:lineRule="auto"/>
              <w:ind w:firstLine="0"/>
              <w:jc w:val="left"/>
            </w:pPr>
            <w:r>
              <w:rPr>
                <w:rFonts w:ascii="Times New Roman" w:hAnsi="Times New Roman" w:cs="Times New Roman" w:eastAsia="Times New Roman"/>
                <w:sz w:val="22"/>
              </w:rPr>
              <w:t xml:space="preserve">Asoslangan mulohaza tamoyili joriy etildi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2004</w:t>
            </w:r>
          </w:p>
        </w:tc>
        <w:tc>
          <w:tcPr/>
          <w:p>
            <w:pPr>
              <w:pStyle w:val="Compact"/>
              <w:spacing w:line="240" w:lineRule="auto"/>
              <w:ind w:firstLine="0"/>
              <w:jc w:val="left"/>
            </w:pPr>
            <w:r>
              <w:rPr>
                <w:rFonts w:ascii="Times New Roman" w:hAnsi="Times New Roman" w:cs="Times New Roman" w:eastAsia="Times New Roman"/>
                <w:sz w:val="22"/>
              </w:rPr>
              <w:t xml:space="preserve">1379-U ko‘rsatma</w:t>
            </w:r>
          </w:p>
        </w:tc>
        <w:tc>
          <w:tcPr/>
          <w:p>
            <w:pPr>
              <w:pStyle w:val="Compact"/>
              <w:spacing w:line="240" w:lineRule="auto"/>
              <w:ind w:firstLine="0"/>
              <w:jc w:val="left"/>
            </w:pPr>
            <w:r>
              <w:rPr>
                <w:rFonts w:ascii="Times New Roman" w:hAnsi="Times New Roman" w:cs="Times New Roman" w:eastAsia="Times New Roman"/>
                <w:sz w:val="22"/>
              </w:rPr>
              <w:t xml:space="preserve">Omonatlarni sug‘urtalash tizimiga qabul qilish uchun: 4 ballik shkala, vaznlar, yig‘ma ball, boshqaruv sifati bloki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2008</w:t>
            </w:r>
          </w:p>
        </w:tc>
        <w:tc>
          <w:tcPr/>
          <w:p>
            <w:pPr>
              <w:pStyle w:val="Compact"/>
              <w:spacing w:line="240" w:lineRule="auto"/>
              <w:ind w:firstLine="0"/>
              <w:jc w:val="left"/>
            </w:pPr>
            <w:r>
              <w:rPr>
                <w:rFonts w:ascii="Times New Roman" w:hAnsi="Times New Roman" w:cs="Times New Roman" w:eastAsia="Times New Roman"/>
                <w:sz w:val="22"/>
              </w:rPr>
              <w:t xml:space="preserve">2005-U ko‘rsatma</w:t>
            </w:r>
          </w:p>
        </w:tc>
        <w:tc>
          <w:tcPr/>
          <w:p>
            <w:pPr>
              <w:pStyle w:val="Compact"/>
              <w:spacing w:line="240" w:lineRule="auto"/>
              <w:ind w:firstLine="0"/>
              <w:jc w:val="left"/>
            </w:pPr>
            <w:r>
              <w:rPr>
                <w:rFonts w:ascii="Times New Roman" w:hAnsi="Times New Roman" w:cs="Times New Roman" w:eastAsia="Times New Roman"/>
                <w:sz w:val="22"/>
              </w:rPr>
              <w:t xml:space="preserve">5 guruh; 12 oylik prognoz; strategik risk bloki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2017</w:t>
            </w:r>
          </w:p>
        </w:tc>
        <w:tc>
          <w:tcPr/>
          <w:p>
            <w:pPr>
              <w:pStyle w:val="Compact"/>
              <w:spacing w:line="240" w:lineRule="auto"/>
              <w:ind w:firstLine="0"/>
              <w:jc w:val="left"/>
            </w:pPr>
            <w:r>
              <w:rPr>
                <w:rFonts w:ascii="Times New Roman" w:hAnsi="Times New Roman" w:cs="Times New Roman" w:eastAsia="Times New Roman"/>
                <w:sz w:val="22"/>
              </w:rPr>
              <w:t xml:space="preserve">4336-U ko‘rsatma</w:t>
            </w:r>
          </w:p>
        </w:tc>
        <w:tc>
          <w:tcPr/>
          <w:p>
            <w:pPr>
              <w:pStyle w:val="Compact"/>
              <w:spacing w:line="240" w:lineRule="auto"/>
              <w:ind w:firstLine="0"/>
              <w:jc w:val="left"/>
            </w:pPr>
            <w:r>
              <w:rPr>
                <w:rFonts w:ascii="Times New Roman" w:hAnsi="Times New Roman" w:cs="Times New Roman" w:eastAsia="Times New Roman"/>
                <w:sz w:val="22"/>
              </w:rPr>
              <w:t xml:space="preserve">Amaldagi tizim; guruhlarga qarab tabaqalashtirilgan nazorat rejimlari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2025</w:t>
            </w:r>
          </w:p>
        </w:tc>
        <w:tc>
          <w:tcPr/>
          <w:p>
            <w:pPr>
              <w:pStyle w:val="Compact"/>
              <w:spacing w:line="240" w:lineRule="auto"/>
              <w:ind w:firstLine="0"/>
              <w:jc w:val="left"/>
            </w:pPr>
            <w:r>
              <w:rPr>
                <w:rFonts w:ascii="Times New Roman" w:hAnsi="Times New Roman" w:cs="Times New Roman" w:eastAsia="Times New Roman"/>
                <w:sz w:val="22"/>
              </w:rPr>
              <w:t xml:space="preserve">Milliy qisqa muddatli likvidlik normativi</w:t>
            </w:r>
          </w:p>
        </w:tc>
        <w:tc>
          <w:tcPr/>
          <w:p>
            <w:pPr>
              <w:pStyle w:val="Compact"/>
              <w:spacing w:line="240" w:lineRule="auto"/>
              <w:ind w:firstLine="0"/>
              <w:jc w:val="left"/>
            </w:pPr>
            <w:r>
              <w:rPr>
                <w:rFonts w:ascii="Times New Roman" w:hAnsi="Times New Roman" w:cs="Times New Roman" w:eastAsia="Times New Roman"/>
                <w:sz w:val="22"/>
              </w:rPr>
              <w:t xml:space="preserve">Bazel LCR o‘rniga tizimli banklar uchun milliy normativ; real stress darajasi va kengroq likvid aktivlar</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2026</w:t>
            </w:r>
          </w:p>
        </w:tc>
        <w:tc>
          <w:tcPr/>
          <w:p>
            <w:pPr>
              <w:pStyle w:val="Compact"/>
              <w:spacing w:line="240" w:lineRule="auto"/>
              <w:ind w:firstLine="0"/>
              <w:jc w:val="left"/>
            </w:pPr>
            <w:r>
              <w:rPr>
                <w:rFonts w:ascii="Times New Roman" w:hAnsi="Times New Roman" w:cs="Times New Roman" w:eastAsia="Times New Roman"/>
                <w:sz w:val="22"/>
              </w:rPr>
              <w:t xml:space="preserve">7302-U ko‘rsatma</w:t>
            </w:r>
          </w:p>
        </w:tc>
        <w:tc>
          <w:tcPr/>
          <w:p>
            <w:pPr>
              <w:pStyle w:val="Compact"/>
              <w:spacing w:line="240" w:lineRule="auto"/>
              <w:ind w:firstLine="0"/>
              <w:jc w:val="left"/>
            </w:pPr>
            <w:r>
              <w:rPr>
                <w:rFonts w:ascii="Times New Roman" w:hAnsi="Times New Roman" w:cs="Times New Roman" w:eastAsia="Times New Roman"/>
                <w:sz w:val="22"/>
              </w:rPr>
              <w:t xml:space="preserve">4336-U ko‘rsatmaga o‘zgartirishlar, jumladan, ochiq valyuta pozitsiyasi limitlarini buzish bahosi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Rossiya tizimi dastlab AQShning CAMEL tizimidan andoza olib, keyinchalik uni o‘z ehtiyojlariga moslashtirgan. Ayniqsa, 2004-yildagi 1379-U ko‘rsatma burilish nuqtasi bo‘ldi: omonatlarni sug‘urtalash tizimiga qabul qilish uchun banklarni ochiq mezonlar asosida saralash zarurati ballik shkala, vaznlar va yig‘ma ballning paydo bo‘lishiga olib keldi. 1997-yilgi baholash natijalari esa o‘sha davrdagi vaziyat qanchalik og‘ir bo‘lganini ko‘rsatadi: banklarning 40 foizdan ortig‘i muammoli deb topilgan.</w:t>
      </w:r>
    </w:p>
    <w:p>
      <w:pPr>
        <w:pStyle w:val="BodyText"/>
        <w:spacing w:line="360" w:lineRule="auto" w:before="0" w:after="0"/>
        <w:ind w:firstLine="709"/>
        <w:jc w:val="both"/>
      </w:pPr>
      <w:r>
        <w:rPr>
          <w:rFonts w:ascii="Times New Roman" w:hAnsi="Times New Roman" w:cs="Times New Roman" w:eastAsia="Times New Roman"/>
          <w:sz w:val="28"/>
        </w:rPr>
        <w:t xml:space="preserve">2005-U ko‘rsatmaga asoslangan tizimda kapital, aktivlar, daromadlilik, likvidlik va boshqaruv sifati guruhlari bo‘yicha ko‘rsatkichlar 1–4 ballik shkalada baholanadi va har biriga vazn beriladi. Masalan, N1 kapital yetarliligi normativi bo‘yicha 1 ball olish uchun kamida 14 foiz talab qilinadi, uning vazni esa 3 ga teng</w:t>
      </w:r>
      <w:r>
        <w:rPr>
          <w:rStyle w:val="FootnoteReference"/>
        </w:rPr>
        <w:footnoteReference w:id="54"/>
      </w:r>
      <w:r>
        <w:rPr>
          <w:rFonts w:ascii="Times New Roman" w:hAnsi="Times New Roman" w:cs="Times New Roman" w:eastAsia="Times New Roman"/>
          <w:sz w:val="28"/>
        </w:rPr>
        <w:t xml:space="preserve">. Har bir guruhning integral bahosi 2,3 balldan oshmasa, bank holati «qoniqarli» deb hisoblanadi. Tizimning ochiqligi va hisob-kitoblarning shaffofligi uning afzalligi bo‘lsa-da, O.I. Lavrushin tahriridagi monografiya mualliflari uning kamchiliklari sifatida dinamikaning hisobga olinmasligi, prognozning yo‘qligi, baholashning kechikishi va sub’ektivlikni ko‘rsatadi</w:t>
      </w:r>
      <w:r>
        <w:rPr>
          <w:rStyle w:val="FootnoteReference"/>
        </w:rPr>
        <w:footnoteReference w:id="55"/>
      </w:r>
      <w:r>
        <w:rPr>
          <w:rFonts w:ascii="Times New Roman" w:hAnsi="Times New Roman" w:cs="Times New Roman" w:eastAsia="Times New Roman"/>
          <w:sz w:val="28"/>
        </w:rPr>
        <w:t xml:space="preserve">. Bundan tashqari, komponentlar bir-biri bilan bog‘lanmagan holda baholanadi, holbuki amalda kapital, likvidlik va aktivlar sifati o‘zaro chambarchas bog‘liq</w:t>
      </w:r>
      <w:r>
        <w:rPr>
          <w:rStyle w:val="FootnoteReference"/>
        </w:rPr>
        <w:footnoteReference w:id="56"/>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Rossiya tajribasining yana bir ibratli jihati Bazel III ni joriy etish jarayoni bilan bog‘liq. Mamlakatda bu standartlar bosqichma-bosqich joriy etilib, ayrim muammolar shu jarayonda yuzaga chiqdi. Xususan, likvidlikni qoplash normativi faqat tizimli ahamiyatli 10 ta bank uchun 2016-yilda 70, 2017-yilda 80, 2018-yilda 90, 2019-yilda 100 foiz qilib belgilandi</w:t>
      </w:r>
      <w:r>
        <w:rPr>
          <w:rStyle w:val="FootnoteReference"/>
        </w:rPr>
        <w:footnoteReference w:id="57"/>
      </w:r>
      <w:r>
        <w:rPr>
          <w:rFonts w:ascii="Times New Roman" w:hAnsi="Times New Roman" w:cs="Times New Roman" w:eastAsia="Times New Roman"/>
          <w:sz w:val="28"/>
        </w:rPr>
        <w:t xml:space="preserve">. Bu jarayon 2019-yilda yakunlanmadi, balki keyingi yillarda ham davom etdi. Shu sababli islohotning boshlanishini ham, davomini ham Bazel qo‘mitasining standart jadvali va O‘zbekiston tajribasi bilan solishtirish maqsadga muvofiq (1.3.5-rasm).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5" name="1.3.5-rasm"/>
            <wp:cNvGraphicFramePr/>
            <a:graphic>
              <a:graphicData uri="http://schemas.openxmlformats.org/drawingml/2006/chart">
                <c:chart r:id="rId1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1.3.5-rasm. Likvidlikni qoplash koeffitsiyentiga qo‘yiladigan talablar: islohotning boshlanishi va davomi, %</w:t>
      </w:r>
      <w:r>
        <w:rPr>
          <w:rStyle w:val="FootnoteReference"/>
        </w:rPr>
        <w:footnoteReference w:id="58"/>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Bazel qo‘mitasi ushbu koeffitsiyentni 2015-yilda 60 foizdan boshlab besh yilda to‘liq joriy etishni ko‘zda tutgan. Rossiya birinchi bosqichni o‘tkazib yuborib, 2016-yildan boshlab Bazel jadvaliga qo‘shilgan va 2019-yilda 100 foizga yetgan, biroq bu talabni faqat tizimli ahamiyatli banklarga nisbatan qo‘llagan. O‘zbekiston esa 80 foizdan boshlab, Bazel muddatidan bir yil oldin, ya’ni 2018-yildayoq 100 foizga yetgan. Rossiyaning ehtiyotkorligi asossiz emas edi. 2015-yil oktabrida tizimli ahamiyatli banklarda bu ko‘rsatkich atigi 59,9 foizni tashkil etgan, 100 foizga yetish uchun esa 2 trln rubllik Markaziy bank kredit liniyalari zarur bo‘lgan; yuqori sifatli likvid aktivlarning 19 toifasidan mahalliy bozorda faqat 4 tasi mavjud edi</w:t>
      </w:r>
      <w:r>
        <w:rPr>
          <w:rStyle w:val="FootnoteReference"/>
        </w:rPr>
        <w:footnoteReference w:id="59"/>
      </w:r>
      <w:r>
        <w:rPr>
          <w:rFonts w:ascii="Times New Roman" w:hAnsi="Times New Roman" w:cs="Times New Roman" w:eastAsia="Times New Roman"/>
          <w:sz w:val="28"/>
        </w:rPr>
        <w:t xml:space="preserve">. Bu holat xalqaro standartni joriy etishdan oldin milliy moliya bozorining unga tayyorligini baholash zarurligini yaqqol ko‘rsatadi.</w:t>
      </w:r>
    </w:p>
    <w:p>
      <w:pPr>
        <w:pStyle w:val="BodyText"/>
        <w:spacing w:line="360" w:lineRule="auto" w:before="0" w:after="0"/>
        <w:ind w:firstLine="709"/>
        <w:jc w:val="both"/>
      </w:pPr>
      <w:r>
        <w:rPr>
          <w:rFonts w:ascii="Times New Roman" w:hAnsi="Times New Roman" w:cs="Times New Roman" w:eastAsia="Times New Roman"/>
          <w:sz w:val="28"/>
        </w:rPr>
        <w:t xml:space="preserve">Islohotning keyingi bosqichi bu xulosani yana bir bor tasdiqladi. 2022-yil boshida sanksiyalar sharoitida Rossiya banki tizimli ahamiyatli banklarga ushbu normativni vaqtincha bajarmaslikka ruxsat berdi. Yengillikdan chiqish 2024-yil 1-martdan boshlandi: normativning 100 foizlik darajasi tiklangan bo‘lsa-da, banklar uning bir qismini Markaziy bankning qaytarib olinmaydigan kredit liniyalari hisobidan bajarishi mumkin edi. Banklarning o‘z mablag‘lari hisobidan ta’minlanishi lozim bo‘lgan qism esa 2024-yil martida 40 foiz, iyulida 50 foiz, 2025-yil iyulida 60 foiz, 2026-yil yanvarida 80 foiz qilib belgilandi</w:t>
      </w:r>
      <w:r>
        <w:rPr>
          <w:rStyle w:val="FootnoteReference"/>
        </w:rPr>
        <w:footnoteReference w:id="60"/>
      </w:r>
      <w:r>
        <w:rPr>
          <w:rFonts w:ascii="Times New Roman" w:hAnsi="Times New Roman" w:cs="Times New Roman" w:eastAsia="Times New Roman"/>
          <w:sz w:val="28"/>
        </w:rPr>
        <w:t xml:space="preserve">. Bundan tashqari, 2025-yil oktabr oyining oxiridan boshlab tizimli banklar uchun Bazel normativi o‘rniga milliy qisqa muddatli likvidlik normativi joriy etildi. U o‘rtacha tizimli yoki jiddiy individual inqirozga mos keladigan, ya’ni real stress darajasidan kelib chiqib hisoblanadi va mahalliy bozorda pul jalb qilish mumkin bo‘lgan aktivlarning kengroq doirasini hisobga oladi; uning minimal darajasi 2025-yilda 80 foiz, 2026-yil 1-yanvardan 100 foiz etib belgilandi</w:t>
      </w:r>
      <w:r>
        <w:rPr>
          <w:rStyle w:val="FootnoteReference"/>
        </w:rPr>
        <w:footnoteReference w:id="61"/>
      </w:r>
      <w:r>
        <w:rPr>
          <w:rFonts w:ascii="Times New Roman" w:hAnsi="Times New Roman" w:cs="Times New Roman" w:eastAsia="Times New Roman"/>
          <w:sz w:val="28"/>
        </w:rPr>
        <w:t xml:space="preserve">. Shunday qilib, Rossiya o‘n yillik tajribadan so‘ng xalqaro koeffitsiyentdan voz kechib, uning mantig‘ini saqlagan holda milliy bozorga moslashtirilgan normativga o‘tdi. O‘zbekistonda esa 2018-yildan buyon 100 foizlik talab o‘zgarishsiz amal qilmoqda, XVJ va Jahon bankining moliya sektorini baholash dasturi natijalari asosida qabul qilingan «yo‘l xaritasi»ga ko‘ra esa LCR va NSFR elementlarini Bazel III ga to‘liq moslashtirish va 2026-yil 1-yanvardan monitoring qilish ko‘zda tutilgan</w:t>
      </w:r>
      <w:r>
        <w:rPr>
          <w:rStyle w:val="FootnoteReference"/>
        </w:rPr>
        <w:footnoteReference w:id="62"/>
      </w:r>
      <w:r>
        <w:rPr>
          <w:rFonts w:ascii="Times New Roman" w:hAnsi="Times New Roman" w:cs="Times New Roman" w:eastAsia="Times New Roman"/>
          <w:sz w:val="28"/>
        </w:rPr>
        <w:t xml:space="preserve">. Bazel qo‘mitasi ham 2023-yilgi AQSh bank inqirozidan keyin raqamli kanallar orqali omonatlarning tez chiqib ketishi likvidlik koeffitsiyentining farazlarida to‘liq aks etmaganini qayd etib, bu standartni qayta ko‘rib chiqish masalasini kun tartibiga qo‘ydi</w:t>
      </w:r>
      <w:r>
        <w:rPr>
          <w:rStyle w:val="FootnoteReference"/>
        </w:rPr>
        <w:footnoteReference w:id="63"/>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Shu bilan birga, Rossiya bankining 3883-U ko‘rsatmasi bilan ichki kapital yetarliligini baholash jarayoni joriy etildi. Mualliflar uni avval aktivlari 500 mlrd rubldan oshgan banklarda, keyin esa boshqa banklarda bosqichma-bosqich joriy etishni taklif qilgan</w:t>
      </w:r>
      <w:r>
        <w:rPr>
          <w:rStyle w:val="FootnoteReference"/>
        </w:rPr>
        <w:footnoteReference w:id="64"/>
      </w:r>
      <w:r>
        <w:rPr>
          <w:rFonts w:ascii="Times New Roman" w:hAnsi="Times New Roman" w:cs="Times New Roman" w:eastAsia="Times New Roman"/>
          <w:sz w:val="28"/>
        </w:rPr>
        <w:t xml:space="preserve">. Bunday tabaqalashtirilgan yondashuv kichik banklarga ortiqcha yuk tushishining oldini oladi va O‘zbekistonda ham qo‘llanishi mumkin.</w:t>
      </w:r>
    </w:p>
    <w:p>
      <w:pPr>
        <w:pStyle w:val="BodyText"/>
        <w:spacing w:line="360" w:lineRule="auto" w:before="0" w:after="0"/>
        <w:ind w:firstLine="709"/>
        <w:jc w:val="both"/>
      </w:pPr>
      <w:r>
        <w:rPr>
          <w:rFonts w:ascii="Times New Roman" w:hAnsi="Times New Roman" w:cs="Times New Roman" w:eastAsia="Times New Roman"/>
          <w:sz w:val="28"/>
        </w:rPr>
        <w:t xml:space="preserve">Mikroprudensial baholash bilan bir qatorda Rossiya bankida makroprudensial monitoring tizimi ham shakllangan. Markaziy bank haftalik 30 dan ortiq ko‘rsatkich asosida trigger-monitoring olib boradi va stress-testlarni muayyan arxitektura bo‘yicha o‘tkazadi. Unga ko‘ra avval makroiqtisodiy model yordamida YaIM, valyuta kursi, inflyatsiya, daromadlar va investitsiyalar prognozi tuziladi, so‘ngra shu prognoz asosida bank ko‘rsatkichlari, shu jumladan muammoli kreditlar ulushi hisoblanadi, keyin balansning imitatsion modeli orqali kapital va likvidlik tanqisligi baholanadi</w:t>
      </w:r>
      <w:r>
        <w:rPr>
          <w:rStyle w:val="FootnoteReference"/>
        </w:rPr>
        <w:footnoteReference w:id="65"/>
      </w:r>
      <w:r>
        <w:rPr>
          <w:rFonts w:ascii="Times New Roman" w:hAnsi="Times New Roman" w:cs="Times New Roman" w:eastAsia="Times New Roman"/>
          <w:sz w:val="28"/>
        </w:rPr>
        <w:t xml:space="preserve">. Bu arxitektura AQSh Federal rezerv tizimi nazorat stress-testlarining mantig‘iga ancha yaqin (1.3.6-rasm). So‘nggi yillarda makroprudensial vositalar ham faol qo‘llanmoqda: Rossiya banki 2024-yil noyabrida birinchi marta kontrsiklik buferning musbat darajasini belgilab, uni 2025-yil 1-fevraldan 0,25 foiz, 1-iyuldan 0,5 foiz qilib o‘rnatdi</w:t>
      </w:r>
      <w:r>
        <w:rPr>
          <w:rStyle w:val="FootnoteReference"/>
        </w:rPr>
        <w:footnoteReference w:id="66"/>
      </w:r>
      <w:r>
        <w:rPr>
          <w:rFonts w:ascii="Times New Roman" w:hAnsi="Times New Roman" w:cs="Times New Roman" w:eastAsia="Times New Roman"/>
          <w:sz w:val="28"/>
        </w:rPr>
        <w:t xml:space="preserve">.</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1548000"/>
                <wp:effectExtent l="0" t="0" r="0" b="0"/>
                <wp:docPr id="1006" name="1.3.6-rasm"/>
                <wp:cNvGraphicFramePr/>
                <a:graphic>
                  <a:graphicData uri="http://schemas.microsoft.com/office/word/2010/wordprocessingGroup">
                    <wpg:wgp>
                      <wpg:cNvGrpSpPr/>
                      <wpg:grpSpPr>
                        <a:xfrm>
                          <a:off x="0" y="0"/>
                          <a:ext cx="5904000" cy="1548000"/>
                          <a:chOff x="0" y="0"/>
                          <a:chExt cx="5904000" cy="1548000"/>
                        </a:xfrm>
                      </wpg:grpSpPr>
                      <wps:wsp>
                        <wps:cNvPr id="42" name="Shape 42"/>
                        <wps:cNvSpPr/>
                        <wps:spPr>
                          <a:xfrm>
                            <a:off x="36000" y="36000"/>
                            <a:ext cx="1062000" cy="396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Ssenariylar</w:t>
                              </w:r>
                            </w:p>
                          </w:txbxContent>
                        </wps:txbx>
                        <wps:bodyPr rot="0" vert="horz" wrap="square" lIns="36000" tIns="18000" rIns="36000" bIns="18000" anchor="ctr" anchorCtr="0">
                          <a:noAutofit/>
                        </wps:bodyPr>
                      </wps:wsp>
                      <wps:wsp>
                        <wps:cNvPr id="43" name="Shape 43"/>
                        <wps:cNvSpPr/>
                        <wps:spPr>
                          <a:xfrm>
                            <a:off x="36000" y="486000"/>
                            <a:ext cx="1062000" cy="720000"/>
                          </a:xfrm>
                          <a:prstGeom prst="roundRect">
                            <a:avLst>
                              <a:gd name="adj" fmla="val 10000"/>
                            </a:avLst>
                          </a:prstGeom>
                          <a:solidFill>
                            <a:srgbClr val="F2F2F2"/>
                          </a:solidFill>
                          <a:ln w="12700">
                            <a:solidFill>
                              <a:srgbClr val="1F4E79"/>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Bazaviy, salbiy,</w:t>
                              </w:r>
                            </w:p>
                            <w:p>
                              <w:pPr>
                                <w:spacing w:before="0" w:after="0" w:line="228" w:lineRule="auto"/>
                                <w:jc w:val="center"/>
                                <w:ind w:firstLine="0"/>
                              </w:pPr>
                              <w:r>
                                <w:rPr>
                                  <w:rFonts w:ascii="Times New Roman" w:hAnsi="Times New Roman" w:cs="Times New Roman"/>
                                  <w:color w:val="000000"/>
                                  <w:sz w:val="18"/>
                                  <w:szCs w:val="18"/>
                                </w:rPr>
                                <w:t xml:space="preserve">keskin salbiy</w:t>
                              </w:r>
                            </w:p>
                          </w:txbxContent>
                        </wps:txbx>
                        <wps:bodyPr rot="0" vert="horz" wrap="square" lIns="36000" tIns="18000" rIns="36000" bIns="18000" anchor="ctr" anchorCtr="0">
                          <a:noAutofit/>
                        </wps:bodyPr>
                      </wps:wsp>
                      <wps:wsp>
                        <wps:cNvPr id="44" name="Connector 44"/>
                        <wps:cNvCnPr/>
                        <wps:spPr>
                          <a:xfrm>
                            <a:off x="1098000" y="234000"/>
                            <a:ext cx="126000" cy="0"/>
                          </a:xfrm>
                          <a:prstGeom prst="straightConnector1">
                            <a:avLst/>
                          </a:prstGeom>
                          <a:ln w="19050">
                            <a:solidFill>
                              <a:srgbClr val="404040"/>
                            </a:solidFill>
                            <a:tailEnd type="triangle" w="med" len="med"/>
                          </a:ln>
                        </wps:spPr>
                        <wps:bodyPr/>
                      </wps:wsp>
                      <wps:wsp>
                        <wps:cNvPr id="45" name="Shape 45"/>
                        <wps:cNvSpPr/>
                        <wps:spPr>
                          <a:xfrm>
                            <a:off x="1224000" y="36000"/>
                            <a:ext cx="1062000" cy="396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Makroiqtisodiy</w:t>
                              </w:r>
                            </w:p>
                            <w:p>
                              <w:pPr>
                                <w:spacing w:before="0" w:after="0" w:line="228" w:lineRule="auto"/>
                                <w:jc w:val="center"/>
                                <w:ind w:firstLine="0"/>
                              </w:pPr>
                              <w:r>
                                <w:rPr>
                                  <w:rFonts w:ascii="Times New Roman" w:hAnsi="Times New Roman" w:cs="Times New Roman"/>
                                  <w:b/>
                                  <w:color w:val="FFFFFF"/>
                                  <w:sz w:val="20"/>
                                  <w:szCs w:val="20"/>
                                </w:rPr>
                                <w:t xml:space="preserve">model</w:t>
                              </w:r>
                            </w:p>
                          </w:txbxContent>
                        </wps:txbx>
                        <wps:bodyPr rot="0" vert="horz" wrap="square" lIns="36000" tIns="18000" rIns="36000" bIns="18000" anchor="ctr" anchorCtr="0">
                          <a:noAutofit/>
                        </wps:bodyPr>
                      </wps:wsp>
                      <wps:wsp>
                        <wps:cNvPr id="46" name="Shape 46"/>
                        <wps:cNvSpPr/>
                        <wps:spPr>
                          <a:xfrm>
                            <a:off x="1224000" y="486000"/>
                            <a:ext cx="1062000" cy="720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YaIM, valyuta kursi,</w:t>
                              </w:r>
                            </w:p>
                            <w:p>
                              <w:pPr>
                                <w:spacing w:before="0" w:after="0" w:line="228" w:lineRule="auto"/>
                                <w:jc w:val="center"/>
                                <w:ind w:firstLine="0"/>
                              </w:pPr>
                              <w:r>
                                <w:rPr>
                                  <w:rFonts w:ascii="Times New Roman" w:hAnsi="Times New Roman" w:cs="Times New Roman"/>
                                  <w:color w:val="000000"/>
                                  <w:sz w:val="18"/>
                                  <w:szCs w:val="18"/>
                                </w:rPr>
                                <w:t xml:space="preserve">inflyatsiya, daromadlar,</w:t>
                              </w:r>
                            </w:p>
                            <w:p>
                              <w:pPr>
                                <w:spacing w:before="0" w:after="0" w:line="228" w:lineRule="auto"/>
                                <w:jc w:val="center"/>
                                <w:ind w:firstLine="0"/>
                              </w:pPr>
                              <w:r>
                                <w:rPr>
                                  <w:rFonts w:ascii="Times New Roman" w:hAnsi="Times New Roman" w:cs="Times New Roman"/>
                                  <w:color w:val="000000"/>
                                  <w:sz w:val="18"/>
                                  <w:szCs w:val="18"/>
                                </w:rPr>
                                <w:t xml:space="preserve">investitsiyalar</w:t>
                              </w:r>
                            </w:p>
                          </w:txbxContent>
                        </wps:txbx>
                        <wps:bodyPr rot="0" vert="horz" wrap="square" lIns="36000" tIns="18000" rIns="36000" bIns="18000" anchor="ctr" anchorCtr="0">
                          <a:noAutofit/>
                        </wps:bodyPr>
                      </wps:wsp>
                      <wps:wsp>
                        <wps:cNvPr id="47" name="Connector 47"/>
                        <wps:cNvCnPr/>
                        <wps:spPr>
                          <a:xfrm>
                            <a:off x="2286000" y="234000"/>
                            <a:ext cx="126000" cy="0"/>
                          </a:xfrm>
                          <a:prstGeom prst="straightConnector1">
                            <a:avLst/>
                          </a:prstGeom>
                          <a:ln w="19050">
                            <a:solidFill>
                              <a:srgbClr val="404040"/>
                            </a:solidFill>
                            <a:tailEnd type="triangle" w="med" len="med"/>
                          </a:ln>
                        </wps:spPr>
                        <wps:bodyPr/>
                      </wps:wsp>
                      <wps:wsp>
                        <wps:cNvPr id="48" name="Shape 48"/>
                        <wps:cNvSpPr/>
                        <wps:spPr>
                          <a:xfrm>
                            <a:off x="2412000" y="36000"/>
                            <a:ext cx="1062000" cy="39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Bank</w:t>
                              </w:r>
                            </w:p>
                            <w:p>
                              <w:pPr>
                                <w:spacing w:before="0" w:after="0" w:line="228" w:lineRule="auto"/>
                                <w:jc w:val="center"/>
                                <w:ind w:firstLine="0"/>
                              </w:pPr>
                              <w:r>
                                <w:rPr>
                                  <w:rFonts w:ascii="Times New Roman" w:hAnsi="Times New Roman" w:cs="Times New Roman"/>
                                  <w:b/>
                                  <w:color w:val="FFFFFF"/>
                                  <w:sz w:val="20"/>
                                  <w:szCs w:val="20"/>
                                </w:rPr>
                                <w:t xml:space="preserve">ko‘rsatkichlari</w:t>
                              </w:r>
                            </w:p>
                          </w:txbxContent>
                        </wps:txbx>
                        <wps:bodyPr rot="0" vert="horz" wrap="square" lIns="36000" tIns="18000" rIns="36000" bIns="18000" anchor="ctr" anchorCtr="0">
                          <a:noAutofit/>
                        </wps:bodyPr>
                      </wps:wsp>
                      <wps:wsp>
                        <wps:cNvPr id="49" name="Shape 49"/>
                        <wps:cNvSpPr/>
                        <wps:spPr>
                          <a:xfrm>
                            <a:off x="2412000" y="486000"/>
                            <a:ext cx="1062000" cy="720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Muammoli kreditlar</w:t>
                              </w:r>
                            </w:p>
                            <w:p>
                              <w:pPr>
                                <w:spacing w:before="0" w:after="0" w:line="228" w:lineRule="auto"/>
                                <w:jc w:val="center"/>
                                <w:ind w:firstLine="0"/>
                              </w:pPr>
                              <w:r>
                                <w:rPr>
                                  <w:rFonts w:ascii="Times New Roman" w:hAnsi="Times New Roman" w:cs="Times New Roman"/>
                                  <w:color w:val="000000"/>
                                  <w:sz w:val="18"/>
                                  <w:szCs w:val="18"/>
                                </w:rPr>
                                <w:t xml:space="preserve">ulushi, foiz stavkalari,</w:t>
                              </w:r>
                            </w:p>
                            <w:p>
                              <w:pPr>
                                <w:spacing w:before="0" w:after="0" w:line="228" w:lineRule="auto"/>
                                <w:jc w:val="center"/>
                                <w:ind w:firstLine="0"/>
                              </w:pPr>
                              <w:r>
                                <w:rPr>
                                  <w:rFonts w:ascii="Times New Roman" w:hAnsi="Times New Roman" w:cs="Times New Roman"/>
                                  <w:color w:val="000000"/>
                                  <w:sz w:val="18"/>
                                  <w:szCs w:val="18"/>
                                </w:rPr>
                                <w:t xml:space="preserve">zararlar</w:t>
                              </w:r>
                            </w:p>
                          </w:txbxContent>
                        </wps:txbx>
                        <wps:bodyPr rot="0" vert="horz" wrap="square" lIns="36000" tIns="18000" rIns="36000" bIns="18000" anchor="ctr" anchorCtr="0">
                          <a:noAutofit/>
                        </wps:bodyPr>
                      </wps:wsp>
                      <wps:wsp>
                        <wps:cNvPr id="50" name="Connector 50"/>
                        <wps:cNvCnPr/>
                        <wps:spPr>
                          <a:xfrm>
                            <a:off x="3474000" y="234000"/>
                            <a:ext cx="126000" cy="0"/>
                          </a:xfrm>
                          <a:prstGeom prst="straightConnector1">
                            <a:avLst/>
                          </a:prstGeom>
                          <a:ln w="19050">
                            <a:solidFill>
                              <a:srgbClr val="404040"/>
                            </a:solidFill>
                            <a:tailEnd type="triangle" w="med" len="med"/>
                          </a:ln>
                        </wps:spPr>
                        <wps:bodyPr/>
                      </wps:wsp>
                      <wps:wsp>
                        <wps:cNvPr id="51" name="Shape 51"/>
                        <wps:cNvSpPr/>
                        <wps:spPr>
                          <a:xfrm>
                            <a:off x="3600000" y="36000"/>
                            <a:ext cx="1062000" cy="39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Balans imitatsion</w:t>
                              </w:r>
                            </w:p>
                            <w:p>
                              <w:pPr>
                                <w:spacing w:before="0" w:after="0" w:line="228" w:lineRule="auto"/>
                                <w:jc w:val="center"/>
                                <w:ind w:firstLine="0"/>
                              </w:pPr>
                              <w:r>
                                <w:rPr>
                                  <w:rFonts w:ascii="Times New Roman" w:hAnsi="Times New Roman" w:cs="Times New Roman"/>
                                  <w:b/>
                                  <w:color w:val="FFFFFF"/>
                                  <w:sz w:val="20"/>
                                  <w:szCs w:val="20"/>
                                </w:rPr>
                                <w:t xml:space="preserve">modeli</w:t>
                              </w:r>
                            </w:p>
                          </w:txbxContent>
                        </wps:txbx>
                        <wps:bodyPr rot="0" vert="horz" wrap="square" lIns="36000" tIns="18000" rIns="36000" bIns="18000" anchor="ctr" anchorCtr="0">
                          <a:noAutofit/>
                        </wps:bodyPr>
                      </wps:wsp>
                      <wps:wsp>
                        <wps:cNvPr id="52" name="Shape 52"/>
                        <wps:cNvSpPr/>
                        <wps:spPr>
                          <a:xfrm>
                            <a:off x="3600000" y="486000"/>
                            <a:ext cx="1062000" cy="720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Kapital va likvidlik</w:t>
                              </w:r>
                            </w:p>
                            <w:p>
                              <w:pPr>
                                <w:spacing w:before="0" w:after="0" w:line="228" w:lineRule="auto"/>
                                <w:jc w:val="center"/>
                                <w:ind w:firstLine="0"/>
                              </w:pPr>
                              <w:r>
                                <w:rPr>
                                  <w:rFonts w:ascii="Times New Roman" w:hAnsi="Times New Roman" w:cs="Times New Roman"/>
                                  <w:color w:val="000000"/>
                                  <w:sz w:val="18"/>
                                  <w:szCs w:val="18"/>
                                </w:rPr>
                                <w:t xml:space="preserve">prognozi (9 chorak)</w:t>
                              </w:r>
                            </w:p>
                          </w:txbxContent>
                        </wps:txbx>
                        <wps:bodyPr rot="0" vert="horz" wrap="square" lIns="36000" tIns="18000" rIns="36000" bIns="18000" anchor="ctr" anchorCtr="0">
                          <a:noAutofit/>
                        </wps:bodyPr>
                      </wps:wsp>
                      <wps:wsp>
                        <wps:cNvPr id="53" name="Connector 53"/>
                        <wps:cNvCnPr/>
                        <wps:spPr>
                          <a:xfrm>
                            <a:off x="4662000" y="234000"/>
                            <a:ext cx="126000" cy="0"/>
                          </a:xfrm>
                          <a:prstGeom prst="straightConnector1">
                            <a:avLst/>
                          </a:prstGeom>
                          <a:ln w="19050">
                            <a:solidFill>
                              <a:srgbClr val="404040"/>
                            </a:solidFill>
                            <a:tailEnd type="triangle" w="med" len="med"/>
                          </a:ln>
                        </wps:spPr>
                        <wps:bodyPr/>
                      </wps:wsp>
                      <wps:wsp>
                        <wps:cNvPr id="54" name="Shape 54"/>
                        <wps:cNvSpPr/>
                        <wps:spPr>
                          <a:xfrm>
                            <a:off x="4788000" y="36000"/>
                            <a:ext cx="1062000" cy="396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Natija</w:t>
                              </w:r>
                            </w:p>
                          </w:txbxContent>
                        </wps:txbx>
                        <wps:bodyPr rot="0" vert="horz" wrap="square" lIns="36000" tIns="18000" rIns="36000" bIns="18000" anchor="ctr" anchorCtr="0">
                          <a:noAutofit/>
                        </wps:bodyPr>
                      </wps:wsp>
                      <wps:wsp>
                        <wps:cNvPr id="55" name="Shape 55"/>
                        <wps:cNvSpPr/>
                        <wps:spPr>
                          <a:xfrm>
                            <a:off x="4788000" y="486000"/>
                            <a:ext cx="1062000" cy="720000"/>
                          </a:xfrm>
                          <a:prstGeom prst="roundRect">
                            <a:avLst>
                              <a:gd name="adj" fmla="val 10000"/>
                            </a:avLst>
                          </a:prstGeom>
                          <a:solidFill>
                            <a:srgbClr val="F2F2F2"/>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Kapital va likvidlik</w:t>
                              </w:r>
                            </w:p>
                            <w:p>
                              <w:pPr>
                                <w:spacing w:before="0" w:after="0" w:line="228" w:lineRule="auto"/>
                                <w:jc w:val="center"/>
                                <w:ind w:firstLine="0"/>
                              </w:pPr>
                              <w:r>
                                <w:rPr>
                                  <w:rFonts w:ascii="Times New Roman" w:hAnsi="Times New Roman" w:cs="Times New Roman"/>
                                  <w:color w:val="000000"/>
                                  <w:sz w:val="18"/>
                                  <w:szCs w:val="18"/>
                                </w:rPr>
                                <w:t xml:space="preserve">tanqisligi; nazorat</w:t>
                              </w:r>
                            </w:p>
                            <w:p>
                              <w:pPr>
                                <w:spacing w:before="0" w:after="0" w:line="228" w:lineRule="auto"/>
                                <w:jc w:val="center"/>
                                <w:ind w:firstLine="0"/>
                              </w:pPr>
                              <w:r>
                                <w:rPr>
                                  <w:rFonts w:ascii="Times New Roman" w:hAnsi="Times New Roman" w:cs="Times New Roman"/>
                                  <w:color w:val="000000"/>
                                  <w:sz w:val="18"/>
                                  <w:szCs w:val="18"/>
                                </w:rPr>
                                <w:t xml:space="preserve">choralari</w:t>
                              </w:r>
                            </w:p>
                          </w:txbxContent>
                        </wps:txbx>
                        <wps:bodyPr rot="0" vert="horz" wrap="square" lIns="36000" tIns="18000" rIns="36000" bIns="18000" anchor="ctr" anchorCtr="0">
                          <a:noAutofit/>
                        </wps:bodyPr>
                      </wps:wsp>
                      <wps:wsp>
                        <wps:cNvPr id="56" name="Connector 56"/>
                        <wps:cNvCnPr/>
                        <wps:spPr>
                          <a:xfrm>
                            <a:off x="5148000" y="1206000"/>
                            <a:ext cx="0" cy="198000"/>
                          </a:xfrm>
                          <a:prstGeom prst="straightConnector1">
                            <a:avLst/>
                          </a:prstGeom>
                          <a:ln w="12700">
                            <a:solidFill>
                              <a:srgbClr val="7F7F7F"/>
                            </a:solidFill>
                          </a:ln>
                        </wps:spPr>
                        <wps:bodyPr/>
                      </wps:wsp>
                      <wps:wsp>
                        <wps:cNvPr id="57" name="Connector 57"/>
                        <wps:cNvCnPr/>
                        <wps:spPr>
                          <a:xfrm flipH="1">
                            <a:off x="576000" y="1404000"/>
                            <a:ext cx="4572000" cy="0"/>
                          </a:xfrm>
                          <a:prstGeom prst="straightConnector1">
                            <a:avLst/>
                          </a:prstGeom>
                          <a:ln w="12700">
                            <a:solidFill>
                              <a:srgbClr val="7F7F7F"/>
                            </a:solidFill>
                            <a:prstDash val="dash"/>
                          </a:ln>
                        </wps:spPr>
                        <wps:bodyPr/>
                      </wps:wsp>
                      <wps:wsp>
                        <wps:cNvPr id="58" name="Connector 58"/>
                        <wps:cNvCnPr/>
                        <wps:spPr>
                          <a:xfrm flipV="1">
                            <a:off x="576000" y="1206000"/>
                            <a:ext cx="0" cy="198000"/>
                          </a:xfrm>
                          <a:prstGeom prst="straightConnector1">
                            <a:avLst/>
                          </a:prstGeom>
                          <a:ln w="12700">
                            <a:solidFill>
                              <a:srgbClr val="7F7F7F"/>
                            </a:solidFill>
                            <a:prstDash val="dash"/>
                            <a:tailEnd type="triangle" w="med" len="med"/>
                          </a:ln>
                        </wps:spPr>
                        <wps:bodyPr/>
                      </wps:wsp>
                      <wps:wsp>
                        <wps:cNvPr id="59" name="Shape 59"/>
                        <wps:cNvSpPr/>
                        <wps:spPr>
                          <a:xfrm>
                            <a:off x="1440000" y="1296000"/>
                            <a:ext cx="3024000" cy="216000"/>
                          </a:xfrm>
                          <a:prstGeom prst="roundRect">
                            <a:avLst>
                              <a:gd name="adj" fmla="val 10000"/>
                            </a:avLst>
                          </a:prstGeom>
                          <a:solidFill>
                            <a:srgbClr val="FFFFFF"/>
                          </a:solidFill>
                          <a:ln w="12700">
                            <a:solidFill>
                              <a:srgbClr val="FFFFFF"/>
                            </a:solidFill>
                          </a:ln>
                        </wps:spPr>
                        <wps:txbx>
                          <w:txbxContent>
                            <w:p>
                              <w:pPr>
                                <w:spacing w:before="0" w:after="0" w:line="228" w:lineRule="auto"/>
                                <w:jc w:val="center"/>
                                <w:ind w:firstLine="0"/>
                              </w:pPr>
                              <w:r>
                                <w:rPr>
                                  <w:rFonts w:ascii="Times New Roman" w:hAnsi="Times New Roman" w:cs="Times New Roman"/>
                                  <w:i/>
                                  <w:color w:val="000000"/>
                                  <w:sz w:val="18"/>
                                  <w:szCs w:val="18"/>
                                </w:rPr>
                                <w:t xml:space="preserve">Teskari aloqa: kredit taklifining iqtisodiyotga ta’siri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1.3.6-rasm. Nazorat stress-testining umumiy arxitekturasi</w:t>
      </w:r>
      <w:r>
        <w:rPr>
          <w:rStyle w:val="FootnoteReference"/>
        </w:rPr>
        <w:footnoteReference w:id="67"/>
      </w:r>
    </w:p>
    <w:p>
      <w:pPr>
        <w:pStyle w:val="BodyText"/>
        <w:spacing w:line="360" w:lineRule="auto" w:before="0" w:after="0"/>
        <w:ind w:firstLine="709"/>
        <w:jc w:val="both"/>
      </w:pPr>
      <w:r>
        <w:rPr>
          <w:rFonts w:ascii="Times New Roman" w:hAnsi="Times New Roman" w:cs="Times New Roman" w:eastAsia="Times New Roman"/>
          <w:sz w:val="28"/>
        </w:rPr>
        <w:t xml:space="preserve">Tizimli ahamiyatli kredit tashkilotlarini aniqlashda Rossiya banki 3737-U ko‘rsatmasiga tayanadi</w:t>
      </w:r>
      <w:r>
        <w:rPr>
          <w:rStyle w:val="FootnoteReference"/>
        </w:rPr>
        <w:footnoteReference w:id="68"/>
      </w:r>
      <w:r>
        <w:rPr>
          <w:rFonts w:ascii="Times New Roman" w:hAnsi="Times New Roman" w:cs="Times New Roman" w:eastAsia="Times New Roman"/>
          <w:sz w:val="28"/>
        </w:rPr>
        <w:t xml:space="preserve">. O.I. Lavrushin tahriridagi monografiyada esa bu borada miqdoriy mezonlar taklif etilgan: aktivlardagi ulush 1 foizdan, kapitaldagi ulush 1 foizdan, banklararo kredit bozoridagi ulush 3 foizdan, majburiyatlardagi ulush 2 foizdan, jismoniy shaxslar mablag‘laridagi ulush 5 foizdan ortiq bo‘lishi. Mualliflar bunda bank hajmining o‘zi tizimli ahamiyat mezoni bo‘la olmasligini, bankning boshqa moliya institutlari bilan bog‘liqligi ham hisobga olinishi kerakligini ta’kidlaydi</w:t>
      </w:r>
      <w:r>
        <w:rPr>
          <w:rStyle w:val="FootnoteReference"/>
        </w:rPr>
        <w:footnoteReference w:id="69"/>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Rossiya bilan bir qatorda, rivojlanayotgan bozorlar orasida Xitoy tajribasi ham diqqatga sazovor, chunki bu mamlakat bank tizimida ham davlat banklari ustunlik qiladi. 2003-yilda Xitoy bank nazorati komissiyasi tashkil etilib, bank nazorati Xitoy Xalq bankidan ajratildi. Buning sababi mikroprudensial nazorat va monetar siyosat o‘rtasidagi manfaatlar to‘qnashuvi edi</w:t>
      </w:r>
      <w:r>
        <w:rPr>
          <w:rStyle w:val="FootnoteReference"/>
        </w:rPr>
        <w:footnoteReference w:id="70"/>
      </w:r>
      <w:r>
        <w:rPr>
          <w:rFonts w:ascii="Times New Roman" w:hAnsi="Times New Roman" w:cs="Times New Roman" w:eastAsia="Times New Roman"/>
          <w:sz w:val="28"/>
        </w:rPr>
        <w:t xml:space="preserve">. Keyinchalik bu komissiya sug‘urta nazorati bilan birlashtirilib, 2023-yilda Milliy moliyaviy nazorat boshqarmasiga aylantirildi. Xitoy tizimi murakkab modellarga emas, balki oddiy, ammo qat’iy miqdoriy cheklovlarga tayanadi. Xususan, kreditlarning depozitlarga nisbati 75 foizdan oshmasligi kerak va 2011-yil iyunidan boshlab bu ko‘rsatkich har kuni monitoring qilinadi; inqirozdan keyin esa kutilgan zararlar bo‘yicha 2,5 foizlik zaxira normativi joriy etilgan</w:t>
      </w:r>
      <w:r>
        <w:rPr>
          <w:rStyle w:val="FootnoteReference"/>
        </w:rPr>
        <w:footnoteReference w:id="71"/>
      </w:r>
      <w:r>
        <w:rPr>
          <w:rFonts w:ascii="Times New Roman" w:hAnsi="Times New Roman" w:cs="Times New Roman" w:eastAsia="Times New Roman"/>
          <w:sz w:val="28"/>
        </w:rPr>
        <w:t xml:space="preserve">. Keyinchalik, 2015-yilda kreditlarning depozitlarga nisbati bo‘yicha qat’iy cheklov qonundan chiqarilib, monitoring ko‘rsatkichiga aylantirildi</w:t>
      </w:r>
      <w:r>
        <w:rPr>
          <w:rStyle w:val="FootnoteReference"/>
        </w:rPr>
        <w:footnoteReference w:id="72"/>
      </w:r>
      <w:r>
        <w:rPr>
          <w:rFonts w:ascii="Times New Roman" w:hAnsi="Times New Roman" w:cs="Times New Roman" w:eastAsia="Times New Roman"/>
          <w:sz w:val="28"/>
        </w:rPr>
        <w:t xml:space="preserve">. Tizimli ahamiyatli banklarga yuqori kapital talablari qo‘yilgan: asosiy kapital 8,5 foiz, birinchi darajali kapital 9,5 foiz, jami kapital 11,5 foiz</w:t>
      </w:r>
      <w:r>
        <w:rPr>
          <w:rStyle w:val="FootnoteReference"/>
        </w:rPr>
        <w:footnoteReference w:id="73"/>
      </w:r>
      <w:r>
        <w:rPr>
          <w:rFonts w:ascii="Times New Roman" w:hAnsi="Times New Roman" w:cs="Times New Roman" w:eastAsia="Times New Roman"/>
          <w:sz w:val="28"/>
        </w:rPr>
        <w:t xml:space="preserve">. 2024-yil 1-yanvardan esa tijorat banklari kapitalini boshqarish bo‘yicha yangi qoidalar kuchga kirdi. Unga ko‘ra banklar aktivlari hajmi va xorijiy faoliyati ko‘lamiga qarab uch guruhga ajratiladi: yirik va xalqaro faoliyat yurituvchi banklarga Bazel III ning to‘liq talablari qo‘llanadi, kichikroq banklarga soddalashtirilgan, eng kichik banklarga esa yanada soddalashtirilgan talablar qo‘yiladi</w:t>
      </w:r>
      <w:r>
        <w:rPr>
          <w:rStyle w:val="FootnoteReference"/>
        </w:rPr>
        <w:footnoteReference w:id="74"/>
      </w:r>
      <w:r>
        <w:rPr>
          <w:rFonts w:ascii="Times New Roman" w:hAnsi="Times New Roman" w:cs="Times New Roman" w:eastAsia="Times New Roman"/>
          <w:sz w:val="28"/>
        </w:rPr>
        <w:t xml:space="preserve">. Bu proporsional yondashuv O‘zbekiston uchun ham e’tiborga loyiq, chunki mamlakatdagi banklar hajmi va faoliyat murakkabligi jihatidan keskin farq qiladi.</w:t>
      </w:r>
    </w:p>
    <w:p>
      <w:pPr>
        <w:pStyle w:val="BodyText"/>
        <w:spacing w:line="360" w:lineRule="auto" w:before="0" w:after="0"/>
        <w:ind w:firstLine="709"/>
        <w:jc w:val="both"/>
      </w:pPr>
      <w:r>
        <w:rPr>
          <w:rFonts w:ascii="Times New Roman" w:hAnsi="Times New Roman" w:cs="Times New Roman" w:eastAsia="Times New Roman"/>
          <w:sz w:val="28"/>
        </w:rPr>
        <w:t xml:space="preserve">Biroq Xitoy tajribasi rasmiy ko‘rsatkichlarning ishonchliligi muammosini ham ochiq namoyon etadi. Bu muammo ilmiy adabiyotda ancha oldin qayd etilgan: 2010-yillarning o‘rtalarida rasmiy ma’lumotlarda muammoli kreditlar ulushi 1,5 foiz deb e’lon qilingan bo‘lsa-da, mustaqil baholarga ko‘ra u 8–12 foizni tashkil etgan</w:t>
      </w:r>
      <w:r>
        <w:rPr>
          <w:rStyle w:val="FootnoteReference"/>
        </w:rPr>
        <w:footnoteReference w:id="75"/>
      </w:r>
      <w:r>
        <w:rPr>
          <w:rFonts w:ascii="Times New Roman" w:hAnsi="Times New Roman" w:cs="Times New Roman" w:eastAsia="Times New Roman"/>
          <w:sz w:val="28"/>
        </w:rPr>
        <w:t xml:space="preserve">. XVJ esa 2016-yilda Xitoy kompaniyalariga berilgan tijorat kreditlarining 15,5 foizi «risk ostida» ekanini va ular bo‘yicha potensial yo‘qotishlar YaIMning qariyb 7 foiziga teng bo‘lishi mumkinligini baholagan</w:t>
      </w:r>
      <w:r>
        <w:rPr>
          <w:rStyle w:val="FootnoteReference"/>
        </w:rPr>
        <w:footnoteReference w:id="76"/>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So‘nggi yillar ma’lumotlari ham vaziyat tubdan o‘zgarmaganini ko‘rsatadi. Milliy moliyaviy nazorat boshqarmasi ma’lumotlariga ko‘ra, tijorat banklarida muammoli kreditlar ulushi 2023-yil oxirida 1,59 foiz, 2024-yil oxirida 1,50 foiz, 2025-yil III chorak oxirida esa 1,52 foizni tashkil etgan</w:t>
      </w:r>
      <w:r>
        <w:rPr>
          <w:rStyle w:val="FootnoteReference"/>
        </w:rPr>
        <w:footnoteReference w:id="77"/>
      </w:r>
      <w:r>
        <w:rPr>
          <w:rFonts w:ascii="Times New Roman" w:hAnsi="Times New Roman" w:cs="Times New Roman" w:eastAsia="Times New Roman"/>
          <w:sz w:val="28"/>
        </w:rPr>
        <w:t xml:space="preserve">. Biroq ularning yonida «alohida e’tibor talab qiluvchi» kreditlar ham bor bo‘lib, ularning ulushi 2,2 foiz atrofida saqlanib kelmoqda; ikkalasi qo‘shilganda muammoli aktivlar ulushi 3,7 foizga yetadi</w:t>
      </w:r>
      <w:r>
        <w:rPr>
          <w:rStyle w:val="FootnoteReference"/>
        </w:rPr>
        <w:footnoteReference w:id="78"/>
      </w:r>
      <w:r>
        <w:rPr>
          <w:rFonts w:ascii="Times New Roman" w:hAnsi="Times New Roman" w:cs="Times New Roman" w:eastAsia="Times New Roman"/>
          <w:sz w:val="28"/>
        </w:rPr>
        <w:t xml:space="preserve">. B. Charoenwong, M. Miao va T. Ruan esa banklar muammoli kreditlarni o‘zlariga bog‘liq tomonlarga «sotib», ularning riskini amalda o‘zida qoldirayotganini aniqlagan. Mualliflar fikricha, shunday yashirin kreditlar hisobga olinsa, Xitoyda muammoli kreditlarning haqiqiy hajmi rasmiy ko‘rsatkichdan 2–3 barobar ko‘p bo‘ladi</w:t>
      </w:r>
      <w:r>
        <w:rPr>
          <w:rStyle w:val="FootnoteReference"/>
        </w:rPr>
        <w:footnoteReference w:id="79"/>
      </w:r>
      <w:r>
        <w:rPr>
          <w:rFonts w:ascii="Times New Roman" w:hAnsi="Times New Roman" w:cs="Times New Roman" w:eastAsia="Times New Roman"/>
          <w:sz w:val="28"/>
        </w:rPr>
        <w:t xml:space="preserve">. Ushbu ma’lumotlar 1.3.7-rasmda umumlashtirildi.</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7" name="1.3.7-rasm"/>
            <wp:cNvGraphicFramePr/>
            <a:graphic>
              <a:graphicData uri="http://schemas.openxmlformats.org/drawingml/2006/chart">
                <c:chart r:id="rId1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1.3.7-rasm. Xitoy tijorat banklarida muammoli kreditlar ulushi: rasmiy ma’lumotlar va muqobil baholar, %</w:t>
      </w:r>
      <w:r>
        <w:rPr>
          <w:rStyle w:val="FootnoteReference"/>
        </w:rPr>
        <w:footnoteReference w:id="80"/>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rasmiy muammoli kreditlar ulushi uch yil davomida 1,5 foiz atrofida barqaror turibdi. Ammo alohida e’tibor talab qiluvchi kreditlar qo‘shilsa, bu ko‘rsatkich ikki yarim barobar, ilmiy baholarga ko‘ra esa uch barobargacha ortadi. XVJ ham 2025-yilgi sharhida ko‘chmas mulk, mahalliy hukumat moliyalashtirish kompaniyalari, o‘rta korxonalar va chakana qarz oluvchilarga berilgan imtiyozlar, ya’ni kredit muddatini uzaytirish va restrukturizatsiya qilish aktivlar sifatining haqiqiy holatini yashirishi hamda zararlarni tan olishni kechiktirishi mumkinligidan ogohlantirgan</w:t>
      </w:r>
      <w:r>
        <w:rPr>
          <w:rStyle w:val="FootnoteReference"/>
        </w:rPr>
        <w:footnoteReference w:id="81"/>
      </w:r>
      <w:r>
        <w:rPr>
          <w:rFonts w:ascii="Times New Roman" w:hAnsi="Times New Roman" w:cs="Times New Roman" w:eastAsia="Times New Roman"/>
          <w:sz w:val="28"/>
        </w:rPr>
        <w:t xml:space="preserve">. Bunday tafovutning sababi nimada? He Wei Ping fikricha, davlatning yashirin kafolati, ya’ni «banklar qulashidan oldin qutqariladi» degan ishonch bozor intizomini zaiflashtiradi, tartibga solish maqsadlari esa hukumatning iqtisodiy va ijtimoiy siyosatiga bo‘ysundiriladi</w:t>
      </w:r>
      <w:r>
        <w:rPr>
          <w:rStyle w:val="FootnoteReference"/>
        </w:rPr>
        <w:footnoteReference w:id="82"/>
      </w:r>
      <w:r>
        <w:rPr>
          <w:rFonts w:ascii="Times New Roman" w:hAnsi="Times New Roman" w:cs="Times New Roman" w:eastAsia="Times New Roman"/>
          <w:sz w:val="28"/>
        </w:rPr>
        <w:t xml:space="preserve">. Natijada muammoli aktivlar restrukturizatsiya qilinib, rasmiy hisobotlarda o‘z aksini topmaydi. Bu xulosa davlat ulushi yuqori bo‘lgan har qanday bank tizimi, jumladan, O‘zbekiston bank tizimi uchun ham jiddiy ogohlantirish hisoblanadi.</w:t>
      </w:r>
    </w:p>
    <w:p>
      <w:pPr>
        <w:pStyle w:val="BodyText"/>
        <w:spacing w:line="360" w:lineRule="auto" w:before="0" w:after="0"/>
        <w:ind w:firstLine="709"/>
        <w:jc w:val="both"/>
      </w:pPr>
      <w:r>
        <w:rPr>
          <w:rFonts w:ascii="Times New Roman" w:hAnsi="Times New Roman" w:cs="Times New Roman" w:eastAsia="Times New Roman"/>
          <w:sz w:val="28"/>
        </w:rPr>
        <w:t xml:space="preserve">Sharqiy Yevropa va BRIKS mamlakatlari tajribasi esa kapital zaxirasini muntazam kuzatish zarurligini tasdiqlaydi. Latviyada 2006–2010-yillarda haqiqiy kapitalning talab va buferdan ortiq qismi manfiy bo‘lgan bo‘lsa, Estoniyada 2015-yilda birinchi darajali kapital 27,8 foizni tashkil etgan</w:t>
      </w:r>
      <w:r>
        <w:rPr>
          <w:rStyle w:val="FootnoteReference"/>
        </w:rPr>
        <w:footnoteReference w:id="83"/>
      </w:r>
      <w:r>
        <w:rPr>
          <w:rFonts w:ascii="Times New Roman" w:hAnsi="Times New Roman" w:cs="Times New Roman" w:eastAsia="Times New Roman"/>
          <w:sz w:val="28"/>
        </w:rPr>
        <w:t xml:space="preserve">. Braziliyada Bazel III dan oldin kapital yetarliligiga talab 11 foiz bo‘lib, talab qilib olinguncha depozitlar bo‘yicha majburiy zaxira normasi 45 foizgacha yetgan</w:t>
      </w:r>
      <w:r>
        <w:rPr>
          <w:rStyle w:val="FootnoteReference"/>
        </w:rPr>
        <w:footnoteReference w:id="84"/>
      </w:r>
      <w:r>
        <w:rPr>
          <w:rFonts w:ascii="Times New Roman" w:hAnsi="Times New Roman" w:cs="Times New Roman" w:eastAsia="Times New Roman"/>
          <w:sz w:val="28"/>
        </w:rPr>
        <w:t xml:space="preserve">. Rossiyada esa BRIKS mamlakatlari orasida eng yuqori muddati o‘tgan qarzlar ulushi (8,35 foiz) qayd etilgan</w:t>
      </w:r>
      <w:r>
        <w:rPr>
          <w:rStyle w:val="FootnoteReference"/>
        </w:rPr>
        <w:footnoteReference w:id="85"/>
      </w:r>
      <w:r>
        <w:rPr>
          <w:rFonts w:ascii="Times New Roman" w:hAnsi="Times New Roman" w:cs="Times New Roman" w:eastAsia="Times New Roman"/>
          <w:sz w:val="28"/>
        </w:rPr>
        <w:t xml:space="preserve">. Bu misollar bir xil xalqaro standart turli mamlakatlarda turlicha natija berishini, shu bois uni milliy sharoitga moslashtirish muqarrar ekanini ko‘rsatadi.</w:t>
      </w:r>
    </w:p>
    <w:p>
      <w:pPr>
        <w:pStyle w:val="BodyText"/>
        <w:spacing w:line="360" w:lineRule="auto" w:before="0" w:after="0"/>
        <w:ind w:firstLine="709"/>
        <w:jc w:val="both"/>
      </w:pPr>
      <w:r>
        <w:rPr>
          <w:rFonts w:ascii="Times New Roman" w:hAnsi="Times New Roman" w:cs="Times New Roman" w:eastAsia="Times New Roman"/>
          <w:sz w:val="28"/>
        </w:rPr>
        <w:t xml:space="preserve">Yuqorida ilg‘or xorijiy mamlakatlar va rivojlanayotgan bozorlar tajribasi tahlil qilindi. Ushbu tahlil natijalarini umumlashtirib, O‘zbekistonda banklar moliyaviy barqarorligini baholash tizimini takomillashtirish uchun bir qator amaliy xulosalar chiqarishga harakat qilindi (1.3.3-jadval).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1.3.3-jadval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Xorijiy tajriba va undan O‘zbekiston uchun kelib chiqadigan xulosalar</w:t>
      </w:r>
      <w:r>
        <w:rPr>
          <w:rStyle w:val="FootnoteReference"/>
        </w:rPr>
        <w:footnoteReference w:id="86"/>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Mamlakat / tizim</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Tajriba</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O‘zbekiston uchun xulosa</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AQSh – PCA</w:t>
            </w:r>
          </w:p>
        </w:tc>
        <w:tc>
          <w:tcPr/>
          <w:p>
            <w:pPr>
              <w:pStyle w:val="Compact"/>
              <w:spacing w:line="240" w:lineRule="auto"/>
              <w:ind w:firstLine="0"/>
              <w:jc w:val="left"/>
            </w:pPr>
            <w:r>
              <w:rPr>
                <w:rFonts w:ascii="Times New Roman" w:hAnsi="Times New Roman" w:cs="Times New Roman" w:eastAsia="Times New Roman"/>
                <w:sz w:val="22"/>
              </w:rPr>
              <w:t xml:space="preserve">Kapitalning pog‘onali chegaralari aniq nazorat choralari bilan bog‘langan</w:t>
            </w:r>
          </w:p>
        </w:tc>
        <w:tc>
          <w:tcPr/>
          <w:p>
            <w:pPr>
              <w:pStyle w:val="Compact"/>
              <w:spacing w:line="240" w:lineRule="auto"/>
              <w:ind w:firstLine="0"/>
              <w:jc w:val="left"/>
            </w:pPr>
            <w:r>
              <w:rPr>
                <w:rFonts w:ascii="Times New Roman" w:hAnsi="Times New Roman" w:cs="Times New Roman" w:eastAsia="Times New Roman"/>
                <w:sz w:val="22"/>
              </w:rPr>
              <w:t xml:space="preserve">Kapital ko‘rsatkichini ko‘p pog‘onali shkala bilan baholash va tezkor tuzatuvchi choralar tizimini joriy etish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AQSh – FIMS</w:t>
            </w:r>
          </w:p>
        </w:tc>
        <w:tc>
          <w:tcPr/>
          <w:p>
            <w:pPr>
              <w:pStyle w:val="Compact"/>
              <w:spacing w:line="240" w:lineRule="auto"/>
              <w:ind w:firstLine="0"/>
              <w:jc w:val="left"/>
            </w:pPr>
            <w:r>
              <w:rPr>
                <w:rFonts w:ascii="Times New Roman" w:hAnsi="Times New Roman" w:cs="Times New Roman" w:eastAsia="Times New Roman"/>
                <w:sz w:val="22"/>
              </w:rPr>
              <w:t xml:space="preserve">Statistik model reytingni va bankrotlikni bashorat qiladi, chegara birinchi tur xatosini kamaytirishga moslangan</w:t>
            </w:r>
          </w:p>
        </w:tc>
        <w:tc>
          <w:tcPr/>
          <w:p>
            <w:pPr>
              <w:pStyle w:val="Compact"/>
              <w:spacing w:line="240" w:lineRule="auto"/>
              <w:ind w:firstLine="0"/>
              <w:jc w:val="left"/>
            </w:pPr>
            <w:r>
              <w:rPr>
                <w:rFonts w:ascii="Times New Roman" w:hAnsi="Times New Roman" w:cs="Times New Roman" w:eastAsia="Times New Roman"/>
                <w:sz w:val="22"/>
              </w:rPr>
              <w:t xml:space="preserve">Baholash metodikasining bashorat kuchini statistik usullar bilan tekshirish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AQSh – stress-testlar</w:t>
            </w:r>
          </w:p>
        </w:tc>
        <w:tc>
          <w:tcPr/>
          <w:p>
            <w:pPr>
              <w:pStyle w:val="Compact"/>
              <w:spacing w:line="240" w:lineRule="auto"/>
              <w:ind w:firstLine="0"/>
              <w:jc w:val="left"/>
            </w:pPr>
            <w:r>
              <w:rPr>
                <w:rFonts w:ascii="Times New Roman" w:hAnsi="Times New Roman" w:cs="Times New Roman" w:eastAsia="Times New Roman"/>
                <w:sz w:val="22"/>
              </w:rPr>
              <w:t xml:space="preserve">Natijalar ommaga e’lon qilinadi</w:t>
            </w:r>
          </w:p>
        </w:tc>
        <w:tc>
          <w:tcPr/>
          <w:p>
            <w:pPr>
              <w:pStyle w:val="Compact"/>
              <w:spacing w:line="240" w:lineRule="auto"/>
              <w:ind w:firstLine="0"/>
              <w:jc w:val="left"/>
            </w:pPr>
            <w:r>
              <w:rPr>
                <w:rFonts w:ascii="Times New Roman" w:hAnsi="Times New Roman" w:cs="Times New Roman" w:eastAsia="Times New Roman"/>
                <w:sz w:val="22"/>
              </w:rPr>
              <w:t xml:space="preserve">Stress-test natijalarini oshkor qilish orqali bozor intizomini kuchaytirish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Buyuk Britaniya – BAITE, RATE</w:t>
            </w:r>
          </w:p>
        </w:tc>
        <w:tc>
          <w:tcPr/>
          <w:p>
            <w:pPr>
              <w:pStyle w:val="Compact"/>
              <w:spacing w:line="240" w:lineRule="auto"/>
              <w:ind w:firstLine="0"/>
              <w:jc w:val="left"/>
            </w:pPr>
            <w:r>
              <w:rPr>
                <w:rFonts w:ascii="Times New Roman" w:hAnsi="Times New Roman" w:cs="Times New Roman" w:eastAsia="Times New Roman"/>
                <w:sz w:val="22"/>
              </w:rPr>
              <w:t xml:space="preserve">Nazorat intensivligi risk darajasiga bog‘langan</w:t>
            </w:r>
          </w:p>
        </w:tc>
        <w:tc>
          <w:tcPr/>
          <w:p>
            <w:pPr>
              <w:pStyle w:val="Compact"/>
              <w:spacing w:line="240" w:lineRule="auto"/>
              <w:ind w:firstLine="0"/>
              <w:jc w:val="left"/>
            </w:pPr>
            <w:r>
              <w:rPr>
                <w:rFonts w:ascii="Times New Roman" w:hAnsi="Times New Roman" w:cs="Times New Roman" w:eastAsia="Times New Roman"/>
                <w:sz w:val="22"/>
              </w:rPr>
              <w:t xml:space="preserve">Baholash natijasini nazorat rejimi va tekshiruv davriyligi bilan bog‘lash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Germaniya – BAKIS</w:t>
            </w:r>
          </w:p>
        </w:tc>
        <w:tc>
          <w:tcPr/>
          <w:p>
            <w:pPr>
              <w:pStyle w:val="Compact"/>
              <w:spacing w:line="240" w:lineRule="auto"/>
              <w:ind w:firstLine="0"/>
              <w:jc w:val="left"/>
            </w:pPr>
            <w:r>
              <w:rPr>
                <w:rFonts w:ascii="Times New Roman" w:hAnsi="Times New Roman" w:cs="Times New Roman" w:eastAsia="Times New Roman"/>
                <w:sz w:val="22"/>
              </w:rPr>
              <w:t xml:space="preserve">Teng vaznlar, guruh o‘rtachasi bilan taqqoslash</w:t>
            </w:r>
          </w:p>
        </w:tc>
        <w:tc>
          <w:tcPr/>
          <w:p>
            <w:pPr>
              <w:pStyle w:val="Compact"/>
              <w:spacing w:line="240" w:lineRule="auto"/>
              <w:ind w:firstLine="0"/>
              <w:jc w:val="left"/>
            </w:pPr>
            <w:r>
              <w:rPr>
                <w:rFonts w:ascii="Times New Roman" w:hAnsi="Times New Roman" w:cs="Times New Roman" w:eastAsia="Times New Roman"/>
                <w:sz w:val="22"/>
              </w:rPr>
              <w:t xml:space="preserve">Qiyosiy (peer) baholashni joriy etish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Yevropa Ittifoqi – EBA KRI</w:t>
            </w:r>
          </w:p>
        </w:tc>
        <w:tc>
          <w:tcPr/>
          <w:p>
            <w:pPr>
              <w:pStyle w:val="Compact"/>
              <w:spacing w:line="240" w:lineRule="auto"/>
              <w:ind w:firstLine="0"/>
              <w:jc w:val="left"/>
            </w:pPr>
            <w:r>
              <w:rPr>
                <w:rFonts w:ascii="Times New Roman" w:hAnsi="Times New Roman" w:cs="Times New Roman" w:eastAsia="Times New Roman"/>
                <w:sz w:val="22"/>
              </w:rPr>
              <w:t xml:space="preserve">Ochiq ma’lumotlar bazasi, risklar paneli</w:t>
            </w:r>
          </w:p>
        </w:tc>
        <w:tc>
          <w:tcPr/>
          <w:p>
            <w:pPr>
              <w:pStyle w:val="Compact"/>
              <w:spacing w:line="240" w:lineRule="auto"/>
              <w:ind w:firstLine="0"/>
              <w:jc w:val="left"/>
            </w:pPr>
            <w:r>
              <w:rPr>
                <w:rFonts w:ascii="Times New Roman" w:hAnsi="Times New Roman" w:cs="Times New Roman" w:eastAsia="Times New Roman"/>
                <w:sz w:val="22"/>
              </w:rPr>
              <w:t xml:space="preserve">Banklar ko‘rsatkichlarini ochiq e’lon qilish, kredit riskiga ortiqcha urg‘u bermaslik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Yevropa Ittifoqi – ESRB</w:t>
            </w:r>
          </w:p>
        </w:tc>
        <w:tc>
          <w:tcPr/>
          <w:p>
            <w:pPr>
              <w:pStyle w:val="Compact"/>
              <w:spacing w:line="240" w:lineRule="auto"/>
              <w:ind w:firstLine="0"/>
              <w:jc w:val="left"/>
            </w:pPr>
            <w:r>
              <w:rPr>
                <w:rFonts w:ascii="Times New Roman" w:hAnsi="Times New Roman" w:cs="Times New Roman" w:eastAsia="Times New Roman"/>
                <w:sz w:val="22"/>
              </w:rPr>
              <w:t xml:space="preserve">Qat’iy baza va diskretsion makroprudensial vositalar</w:t>
            </w:r>
          </w:p>
        </w:tc>
        <w:tc>
          <w:tcPr/>
          <w:p>
            <w:pPr>
              <w:pStyle w:val="Compact"/>
              <w:spacing w:line="240" w:lineRule="auto"/>
              <w:ind w:firstLine="0"/>
              <w:jc w:val="left"/>
            </w:pPr>
            <w:r>
              <w:rPr>
                <w:rFonts w:ascii="Times New Roman" w:hAnsi="Times New Roman" w:cs="Times New Roman" w:eastAsia="Times New Roman"/>
                <w:sz w:val="22"/>
              </w:rPr>
              <w:t xml:space="preserve">Mikro va makroprudensial baholashni uyg‘unlashtirish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Rossiya</w:t>
            </w:r>
          </w:p>
        </w:tc>
        <w:tc>
          <w:tcPr/>
          <w:p>
            <w:pPr>
              <w:pStyle w:val="Compact"/>
              <w:spacing w:line="240" w:lineRule="auto"/>
              <w:ind w:firstLine="0"/>
              <w:jc w:val="left"/>
            </w:pPr>
            <w:r>
              <w:rPr>
                <w:rFonts w:ascii="Times New Roman" w:hAnsi="Times New Roman" w:cs="Times New Roman" w:eastAsia="Times New Roman"/>
                <w:sz w:val="22"/>
              </w:rPr>
              <w:t xml:space="preserve">Ochiq vaznli 1–4 ballik tizim; dinamika va prognoz yo‘qligi tanqid qilingan</w:t>
            </w:r>
          </w:p>
        </w:tc>
        <w:tc>
          <w:tcPr/>
          <w:p>
            <w:pPr>
              <w:pStyle w:val="Compact"/>
              <w:spacing w:line="240" w:lineRule="auto"/>
              <w:ind w:firstLine="0"/>
              <w:jc w:val="left"/>
            </w:pPr>
            <w:r>
              <w:rPr>
                <w:rFonts w:ascii="Times New Roman" w:hAnsi="Times New Roman" w:cs="Times New Roman" w:eastAsia="Times New Roman"/>
                <w:sz w:val="22"/>
              </w:rPr>
              <w:t xml:space="preserve">Ochiq vaznli integral baholashga dinamik va prognoz elementlarini qo‘shish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Xitoy</w:t>
            </w:r>
          </w:p>
        </w:tc>
        <w:tc>
          <w:tcPr/>
          <w:p>
            <w:pPr>
              <w:pStyle w:val="Compact"/>
              <w:spacing w:line="240" w:lineRule="auto"/>
              <w:ind w:firstLine="0"/>
              <w:jc w:val="left"/>
            </w:pPr>
            <w:r>
              <w:rPr>
                <w:rFonts w:ascii="Times New Roman" w:hAnsi="Times New Roman" w:cs="Times New Roman" w:eastAsia="Times New Roman"/>
                <w:sz w:val="22"/>
              </w:rPr>
              <w:t xml:space="preserve">Rasmiy NPL bilan haqiqiy risk o‘rtasida katta tafovut</w:t>
            </w:r>
          </w:p>
        </w:tc>
        <w:tc>
          <w:tcPr/>
          <w:p>
            <w:pPr>
              <w:pStyle w:val="Compact"/>
              <w:spacing w:line="240" w:lineRule="auto"/>
              <w:ind w:firstLine="0"/>
              <w:jc w:val="left"/>
            </w:pPr>
            <w:r>
              <w:rPr>
                <w:rFonts w:ascii="Times New Roman" w:hAnsi="Times New Roman" w:cs="Times New Roman" w:eastAsia="Times New Roman"/>
                <w:sz w:val="22"/>
              </w:rPr>
              <w:t xml:space="preserve">Aktivlar sifatini MHXS 9 bo‘yicha va mustaqil baholash; davlat banklariga alohida e’tibor</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 keltirilgan xulosalarni uch asosiy yo‘nalishga birlashtirish mumkin.</w:t>
      </w:r>
    </w:p>
    <w:p>
      <w:pPr>
        <w:pStyle w:val="BodyText"/>
        <w:spacing w:line="360" w:lineRule="auto" w:before="0" w:after="0"/>
        <w:ind w:firstLine="709"/>
        <w:jc w:val="both"/>
      </w:pPr>
      <w:r>
        <w:rPr>
          <w:rFonts w:ascii="Times New Roman" w:hAnsi="Times New Roman" w:cs="Times New Roman" w:eastAsia="Times New Roman"/>
          <w:sz w:val="28"/>
        </w:rPr>
        <w:t xml:space="preserve">Birinchidan, rivojlangan mamlakatlarda baholash natijasi shunchaki axborot bo‘lib qolmaydi, balki aniq nazorat qarori uchun asos bo‘ladi. AQShda tezkor tuzatuvchi choralar toifasi majburiy choralarni, Buyuk Britaniyada esa risk matritsasi tekshiruv davriyligini belgilaydi. O‘zbekistonda bo‘lsa, 2.3-paragrafda ko‘rsatilganidek, erta ogohlantirish va tezkor tuzatuvchi choralar tizimi hali shakllanish bosqichida.</w:t>
      </w:r>
    </w:p>
    <w:p>
      <w:pPr>
        <w:pStyle w:val="BodyText"/>
        <w:spacing w:line="360" w:lineRule="auto" w:before="0" w:after="0"/>
        <w:ind w:firstLine="709"/>
        <w:jc w:val="both"/>
      </w:pPr>
      <w:r>
        <w:rPr>
          <w:rFonts w:ascii="Times New Roman" w:hAnsi="Times New Roman" w:cs="Times New Roman" w:eastAsia="Times New Roman"/>
          <w:sz w:val="28"/>
        </w:rPr>
        <w:t xml:space="preserve">Ikkinchidan, xorijiy tajriba baholash metodikasining shaffofligi va bashorat kuchini muntazam tekshirib borish muhimligini ko‘rsatadi. AQSh statistik modellarning bashorat aniqligini doimiy tekshirib boradi, Yevropa Ittifoqi esa banklar ko‘rsatkichlarini ochiq ma’lumotlar bazasi sifatida e’lon qiladi. Rossiya tizimining asosiy kamchiligi sifatida aynan dinamika va prognozning yo‘qligi ko‘rsatilgani ham bejiz emas. Bularning barchasi dissertatsiyada taklif etiladigan integral indeksning bashorat kuchini ham albatta tekshirish zarurligini asoslaydi.</w:t>
      </w:r>
    </w:p>
    <w:p>
      <w:pPr>
        <w:pStyle w:val="BodyText"/>
        <w:spacing w:line="360" w:lineRule="auto" w:before="0" w:after="0"/>
        <w:ind w:firstLine="709"/>
        <w:jc w:val="both"/>
      </w:pPr>
      <w:r>
        <w:rPr>
          <w:rFonts w:ascii="Times New Roman" w:hAnsi="Times New Roman" w:cs="Times New Roman" w:eastAsia="Times New Roman"/>
          <w:sz w:val="28"/>
        </w:rPr>
        <w:t xml:space="preserve">Uchinchidan, rasmiy ko‘rsatkichlarning ishonchliligi masalasiga alohida e’tibor qaratish lozim. Xitoy tajribasi va AQShdagi CRA qonuni bilan bog‘liq holatlar davlat tomonidan yo‘naltirilgan kreditlash ulushi yuqori bo‘lgan tizimlarda rasmiy ko‘rsatkichlar haqiqiy riskni kamsitib ko‘rsatishi mumkinligidan dalolat beradi. Davlat banklari ulushi hamon yuqori bo‘lgan O‘zbekiston uchun bu xulosa ayniqsa muhimdir.</w:t>
      </w:r>
    </w:p>
    <w:p>
      <w:pPr>
        <w:pStyle w:val="BodyText"/>
        <w:spacing w:line="360" w:lineRule="auto" w:before="0" w:after="0"/>
        <w:ind w:firstLine="709"/>
        <w:jc w:val="both"/>
      </w:pPr>
      <w:r>
        <w:rPr>
          <w:rFonts w:ascii="Times New Roman" w:hAnsi="Times New Roman" w:cs="Times New Roman" w:eastAsia="Times New Roman"/>
          <w:sz w:val="28"/>
        </w:rPr>
        <w:t xml:space="preserve">Xorijiy mamlakatlar tajribasini tadqiq etgan holda xulosa qilish mumkinki, banklar moliyaviy barqarorligini baholashda reyting tizimlari, koeffitsiyentlar va guruhlab tahlil qilish tizimlari, risklarni kompleks baholash tizimlari hamda statistik modellardan iborat to‘rt turdagi yondashuv qo‘llanadi va rivojlangan mamlakatlarda ular bir-birini to‘ldirgan holda birgalikda ishlatiladi. AQSh tajribasi kapital ko‘rsatkichini pog‘onali shkala bilan baholab, uni majburiy nazorat choralari bilan bog‘lash, statistik modellar orqali bashorat aniqligini oshirish va stress-test natijalarini oshkor qilish samarali ekanini ko‘rsatdi. G‘arbiy Yevropa mamlakatlari nazorat intensivligini risk darajasiga bog‘lash va qiyosiy baholash afzalliklarini, Yevropa Ittifoqi esa mikro va makroprudensial nazoratni integratsiyalash hamda ochiq ma’lumotlar bazasini shakllantirish ahamiyatini namoyon etdi. Rossiya tajribasi ochiq vaznli ballik tizimning afzalliklari bilan birga uning dinamika va prognozni hisobga olmaslik kabi kamchiliklarini, Bazel III ni joriy etishda esa milliy bozorning tayyorligini inobatga olish zarurligini ochib berdi. Xitoy tajribasi davlat ulushi yuqori bo‘lgan tizimlarda rasmiy ko‘rsatkichlar ishonchliligi muammosini yaqqol ko‘rsatdi. Bu o‘z navbatida, O‘zbekistonda baholash natijalarini nazorat choralari bilan bog‘lash, baholash metodikasining shaffofligi va bashorat kuchini ta’minlash hamda aktivlar sifatini xalqaro standartlar asosida mustaqil baholash zaruriyatini yuzaga keltiradi. Ushbu yo‘nalishlar dissertatsiyaning III va IV boblarida ishlab chiqiladigan integral baholash metodikasi va erta ogohlantirish tizimining asosiy tamoyillari bo‘lib xizmat qiladi.</w:t>
      </w:r>
    </w:p>
    <w:bookmarkEnd w:id="87"/>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Karaliyev T.M., Sayfiddinov I.F. Tijorat banklari faoliyatini tartibga solish va nazorati: darslik. – T.: Iqtisod-Moliya, 2019. – B. 195.</w:t>
      </w:r>
    </w:p>
  </w:footnote>
  <w:footnote w:id="21">
    <w:p>
      <w:pPr>
        <w:pStyle w:val="FootnoteText"/>
      </w:pPr>
      <w:r>
        <w:rPr>
          <w:rStyle w:val="FootnoteReference"/>
        </w:rPr>
        <w:footnoteRef/>
      </w:r>
      <w:r>
        <w:t xml:space="preserve"> </w:t>
      </w:r>
      <w:r>
        <w:t xml:space="preserve">Tadqiqot natijasida muallif tomonidan quyidagi manbalar asosida ishlab chiqildi: Устойчивость банковской системы и развитие банковской политики: монография / под ред. О.И. Лаврушина. – М.: КНОРУС, 2014. – С. 56–57; Karaliyev T.M., Sayfiddinov I.F. Tijorat banklari faoliyatini tartibga solish va nazorati: darslik. – T.: Iqtisod-Moliya, 2019. – B. 194–195.</w:t>
      </w:r>
    </w:p>
  </w:footnote>
  <w:footnote w:id="22">
    <w:p>
      <w:pPr>
        <w:pStyle w:val="FootnoteText"/>
      </w:pPr>
      <w:r>
        <w:rPr>
          <w:rStyle w:val="FootnoteReference"/>
        </w:rPr>
        <w:footnoteRef/>
      </w:r>
      <w:r>
        <w:t xml:space="preserve"> </w:t>
      </w:r>
      <w:r>
        <w:t xml:space="preserve">Tadqiqot natijasida muallif tomonidan quyidagi manbalar asosida ishlab chiqildi: Karaliyev T.M., Sayfiddinov I.F. Tijorat banklari faoliyatini tartibga solish va nazorati: darslik. – T.: Iqtisod-Moliya, 2019. – B. 194–195; Устойчивость банковской системы и развитие банковской политики: монография / под ред. О.И. Лаврушина. – М.: КНОРУС, 2014. – С. 57–61; Оценка финансовой устойчивости кредитной организации: учебник / под ред. О.И. Лаврушина, И.Д. Мамоновой. – М.: КНОРУС, 2011. – С. 92–115; Cargill T.F. The Financial System, Financial Regulation and Central Bank Policy. – Cambridge: Cambridge University Press, 2017. – P. 194–195.</w:t>
      </w:r>
    </w:p>
  </w:footnote>
  <w:footnote w:id="23">
    <w:p>
      <w:pPr>
        <w:pStyle w:val="FootnoteText"/>
      </w:pPr>
      <w:r>
        <w:rPr>
          <w:rStyle w:val="FootnoteReference"/>
        </w:rPr>
        <w:footnoteRef/>
      </w:r>
      <w:r>
        <w:t xml:space="preserve"> </w:t>
      </w:r>
      <w:r>
        <w:t xml:space="preserve">Hendrickson J.M. Regulation and Instability in U.S. Commercial Banking: A History of Crises. – Basingstoke: Palgrave Macmillan, 2011. – P. 1–2, 10–11.</w:t>
      </w:r>
    </w:p>
  </w:footnote>
  <w:footnote w:id="24">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29–31.</w:t>
      </w:r>
    </w:p>
  </w:footnote>
  <w:footnote w:id="25">
    <w:p>
      <w:pPr>
        <w:pStyle w:val="FootnoteText"/>
      </w:pPr>
      <w:r>
        <w:rPr>
          <w:rStyle w:val="FootnoteReference"/>
        </w:rPr>
        <w:footnoteRef/>
      </w:r>
      <w:r>
        <w:t xml:space="preserve"> </w:t>
      </w:r>
      <w:r>
        <w:t xml:space="preserve">Cargill T.F. The Financial System, Financial Regulation and Central Bank Policy. – Cambridge: Cambridge University Press, 2017. – P. 194–195.</w:t>
      </w:r>
    </w:p>
  </w:footnote>
  <w:footnote w:id="26">
    <w:p>
      <w:pPr>
        <w:pStyle w:val="FootnoteText"/>
      </w:pPr>
      <w:r>
        <w:rPr>
          <w:rStyle w:val="FootnoteReference"/>
        </w:rPr>
        <w:footnoteRef/>
      </w:r>
      <w:r>
        <w:t xml:space="preserve"> </w:t>
      </w:r>
      <w:r>
        <w:t xml:space="preserve">Cargill T.F. The Financial System, Financial Regulation and Central Bank Policy. – Cambridge: Cambridge University Press, 2017. – P. 193.</w:t>
      </w:r>
    </w:p>
  </w:footnote>
  <w:footnote w:id="27">
    <w:p>
      <w:pPr>
        <w:pStyle w:val="FootnoteText"/>
      </w:pPr>
      <w:r>
        <w:rPr>
          <w:rStyle w:val="FootnoteReference"/>
        </w:rPr>
        <w:footnoteRef/>
      </w:r>
      <w:r>
        <w:t xml:space="preserve"> </w:t>
      </w:r>
      <w:r>
        <w:t xml:space="preserve">Tadqiqot natijasida muallif tomonidan quyidagi manba asosida ishlab chiqildi: Cargill T.F. The Financial System, Financial Regulation and Central Bank Policy. – Cambridge: Cambridge University Press, 2017. – P. 193 (Table 9.3).</w:t>
      </w:r>
    </w:p>
  </w:footnote>
  <w:footnote w:id="28">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228–230.</w:t>
      </w:r>
    </w:p>
  </w:footnote>
  <w:footnote w:id="29">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107–114.</w:t>
      </w:r>
    </w:p>
  </w:footnote>
  <w:footnote w:id="30">
    <w:p>
      <w:pPr>
        <w:pStyle w:val="FootnoteText"/>
      </w:pPr>
      <w:r>
        <w:rPr>
          <w:rStyle w:val="FootnoteReference"/>
        </w:rPr>
        <w:footnoteRef/>
      </w:r>
      <w:r>
        <w:t xml:space="preserve"> </w:t>
      </w:r>
      <w:r>
        <w:t xml:space="preserve">Tadqiqot natijasida muallif tomonidan quyidagi manba ma’lumotlari asosida ishlab chiqildi: Оценка финансовой устойчивости кредитной организации: учебник / под ред. О.И. Лаврушина, И.Д. Мамоновой. – М.: КНОРУС, 2011. – С. 112–114.</w:t>
      </w:r>
    </w:p>
  </w:footnote>
  <w:footnote w:id="31">
    <w:p>
      <w:pPr>
        <w:pStyle w:val="FootnoteText"/>
      </w:pPr>
      <w:r>
        <w:rPr>
          <w:rStyle w:val="FootnoteReference"/>
        </w:rPr>
        <w:footnoteRef/>
      </w:r>
      <w:r>
        <w:t xml:space="preserve"> </w:t>
      </w:r>
      <w:r>
        <w:t xml:space="preserve">Cargill T.F. The Financial System, Financial Regulation and Central Bank Policy. – Cambridge: Cambridge University Press, 2017. – P. 195–196.</w:t>
      </w:r>
    </w:p>
  </w:footnote>
  <w:footnote w:id="32">
    <w:p>
      <w:pPr>
        <w:pStyle w:val="FootnoteText"/>
      </w:pPr>
      <w:r>
        <w:rPr>
          <w:rStyle w:val="FootnoteReference"/>
        </w:rPr>
        <w:footnoteRef/>
      </w:r>
      <w:r>
        <w:t xml:space="preserve"> </w:t>
      </w:r>
      <w:r>
        <w:t xml:space="preserve">Board of Governors of the Federal Reserve System. Revisions to the Large Financial Institution Rating System and Framework for the Supervision of Insurance Organizations // Federal Register. – 2025. – 17 November.</w:t>
      </w:r>
    </w:p>
  </w:footnote>
  <w:footnote w:id="33">
    <w:p>
      <w:pPr>
        <w:pStyle w:val="FootnoteText"/>
      </w:pPr>
      <w:r>
        <w:rPr>
          <w:rStyle w:val="FootnoteReference"/>
        </w:rPr>
        <w:footnoteRef/>
      </w:r>
      <w:r>
        <w:t xml:space="preserve"> </w:t>
      </w:r>
      <w:r>
        <w:t xml:space="preserve">Federal Financial Institutions Examination Council. Proposed Revisions to the Uniform Financial Institutions Rating System (CAMELS). – Washington, DC, 19 May 2026.</w:t>
      </w:r>
    </w:p>
  </w:footnote>
  <w:footnote w:id="34">
    <w:p>
      <w:pPr>
        <w:pStyle w:val="FootnoteText"/>
      </w:pPr>
      <w:r>
        <w:rPr>
          <w:rStyle w:val="FootnoteReference"/>
        </w:rPr>
        <w:footnoteRef/>
      </w:r>
      <w:r>
        <w:t xml:space="preserve"> </w:t>
      </w:r>
      <w:r>
        <w:t xml:space="preserve">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footnote>
  <w:footnote w:id="35">
    <w:p>
      <w:pPr>
        <w:pStyle w:val="FootnoteText"/>
      </w:pPr>
      <w:r>
        <w:rPr>
          <w:rStyle w:val="FootnoteReference"/>
        </w:rPr>
        <w:footnoteRef/>
      </w:r>
      <w:r>
        <w:t xml:space="preserve"> </w:t>
      </w:r>
      <w:r>
        <w:t xml:space="preserve">Board of Governors of the Federal Reserve System, Federal Deposit Insurance Corporation, Office of the Comptroller of the Currency. Regulatory capital proposals implementing the final Basel III standards. – Washington, DC, 19 March 2026.</w:t>
      </w:r>
    </w:p>
  </w:footnote>
  <w:footnote w:id="36">
    <w:p>
      <w:pPr>
        <w:pStyle w:val="FootnoteText"/>
      </w:pPr>
      <w:r>
        <w:rPr>
          <w:rStyle w:val="FootnoteReference"/>
        </w:rPr>
        <w:footnoteRef/>
      </w:r>
      <w:r>
        <w:t xml:space="preserve"> </w:t>
      </w:r>
      <w:r>
        <w:t xml:space="preserve">Hendrickson J.M. Regulation and Instability in U.S. Commercial Banking: A History of Crises. – Basingstoke: Palgrave Macmillan, 2011. – P. 225–227.</w:t>
      </w:r>
    </w:p>
  </w:footnote>
  <w:footnote w:id="37">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92–104.</w:t>
      </w:r>
    </w:p>
  </w:footnote>
  <w:footnote w:id="38">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60–61.</w:t>
      </w:r>
    </w:p>
  </w:footnote>
  <w:footnote w:id="39">
    <w:p>
      <w:pPr>
        <w:pStyle w:val="FootnoteText"/>
      </w:pPr>
      <w:r>
        <w:rPr>
          <w:rStyle w:val="FootnoteReference"/>
        </w:rPr>
        <w:footnoteRef/>
      </w:r>
      <w:r>
        <w:t xml:space="preserve"> </w:t>
      </w:r>
      <w:r>
        <w:t xml:space="preserve">Tadqiqot natijasida muallif tomonidan quyidagi manba asosida ishlab chiqildi: Оценка финансовой устойчивости кредитной организации: учебник / под ред. О.И. Лаврушина, И.Д. Мамоновой. – М.: КНОРУС, 2011. – С. 105–106.</w:t>
      </w:r>
    </w:p>
  </w:footnote>
  <w:footnote w:id="40">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59.</w:t>
      </w:r>
    </w:p>
  </w:footnote>
  <w:footnote w:id="41">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114–115.</w:t>
      </w:r>
    </w:p>
  </w:footnote>
  <w:footnote w:id="42">
    <w:p>
      <w:pPr>
        <w:pStyle w:val="FootnoteText"/>
      </w:pPr>
      <w:r>
        <w:rPr>
          <w:rStyle w:val="FootnoteReference"/>
        </w:rPr>
        <w:footnoteRef/>
      </w:r>
      <w:r>
        <w:t xml:space="preserve"> </w:t>
      </w:r>
      <w:r>
        <w:t xml:space="preserve">Karaliyev T.M., Sayfiddinov I.F. Tijorat banklari faoliyatini tartibga solish va nazorati: darslik. – T.: Iqtisod-Moliya, 2019. – B. 194–195.</w:t>
      </w:r>
    </w:p>
  </w:footnote>
  <w:footnote w:id="43">
    <w:p>
      <w:pPr>
        <w:pStyle w:val="FootnoteText"/>
      </w:pPr>
      <w:r>
        <w:rPr>
          <w:rStyle w:val="FootnoteReference"/>
        </w:rPr>
        <w:footnoteRef/>
      </w:r>
      <w:r>
        <w:t xml:space="preserve"> </w:t>
      </w:r>
      <w:r>
        <w:t xml:space="preserve">Tutino F., Brugnoni G.C., Siena M.G. Italian Banks Facing Basel 3 Higher Capital Requirements: Which Strategies Are Actually Feasible? // Bank Risk, Governance and Regulation / ed. by E. Beccalli, F. Poli. – Basingstoke: Palgrave Macmillan, 2015. – P. 212–231.</w:t>
      </w:r>
    </w:p>
  </w:footnote>
  <w:footnote w:id="44">
    <w:p>
      <w:pPr>
        <w:pStyle w:val="FootnoteText"/>
      </w:pPr>
      <w:r>
        <w:rPr>
          <w:rStyle w:val="FootnoteReference"/>
        </w:rPr>
        <w:footnoteRef/>
      </w:r>
      <w:r>
        <w:t xml:space="preserve"> </w:t>
      </w:r>
      <w:r>
        <w:t xml:space="preserve">Gualandri E., Noera M. Towards a Macroprudential Policy in the EU // Bank Risk, Governance and Regulation / ed. by E. Beccalli, F. Poli. – Basingstoke: Palgrave Macmillan, 2015. – P. 199.</w:t>
      </w:r>
    </w:p>
  </w:footnote>
  <w:footnote w:id="45">
    <w:p>
      <w:pPr>
        <w:pStyle w:val="FootnoteText"/>
      </w:pPr>
      <w:r>
        <w:rPr>
          <w:rStyle w:val="FootnoteReference"/>
        </w:rPr>
        <w:footnoteRef/>
      </w:r>
      <w:r>
        <w:t xml:space="preserve"> </w:t>
      </w:r>
      <w:r>
        <w:t xml:space="preserve">Gualandri E., Noera M. Towards a Macroprudential Policy in the EU // Bank Risk, Governance and Regulation / ed. by E. Beccalli, F. Poli. – Basingstoke: Palgrave Macmillan, 2015. – P. 184–185.</w:t>
      </w:r>
    </w:p>
  </w:footnote>
  <w:footnote w:id="46">
    <w:p>
      <w:pPr>
        <w:pStyle w:val="FootnoteText"/>
      </w:pPr>
      <w:r>
        <w:rPr>
          <w:rStyle w:val="FootnoteReference"/>
        </w:rPr>
        <w:footnoteRef/>
      </w:r>
      <w:r>
        <w:t xml:space="preserve"> </w:t>
      </w:r>
      <w:r>
        <w:t xml:space="preserve">Cocozza R. Back to the Future: Prospective Bank Risk Management in a Financial Analysis Perspective // Bank Risk, Governance and Regulation / ed. by E. Beccalli, F. Poli. – Basingstoke: Palgrave Macmillan, 2015. – P. 111.</w:t>
      </w:r>
    </w:p>
  </w:footnote>
  <w:footnote w:id="47">
    <w:p>
      <w:pPr>
        <w:pStyle w:val="FootnoteText"/>
      </w:pPr>
      <w:r>
        <w:rPr>
          <w:rStyle w:val="FootnoteReference"/>
        </w:rPr>
        <w:footnoteRef/>
      </w:r>
      <w:r>
        <w:t xml:space="preserve"> </w:t>
      </w:r>
      <w:r>
        <w:t xml:space="preserve">Cocozza R. Back to the Future: Prospective Bank Risk Management in a Financial Analysis Perspective // Bank Risk, Governance and Regulation / ed. by E. Beccalli, F. Poli. – Basingstoke: Palgrave Macmillan, 2015. – P. 112–114.</w:t>
      </w:r>
    </w:p>
  </w:footnote>
  <w:footnote w:id="48">
    <w:p>
      <w:pPr>
        <w:pStyle w:val="FootnoteText"/>
      </w:pPr>
      <w:r>
        <w:rPr>
          <w:rStyle w:val="FootnoteReference"/>
        </w:rPr>
        <w:footnoteRef/>
      </w:r>
      <w:r>
        <w:t xml:space="preserve"> </w:t>
      </w:r>
      <w:r>
        <w:t xml:space="preserve">Gualandri E., Noera M. Towards a Macroprudential Policy in the EU // Bank Risk, Governance and Regulation / ed. by E. Beccalli, F. Poli. – Basingstoke: Palgrave Macmillan, 2015. – P. 191–195.</w:t>
      </w:r>
    </w:p>
  </w:footnote>
  <w:footnote w:id="49">
    <w:p>
      <w:pPr>
        <w:pStyle w:val="FootnoteText"/>
      </w:pPr>
      <w:r>
        <w:rPr>
          <w:rStyle w:val="FootnoteReference"/>
        </w:rPr>
        <w:footnoteRef/>
      </w:r>
      <w:r>
        <w:t xml:space="preserve"> </w:t>
      </w:r>
      <w:r>
        <w:t xml:space="preserve">Gualandri E., Noera M. Towards a Macroprudential Policy in the EU // Bank Risk, Governance and Regulation / ed. by E. Beccalli, F. Poli. – Basingstoke: Palgrave Macmillan, 2015. – P. 194–196.</w:t>
      </w:r>
    </w:p>
  </w:footnote>
  <w:footnote w:id="50">
    <w:p>
      <w:pPr>
        <w:pStyle w:val="FootnoteText"/>
      </w:pPr>
      <w:r>
        <w:rPr>
          <w:rStyle w:val="FootnoteReference"/>
        </w:rPr>
        <w:footnoteRef/>
      </w:r>
      <w:r>
        <w:t xml:space="preserve"> </w:t>
      </w:r>
      <w:r>
        <w:t xml:space="preserve">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footnote>
  <w:footnote w:id="51">
    <w:p>
      <w:pPr>
        <w:pStyle w:val="FootnoteText"/>
      </w:pPr>
      <w:r>
        <w:rPr>
          <w:rStyle w:val="FootnoteReference"/>
        </w:rPr>
        <w:footnoteRef/>
      </w:r>
      <w:r>
        <w:t xml:space="preserve"> </w:t>
      </w:r>
      <w:r>
        <w:t xml:space="preserve">Prudential Regulation Authority. The PRA announces a delay to the implementation of Basel 3.1: press release. – London: Bank of England, 17 January 2025.</w:t>
      </w:r>
    </w:p>
  </w:footnote>
  <w:footnote w:id="52">
    <w:p>
      <w:pPr>
        <w:pStyle w:val="FootnoteText"/>
      </w:pPr>
      <w:r>
        <w:rPr>
          <w:rStyle w:val="FootnoteReference"/>
        </w:rPr>
        <w:footnoteRef/>
      </w:r>
      <w:r>
        <w:t xml:space="preserve"> </w:t>
      </w:r>
      <w:r>
        <w:t xml:space="preserve">European Banking Authority. 2025 EU-wide stress test: Results. – Paris: EBA, 1 August 2025.</w:t>
      </w:r>
    </w:p>
  </w:footnote>
  <w:footnote w:id="53">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116–128;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104–106.</w:t>
      </w:r>
    </w:p>
  </w:footnote>
  <w:footnote w:id="54">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135.</w:t>
      </w:r>
    </w:p>
  </w:footnote>
  <w:footnote w:id="55">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48–49.</w:t>
      </w:r>
    </w:p>
  </w:footnote>
  <w:footnote w:id="56">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139.</w:t>
      </w:r>
    </w:p>
  </w:footnote>
  <w:footnote w:id="57">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70, 72.</w:t>
      </w:r>
    </w:p>
  </w:footnote>
  <w:footnote w:id="58">
    <w:p>
      <w:pPr>
        <w:pStyle w:val="FootnoteText"/>
      </w:pPr>
      <w:r>
        <w:rPr>
          <w:rStyle w:val="FootnoteReference"/>
        </w:rPr>
        <w:footnoteRef/>
      </w:r>
      <w:r>
        <w:t xml:space="preserve"> </w:t>
      </w:r>
      <w:r>
        <w:t xml:space="preserve">Tadqiqot natijasida muallif tomonidan quyidagi manbalar ma’lumotlari asosida ishlab chiqildi: Basel Committee on Banking Supervision. Basel III: The Liquidity Coverage Ratio and liquidity risk monitoring tools. – Basel: BIS, 2013;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70; Karaliyev T.M., Sayfiddinov I.F. Tijorat banklari faoliyatini tartibga solish va nazorati: darslik. – T.: Iqtisod-Moliya, 2019. – B. 185; 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 Интерфакс. – 2025; Национальный норматив краткосрочной ликвидности для СЗКО: порядок расчета: информация Банка России от 12 августа 2025 г. – https://www.cbr.ru/press/event/?id=26840</w:t>
      </w:r>
    </w:p>
  </w:footnote>
  <w:footnote w:id="59">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77, 79–80.</w:t>
      </w:r>
    </w:p>
  </w:footnote>
  <w:footnote w:id="60">
    <w:p>
      <w:pPr>
        <w:pStyle w:val="FootnoteText"/>
      </w:pPr>
      <w:r>
        <w:rPr>
          <w:rStyle w:val="FootnoteReference"/>
        </w:rPr>
        <w:footnoteRef/>
      </w:r>
      <w:r>
        <w:t xml:space="preserve"> </w:t>
      </w:r>
      <w:r>
        <w:t xml:space="preserve">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 Интерфакс. – 2025.</w:t>
      </w:r>
    </w:p>
  </w:footnote>
  <w:footnote w:id="61">
    <w:p>
      <w:pPr>
        <w:pStyle w:val="FootnoteText"/>
      </w:pPr>
      <w:r>
        <w:rPr>
          <w:rStyle w:val="FootnoteReference"/>
        </w:rPr>
        <w:footnoteRef/>
      </w:r>
      <w:r>
        <w:t xml:space="preserve"> </w:t>
      </w:r>
      <w:r>
        <w:t xml:space="preserve">Национальный норматив краткосрочной ликвидности для СЗКО: порядок расчета: информация Банка России от 12 августа 2025 г. – https://www.cbr.ru/press/event/?id=26840</w:t>
      </w:r>
    </w:p>
  </w:footnote>
  <w:footnote w:id="62">
    <w:p>
      <w:pPr>
        <w:pStyle w:val="FootnoteText"/>
      </w:pPr>
      <w:r>
        <w:rPr>
          <w:rStyle w:val="FootnoteReference"/>
        </w:rPr>
        <w:footnoteRef/>
      </w:r>
      <w:r>
        <w:t xml:space="preserve"> </w:t>
      </w:r>
      <w:r>
        <w:t xml:space="preserve">O‘zbekiston Respublikasi Markaziy banki. Moliya sektorini baholash dasturi (FSAP) tavsiyalarini amalga oshirish bo‘yicha 2025–2028-yillarga mo‘ljallangan «yo‘l xaritasi».</w:t>
      </w:r>
    </w:p>
  </w:footnote>
  <w:footnote w:id="63">
    <w:p>
      <w:pPr>
        <w:pStyle w:val="FootnoteText"/>
      </w:pPr>
      <w:r>
        <w:rPr>
          <w:rStyle w:val="FootnoteReference"/>
        </w:rPr>
        <w:footnoteRef/>
      </w:r>
      <w:r>
        <w:t xml:space="preserve"> </w:t>
      </w:r>
      <w:r>
        <w:t xml:space="preserve">Basel Committee on Banking Supervision. Report on the 2023 banking turmoil. – Basel: BIS, October 2023.</w:t>
      </w:r>
    </w:p>
  </w:footnote>
  <w:footnote w:id="64">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60–67.</w:t>
      </w:r>
    </w:p>
  </w:footnote>
  <w:footnote w:id="65">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 – С. 47–49.</w:t>
      </w:r>
    </w:p>
  </w:footnote>
  <w:footnote w:id="66">
    <w:p>
      <w:pPr>
        <w:pStyle w:val="FootnoteText"/>
      </w:pPr>
      <w:r>
        <w:rPr>
          <w:rStyle w:val="FootnoteReference"/>
        </w:rPr>
        <w:footnoteRef/>
      </w:r>
      <w:r>
        <w:t xml:space="preserve"> </w:t>
      </w:r>
      <w:r>
        <w:t xml:space="preserve">Банк России. Национальная антициклическая надбавка: решение Совета директоров от 8 ноября 2024 г. – https://www.cbr.ru/finstab/instruments/ccb/</w:t>
      </w:r>
    </w:p>
  </w:footnote>
  <w:footnote w:id="67">
    <w:p>
      <w:pPr>
        <w:pStyle w:val="FootnoteText"/>
      </w:pPr>
      <w:r>
        <w:rPr>
          <w:rStyle w:val="FootnoteReference"/>
        </w:rPr>
        <w:footnoteRef/>
      </w:r>
      <w:r>
        <w:t xml:space="preserve"> </w:t>
      </w:r>
      <w:r>
        <w:t xml:space="preserve">Tadqiqot natijasida muallif tomonidan quyidagi manbalar asosida ishlab chiqildi: Регулирование банковской сферы: учебник / под ред. О.Н. Афанасьевой, С.Е. Дубовой. – М.: КНОРУС. – С. 48–49; Cargill T.F. The Financial System, Financial Regulation and Central Bank Policy. – Cambridge: Cambridge University Press, 2017. – P. 195–196.</w:t>
      </w:r>
    </w:p>
  </w:footnote>
  <w:footnote w:id="68">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 – С. 53.</w:t>
      </w:r>
    </w:p>
  </w:footnote>
  <w:footnote w:id="69">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143, 146.</w:t>
      </w:r>
    </w:p>
  </w:footnote>
  <w:footnote w:id="70">
    <w:p>
      <w:pPr>
        <w:pStyle w:val="FootnoteText"/>
      </w:pPr>
      <w:r>
        <w:rPr>
          <w:rStyle w:val="FootnoteReference"/>
        </w:rPr>
        <w:footnoteRef/>
      </w:r>
      <w:r>
        <w:t xml:space="preserve"> </w:t>
      </w:r>
      <w:r>
        <w:t xml:space="preserve">He Wei Ping. Banking Regulation in China: The Role of Public and Private Sectors. – New York: Palgrave Macmillan, 2014. – P. 52.</w:t>
      </w:r>
    </w:p>
  </w:footnote>
  <w:footnote w:id="71">
    <w:p>
      <w:pPr>
        <w:pStyle w:val="FootnoteText"/>
      </w:pPr>
      <w:r>
        <w:rPr>
          <w:rStyle w:val="FootnoteReference"/>
        </w:rPr>
        <w:footnoteRef/>
      </w:r>
      <w:r>
        <w:t xml:space="preserve"> </w:t>
      </w:r>
      <w:r>
        <w:t xml:space="preserve">He Wei Ping. Banking Regulation in China: The Role of Public and Private Sectors. – New York: Palgrave Macmillan, 2014. – P. 55.</w:t>
      </w:r>
    </w:p>
  </w:footnote>
  <w:footnote w:id="72">
    <w:p>
      <w:pPr>
        <w:pStyle w:val="FootnoteText"/>
      </w:pPr>
      <w:r>
        <w:rPr>
          <w:rStyle w:val="FootnoteReference"/>
        </w:rPr>
        <w:footnoteRef/>
      </w:r>
      <w:r>
        <w:t xml:space="preserve"> </w:t>
      </w:r>
      <w:r>
        <w:t xml:space="preserve">Law of the People’s Republic of China on Commercial Banks (2015 Amendment). – Beijing: Standing Committee of the National People’s Congress, 29 August 2015.</w:t>
      </w:r>
    </w:p>
  </w:footnote>
  <w:footnote w:id="73">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142–144.</w:t>
      </w:r>
    </w:p>
  </w:footnote>
  <w:footnote w:id="74">
    <w:p>
      <w:pPr>
        <w:pStyle w:val="FootnoteText"/>
      </w:pPr>
      <w:r>
        <w:rPr>
          <w:rStyle w:val="FootnoteReference"/>
        </w:rPr>
        <w:footnoteRef/>
      </w:r>
      <w:r>
        <w:t xml:space="preserve"> </w:t>
      </w:r>
      <w:r>
        <w:t xml:space="preserve">National Financial Regulatory Administration. Measures for the Capital Management of Commercial Banks. – Beijing, 2023 (2024-yil 1-yanvardan kuchga kirgan).</w:t>
      </w:r>
    </w:p>
  </w:footnote>
  <w:footnote w:id="75">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142–144.</w:t>
      </w:r>
    </w:p>
  </w:footnote>
  <w:footnote w:id="76">
    <w:p>
      <w:pPr>
        <w:pStyle w:val="FootnoteText"/>
      </w:pPr>
      <w:r>
        <w:rPr>
          <w:rStyle w:val="FootnoteReference"/>
        </w:rPr>
        <w:footnoteRef/>
      </w:r>
      <w:r>
        <w:t xml:space="preserve"> </w:t>
      </w:r>
      <w:r>
        <w:t xml:space="preserve">International Monetary Fund. Global Financial Stability Report: Potent Policies for a Successful Normalization. – Washington, DC: IMF, April 2016.</w:t>
      </w:r>
    </w:p>
  </w:footnote>
  <w:footnote w:id="77">
    <w:p>
      <w:pPr>
        <w:pStyle w:val="FootnoteText"/>
      </w:pPr>
      <w:r>
        <w:rPr>
          <w:rStyle w:val="FootnoteReference"/>
        </w:rPr>
        <w:footnoteRef/>
      </w:r>
      <w:r>
        <w:t xml:space="preserve"> </w:t>
      </w:r>
      <w:r>
        <w:t xml:space="preserve">National Financial Regulatory Administration. Supervisory Statistics of the Banking and Insurance Sectors: 2023-yil IV chorak, 2024-yil IV chorak, 2025-yil III chorak. – https://www.nfra.gov.cn/en/</w:t>
      </w:r>
    </w:p>
  </w:footnote>
  <w:footnote w:id="78">
    <w:p>
      <w:pPr>
        <w:pStyle w:val="FootnoteText"/>
      </w:pPr>
      <w:r>
        <w:rPr>
          <w:rStyle w:val="FootnoteReference"/>
        </w:rPr>
        <w:footnoteRef/>
      </w:r>
      <w:r>
        <w:t xml:space="preserve"> </w:t>
      </w:r>
      <w:r>
        <w:t xml:space="preserve">International Monetary Fund. People’s Republic of China: 2025 Article IV Consultation – Press Release; Staff Report; and Statement by the Executive Director. IMF Country Report No. 26/44. – Washington, DC: IMF, 2026.</w:t>
      </w:r>
    </w:p>
  </w:footnote>
  <w:footnote w:id="79">
    <w:p>
      <w:pPr>
        <w:pStyle w:val="FootnoteText"/>
      </w:pPr>
      <w:r>
        <w:rPr>
          <w:rStyle w:val="FootnoteReference"/>
        </w:rPr>
        <w:footnoteRef/>
      </w:r>
      <w:r>
        <w:t xml:space="preserve"> </w:t>
      </w:r>
      <w:r>
        <w:t xml:space="preserve">Charoenwong B., Miao M., Ruan T. Nonperforming Loan Disposals Without Resolution // Management Science. – 2025. – Vol. 71, No. 1. – P. 898–916.</w:t>
      </w:r>
    </w:p>
  </w:footnote>
  <w:footnote w:id="80">
    <w:p>
      <w:pPr>
        <w:pStyle w:val="FootnoteText"/>
      </w:pPr>
      <w:r>
        <w:rPr>
          <w:rStyle w:val="FootnoteReference"/>
        </w:rPr>
        <w:footnoteRef/>
      </w:r>
      <w:r>
        <w:t xml:space="preserve"> </w:t>
      </w:r>
      <w:r>
        <w:t xml:space="preserve">Tadqiqot natijasida muallif tomonidan quyidagi manbalar ma’lumotlari asosida ishlab chiqildi: National Financial Regulatory Administration. Supervisory Statistics of the Banking and Insurance Sectors: 2023-yil IV chorak, 2024-yil IV chorak, 2025-yil III chorak. – https://www.nfra.gov.cn/en; International Monetary Fund. People’s Republic of China: 2025 Article IV Consultation – Press Release; Staff Report; and Statement by the Executive Director. IMF Country Report No. 26/44. – Washington, DC: IMF, 2026; Charoenwong B., Miao M., Ruan T. Nonperforming Loan Disposals Without Resolution // Management Science. – 2025. – Vol. 71, No. 1. – P. 898–916; International Monetary Fund. Global Financial Stability Report: Potent Policies for a Successful Normalization. – Washington, DC: IMF, April 2016.</w:t>
      </w:r>
    </w:p>
  </w:footnote>
  <w:footnote w:id="81">
    <w:p>
      <w:pPr>
        <w:pStyle w:val="FootnoteText"/>
      </w:pPr>
      <w:r>
        <w:rPr>
          <w:rStyle w:val="FootnoteReference"/>
        </w:rPr>
        <w:footnoteRef/>
      </w:r>
      <w:r>
        <w:t xml:space="preserve"> </w:t>
      </w:r>
      <w:r>
        <w:t xml:space="preserve">International Monetary Fund. People’s Republic of China: 2025 Article IV Consultation – Press Release; Staff Report; and Statement by the Executive Director. IMF Country Report No. 26/44. – Washington, DC: IMF, 2026.</w:t>
      </w:r>
    </w:p>
  </w:footnote>
  <w:footnote w:id="82">
    <w:p>
      <w:pPr>
        <w:pStyle w:val="FootnoteText"/>
      </w:pPr>
      <w:r>
        <w:rPr>
          <w:rStyle w:val="FootnoteReference"/>
        </w:rPr>
        <w:footnoteRef/>
      </w:r>
      <w:r>
        <w:t xml:space="preserve"> </w:t>
      </w:r>
      <w:r>
        <w:t xml:space="preserve">He Wei Ping. Banking Regulation in China: The Role of Public and Private Sectors. – New York: Palgrave Macmillan, 2014. – P. 68, 135.</w:t>
      </w:r>
    </w:p>
  </w:footnote>
  <w:footnote w:id="83">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118–124.</w:t>
      </w:r>
    </w:p>
  </w:footnote>
  <w:footnote w:id="84">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138–140.</w:t>
      </w:r>
    </w:p>
  </w:footnote>
  <w:footnote w:id="85">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134.</w:t>
      </w:r>
    </w:p>
  </w:footnote>
  <w:footnote w:id="86">
    <w:p>
      <w:pPr>
        <w:pStyle w:val="FootnoteText"/>
      </w:pPr>
      <w:r>
        <w:rPr>
          <w:rStyle w:val="FootnoteReference"/>
        </w:rPr>
        <w:footnoteRef/>
      </w:r>
      <w:r>
        <w:t xml:space="preserve"> </w:t>
      </w:r>
      <w:r>
        <w:t xml:space="preserve">Tadqiqot natijasida muallif tomonidan ishlab chiqildi.</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UBSS tizimi</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Sheet1!$A$2:$A$4</c:f>
              <c:strCache>
                <c:ptCount val="3"/>
                <c:pt idx="0">
                  <c:v>To‘g‘ri bashorat</c:v>
                </c:pt>
                <c:pt idx="1">
                  <c:v>Birinchi tur xatosi</c:v>
                </c:pt>
                <c:pt idx="2">
                  <c:v>Ikkinchi tur xatosi</c:v>
                </c:pt>
              </c:strCache>
            </c:strRef>
          </c:cat>
          <c:val>
            <c:numRef>
              <c:f>Sheet1!$B$2:$B$4</c:f>
              <c:numCache>
                <c:formatCode>General</c:formatCode>
                <c:ptCount val="3"/>
                <c:pt idx="0">
                  <c:v>50</c:v>
                </c:pt>
                <c:pt idx="1">
                  <c:v>32.7</c:v>
                </c:pt>
                <c:pt idx="2">
                  <c:v>12.2</c:v>
                </c:pt>
              </c:numCache>
            </c:numRef>
          </c:val>
        </c:ser>
        <c:ser>
          <c:idx val="1"/>
          <c:order val="1"/>
          <c:tx>
            <c:strRef>
              <c:f>Sheet1!$C$1</c:f>
              <c:strCache>
                <c:ptCount val="1"/>
                <c:pt idx="0">
                  <c:v>FIMS modeli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Sheet1!$A$2:$A$4</c:f>
              <c:strCache>
                <c:ptCount val="3"/>
                <c:pt idx="0">
                  <c:v>To‘g‘ri bashorat</c:v>
                </c:pt>
                <c:pt idx="1">
                  <c:v>Birinchi tur xatosi</c:v>
                </c:pt>
                <c:pt idx="2">
                  <c:v>Ikkinchi tur xatosi</c:v>
                </c:pt>
              </c:strCache>
            </c:strRef>
          </c:cat>
          <c:val>
            <c:numRef>
              <c:f>Sheet1!$C$2:$C$4</c:f>
              <c:numCache>
                <c:formatCode>General</c:formatCode>
                <c:ptCount val="3"/>
                <c:pt idx="0">
                  <c:v>74.6</c:v>
                </c:pt>
                <c:pt idx="1">
                  <c:v>17</c:v>
                </c:pt>
                <c:pt idx="2">
                  <c:v>7.4</c:v>
                </c:pt>
              </c:numCache>
            </c:numRef>
          </c:val>
        </c:ser>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222"/>
        <c:crosses val="autoZero"/>
        <c:auto val="1"/>
        <c:lblAlgn val="ctr"/>
        <c:lblOffset val="100"/>
        <c:noMultiLvlLbl val="0"/>
      </c:catAx>
      <c:valAx>
        <c:axId val="222"/>
        <c:scaling>
          <c:orientation val="minMax"/>
          <c:max val="8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Kuzatuvlar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midCat"/>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Bazel qo‘mitasi</c:v>
                </c:pt>
              </c:strCache>
            </c:strRef>
          </c:tx>
          <c:spPr>
            <a:ln w="76200">
              <a:solidFill>
                <a:srgbClr val="2A78D6">
                  <a:alpha val="35000"/>
                </a:srgbClr>
              </a:solidFill>
            </a:ln>
          </c:spPr>
          <c:marker>
            <c:symbol val="none"/>
          </c:marker>
          <c:dLbls>
            <c:dLbl>
              <c:idx val="5"/>
              <c:delete val="1"/>
            </c:dLbl>
            <c:dLbl>
              <c:idx val="6"/>
              <c:delete val="1"/>
            </c:dLbl>
            <c:dLbl>
              <c:idx val="7"/>
              <c:delete val="1"/>
            </c:dLbl>
            <c:dLbl>
              <c:idx val="8"/>
              <c:delete val="1"/>
            </c:dLbl>
            <c:dLbl>
              <c:idx val="9"/>
              <c:delete val="1"/>
            </c:dLbl>
            <c:dLbl>
              <c:idx val="10"/>
              <c:delete val="1"/>
            </c:dLbl>
            <c:dLbl>
              <c:idx val="11"/>
              <c:delete val="1"/>
            </c:dLbl>
            <c:spPr>
              <a:noFill/>
              <a:ln>
                <a:noFill/>
              </a:ln>
            </c:spPr>
            <c:txPr>
              <a:bodyPr/>
              <a:lstStyle/>
              <a:p>
                <a:pPr>
                  <a:defRPr sz="1000" b="1">
                    <a:solidFill>
                      <a:srgbClr val="1F4E79"/>
                    </a:solidFill>
                    <a:latin typeface="Times New Roman"/>
                    <a:cs typeface="Times New Roman"/>
                  </a:defRPr>
                </a:pPr>
                <a:endParaRPr lang="uz-Latn-UZ"/>
              </a:p>
            </c:txPr>
            <c:dLblPos val="b"/>
            <c:showLegendKey val="0"/>
            <c:showVal val="1"/>
            <c:showCatName val="0"/>
            <c:showSerName val="0"/>
            <c:showPercent val="0"/>
            <c:showBubbleSize val="0"/>
          </c:dLbls>
          <c:xVal>
            <c:numRef>
              <c:f>Sheet1!$A$2:$A$13</c:f>
              <c:numCache>
                <c:formatCode>General</c:formatCode>
                <c:ptCount val="12"/>
                <c:pt idx="0">
                  <c:v>2015</c:v>
                </c:pt>
                <c:pt idx="1">
                  <c:v>2016</c:v>
                </c:pt>
                <c:pt idx="2">
                  <c:v>2017</c:v>
                </c:pt>
                <c:pt idx="3">
                  <c:v>2018</c:v>
                </c:pt>
                <c:pt idx="4">
                  <c:v>2019</c:v>
                </c:pt>
                <c:pt idx="5">
                  <c:v>2020</c:v>
                </c:pt>
                <c:pt idx="6">
                  <c:v>2021</c:v>
                </c:pt>
                <c:pt idx="7">
                  <c:v>2022</c:v>
                </c:pt>
                <c:pt idx="8">
                  <c:v>2023</c:v>
                </c:pt>
                <c:pt idx="9">
                  <c:v>2024</c:v>
                </c:pt>
                <c:pt idx="10">
                  <c:v>2025</c:v>
                </c:pt>
                <c:pt idx="11">
                  <c:v>2026</c:v>
                </c:pt>
              </c:numCache>
            </c:numRef>
          </c:xVal>
          <c:yVal>
            <c:numRef>
              <c:f>Sheet1!$B$2:$B$13</c:f>
              <c:numCache>
                <c:formatCode>General</c:formatCode>
                <c:ptCount val="12"/>
                <c:pt idx="0">
                  <c:v>60</c:v>
                </c:pt>
                <c:pt idx="1">
                  <c:v>70</c:v>
                </c:pt>
                <c:pt idx="2">
                  <c:v>80</c:v>
                </c:pt>
                <c:pt idx="3">
                  <c:v>90</c:v>
                </c:pt>
                <c:pt idx="4">
                  <c:v>100</c:v>
                </c:pt>
                <c:pt idx="5">
                  <c:v>100</c:v>
                </c:pt>
                <c:pt idx="6">
                  <c:v>100</c:v>
                </c:pt>
                <c:pt idx="7">
                  <c:v>100</c:v>
                </c:pt>
                <c:pt idx="8">
                  <c:v>100</c:v>
                </c:pt>
                <c:pt idx="9">
                  <c:v>100</c:v>
                </c:pt>
                <c:pt idx="10">
                  <c:v>100</c:v>
                </c:pt>
                <c:pt idx="11">
                  <c:v>100</c:v>
                </c:pt>
              </c:numCache>
            </c:numRef>
          </c:yVal>
          <c:smooth val="0"/>
        </c:ser>
        <c:ser>
          <c:idx val="1"/>
          <c:order val="1"/>
          <c:tx>
            <c:strRef>
              <c:f>Sheet1!$D$1</c:f>
              <c:strCache>
                <c:ptCount val="1"/>
                <c:pt idx="0">
                  <c:v>O‘zbekiston</c:v>
                </c:pt>
              </c:strCache>
            </c:strRef>
          </c:tx>
          <c:spPr>
            <a:ln w="22225">
              <a:solidFill>
                <a:srgbClr val="70AD47"/>
              </a:solidFill>
            </a:ln>
          </c:spPr>
          <c:marker>
            <c:symbol val="triangle"/>
            <c:size val="7"/>
            <c:spPr>
              <a:solidFill>
                <a:srgbClr val="70AD47"/>
              </a:solidFill>
              <a:ln>
                <a:noFill/>
              </a:ln>
            </c:spPr>
          </c:marker>
          <c:dLbls>
            <c:dLbl>
              <c:idx val="0"/>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dLbls>
          <c:xVal>
            <c:numRef>
              <c:f>Sheet1!$C$2:$C$13</c:f>
              <c:numCache>
                <c:formatCode>General</c:formatCode>
                <c:ptCount val="12"/>
                <c:pt idx="0">
                  <c:v>2015</c:v>
                </c:pt>
                <c:pt idx="1">
                  <c:v>2016</c:v>
                </c:pt>
                <c:pt idx="2">
                  <c:v>2017</c:v>
                </c:pt>
                <c:pt idx="3">
                  <c:v>2018</c:v>
                </c:pt>
                <c:pt idx="4">
                  <c:v>2019</c:v>
                </c:pt>
                <c:pt idx="5">
                  <c:v>2020</c:v>
                </c:pt>
                <c:pt idx="6">
                  <c:v>2021</c:v>
                </c:pt>
                <c:pt idx="7">
                  <c:v>2022</c:v>
                </c:pt>
                <c:pt idx="8">
                  <c:v>2023</c:v>
                </c:pt>
                <c:pt idx="9">
                  <c:v>2024</c:v>
                </c:pt>
                <c:pt idx="10">
                  <c:v>2025</c:v>
                </c:pt>
                <c:pt idx="11">
                  <c:v>2026</c:v>
                </c:pt>
              </c:numCache>
            </c:numRef>
          </c:xVal>
          <c:yVal>
            <c:numRef>
              <c:f>Sheet1!$D$2:$D$13</c:f>
              <c:numCache>
                <c:formatCode>General</c:formatCode>
                <c:ptCount val="12"/>
                <c:pt idx="1">
                  <c:v>80</c:v>
                </c:pt>
                <c:pt idx="2">
                  <c:v>90</c:v>
                </c:pt>
                <c:pt idx="3">
                  <c:v>100</c:v>
                </c:pt>
                <c:pt idx="4">
                  <c:v>100</c:v>
                </c:pt>
                <c:pt idx="5">
                  <c:v>100</c:v>
                </c:pt>
                <c:pt idx="6">
                  <c:v>100</c:v>
                </c:pt>
                <c:pt idx="7">
                  <c:v>100</c:v>
                </c:pt>
                <c:pt idx="8">
                  <c:v>100</c:v>
                </c:pt>
                <c:pt idx="9">
                  <c:v>100</c:v>
                </c:pt>
                <c:pt idx="10">
                  <c:v>100</c:v>
                </c:pt>
                <c:pt idx="11">
                  <c:v>100</c:v>
                </c:pt>
              </c:numCache>
            </c:numRef>
          </c:yVal>
          <c:smooth val="0"/>
        </c:ser>
        <c:ser>
          <c:idx val="2"/>
          <c:order val="2"/>
          <c:tx>
            <c:strRef>
              <c:f>Sheet1!$F$1</c:f>
              <c:strCache>
                <c:ptCount val="1"/>
                <c:pt idx="0">
                  <c:v>Rossiya: rasmiy talab (2016–2019-yillarda Bazel jadvali bilan bir xil)</c:v>
                </c:pt>
              </c:strCache>
            </c:strRef>
          </c:tx>
          <c:spPr>
            <a:ln w="25400">
              <a:solidFill>
                <a:srgbClr val="EB6834"/>
              </a:solidFill>
              <a:prstDash val="dash"/>
            </a:ln>
          </c:spPr>
          <c:marker>
            <c:symbol val="square"/>
            <c:size val="7"/>
            <c:spPr>
              <a:solidFill>
                <a:srgbClr val="EB6834"/>
              </a:solidFill>
              <a:ln>
                <a:noFill/>
              </a:ln>
            </c:spPr>
          </c:marker>
          <c:xVal>
            <c:numRef>
              <c:f>Sheet1!$E$2:$E$7</c:f>
              <c:numCache>
                <c:formatCode>General</c:formatCode>
                <c:ptCount val="6"/>
                <c:pt idx="0">
                  <c:v>2016</c:v>
                </c:pt>
                <c:pt idx="1">
                  <c:v>2017</c:v>
                </c:pt>
                <c:pt idx="2">
                  <c:v>2018</c:v>
                </c:pt>
                <c:pt idx="3">
                  <c:v>2019</c:v>
                </c:pt>
                <c:pt idx="4">
                  <c:v>2020</c:v>
                </c:pt>
                <c:pt idx="5">
                  <c:v>2021</c:v>
                </c:pt>
              </c:numCache>
            </c:numRef>
          </c:xVal>
          <c:yVal>
            <c:numRef>
              <c:f>Sheet1!$F$2:$F$7</c:f>
              <c:numCache>
                <c:formatCode>General</c:formatCode>
                <c:ptCount val="6"/>
                <c:pt idx="0">
                  <c:v>70</c:v>
                </c:pt>
                <c:pt idx="1">
                  <c:v>80</c:v>
                </c:pt>
                <c:pt idx="2">
                  <c:v>90</c:v>
                </c:pt>
                <c:pt idx="3">
                  <c:v>100</c:v>
                </c:pt>
                <c:pt idx="4">
                  <c:v>100</c:v>
                </c:pt>
                <c:pt idx="5">
                  <c:v>100</c:v>
                </c:pt>
              </c:numCache>
            </c:numRef>
          </c:yVal>
          <c:smooth val="0"/>
        </c:ser>
        <c:ser>
          <c:idx val="3"/>
          <c:order val="3"/>
          <c:tx>
            <c:strRef>
              <c:f>Sheet1!$H$1</c:f>
              <c:strCache>
                <c:ptCount val="1"/>
                <c:pt idx="0">
                  <c:v>Rossiya 2</c:v>
                </c:pt>
              </c:strCache>
            </c:strRef>
          </c:tx>
          <c:spPr>
            <a:ln w="25400">
              <a:solidFill>
                <a:srgbClr val="EB6834"/>
              </a:solidFill>
              <a:prstDash val="dash"/>
            </a:ln>
          </c:spPr>
          <c:marker>
            <c:symbol val="square"/>
            <c:size val="7"/>
            <c:spPr>
              <a:solidFill>
                <a:srgbClr val="EB6834"/>
              </a:solidFill>
              <a:ln>
                <a:noFill/>
              </a:ln>
            </c:spPr>
          </c:marker>
          <c:xVal>
            <c:numRef>
              <c:f>Sheet1!$G$2:$G$4</c:f>
              <c:numCache>
                <c:formatCode>General</c:formatCode>
                <c:ptCount val="3"/>
                <c:pt idx="0">
                  <c:v>2024</c:v>
                </c:pt>
                <c:pt idx="1">
                  <c:v>2025</c:v>
                </c:pt>
                <c:pt idx="2">
                  <c:v>2026</c:v>
                </c:pt>
              </c:numCache>
            </c:numRef>
          </c:xVal>
          <c:yVal>
            <c:numRef>
              <c:f>Sheet1!$H$2:$H$4</c:f>
              <c:numCache>
                <c:formatCode>General</c:formatCode>
                <c:ptCount val="3"/>
                <c:pt idx="0">
                  <c:v>100</c:v>
                </c:pt>
                <c:pt idx="1">
                  <c:v>100</c:v>
                </c:pt>
                <c:pt idx="2">
                  <c:v>100</c:v>
                </c:pt>
              </c:numCache>
            </c:numRef>
          </c:yVal>
          <c:smooth val="0"/>
        </c:ser>
        <c:ser>
          <c:idx val="4"/>
          <c:order val="4"/>
          <c:tx>
            <c:strRef>
              <c:f>Sheet1!$J$1</c:f>
              <c:strCache>
                <c:ptCount val="1"/>
                <c:pt idx="0">
                  <c:v>Rossiya: o‘z mablag‘lari hisobidan (2022–2023-yillardagi yengillikdan keyin)</c:v>
                </c:pt>
              </c:strCache>
            </c:strRef>
          </c:tx>
          <c:spPr>
            <a:ln w="19050">
              <a:solidFill>
                <a:srgbClr val="C00000"/>
              </a:solidFill>
              <a:prstDash val="sysDot"/>
            </a:ln>
          </c:spPr>
          <c:marker>
            <c:symbol val="diamond"/>
            <c:size val="7"/>
            <c:spPr>
              <a:solidFill>
                <a:srgbClr val="C00000"/>
              </a:solidFill>
              <a:ln>
                <a:noFill/>
              </a:ln>
            </c:spPr>
          </c:marker>
          <c:dLbls>
            <c:spPr>
              <a:noFill/>
              <a:ln>
                <a:noFill/>
              </a:ln>
            </c:spPr>
            <c:txPr>
              <a:bodyPr/>
              <a:lstStyle/>
              <a:p>
                <a:pPr>
                  <a:defRPr sz="1000" b="1">
                    <a:solidFill>
                      <a:srgbClr val="C00000"/>
                    </a:solidFill>
                    <a:latin typeface="Times New Roman"/>
                    <a:cs typeface="Times New Roman"/>
                  </a:defRPr>
                </a:pPr>
                <a:endParaRPr lang="uz-Latn-UZ"/>
              </a:p>
            </c:txPr>
            <c:dLblPos val="r"/>
            <c:showLegendKey val="0"/>
            <c:showVal val="1"/>
            <c:showCatName val="0"/>
            <c:showSerName val="0"/>
            <c:showPercent val="0"/>
            <c:showBubbleSize val="0"/>
          </c:dLbls>
          <c:xVal>
            <c:numRef>
              <c:f>Sheet1!$I$2:$I$5</c:f>
              <c:numCache>
                <c:formatCode>General</c:formatCode>
                <c:ptCount val="4"/>
                <c:pt idx="0">
                  <c:v>2024.17</c:v>
                </c:pt>
                <c:pt idx="1">
                  <c:v>2024.5</c:v>
                </c:pt>
                <c:pt idx="2">
                  <c:v>2025.5</c:v>
                </c:pt>
                <c:pt idx="3">
                  <c:v>2026</c:v>
                </c:pt>
              </c:numCache>
            </c:numRef>
          </c:xVal>
          <c:yVal>
            <c:numRef>
              <c:f>Sheet1!$J$2:$J$5</c:f>
              <c:numCache>
                <c:formatCode>General</c:formatCode>
                <c:ptCount val="4"/>
                <c:pt idx="0">
                  <c:v>40</c:v>
                </c:pt>
                <c:pt idx="1">
                  <c:v>50</c:v>
                </c:pt>
                <c:pt idx="2">
                  <c:v>60</c:v>
                </c:pt>
                <c:pt idx="3">
                  <c:v>80</c:v>
                </c:pt>
              </c:numCache>
            </c:numRef>
          </c:yVal>
          <c:smooth val="0"/>
        </c:ser>
        <c:axId val="333"/>
        <c:axId val="444"/>
      </c:scatterChart>
      <c:valAx>
        <c:axId val="333"/>
        <c:scaling>
          <c:orientation val="minMax"/>
          <c:max val="2027"/>
          <c:min val="2014"/>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110"/>
          <c:min val="3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Minimal talab,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10"/>
      </c:valAx>
      <c:spPr>
        <a:noFill/>
        <a:ln>
          <a:noFill/>
        </a:ln>
      </c:spPr>
    </c:plotArea>
    <c:legend>
      <c:legendPos val="b"/>
      <c:legendEntry>
        <c:idx val="3"/>
        <c:delete val="1"/>
      </c:legendEntry>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stacked"/>
        <c:varyColors val="0"/>
        <c:ser>
          <c:idx val="0"/>
          <c:order val="0"/>
          <c:tx>
            <c:strRef>
              <c:f>Sheet1!$B$1</c:f>
              <c:strCache>
                <c:ptCount val="1"/>
                <c:pt idx="0">
                  <c:v>Muammoli kreditlar</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Sheet1!$B$2:$B$7</c:f>
              <c:numCache>
                <c:formatCode>General</c:formatCode>
                <c:ptCount val="6"/>
                <c:pt idx="0">
                  <c:v>1.59</c:v>
                </c:pt>
                <c:pt idx="1">
                  <c:v>1.5</c:v>
                </c:pt>
                <c:pt idx="2">
                  <c:v>1.52</c:v>
                </c:pt>
              </c:numCache>
            </c:numRef>
          </c:val>
        </c:ser>
        <c:ser>
          <c:idx val="1"/>
          <c:order val="1"/>
          <c:tx>
            <c:strRef>
              <c:f>Sheet1!$C$1</c:f>
              <c:strCache>
                <c:ptCount val="1"/>
                <c:pt idx="0">
                  <c:v>Alohida e’tibor talab qiluvchi kreditlar</c:v>
                </c:pt>
              </c:strCache>
            </c:strRef>
          </c:tx>
          <c:spPr>
            <a:solidFill>
              <a:srgbClr val="FFC000"/>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Sheet1!$C$2:$C$7</c:f>
              <c:numCache>
                <c:formatCode>General</c:formatCode>
                <c:ptCount val="6"/>
                <c:pt idx="0">
                  <c:v>2.2</c:v>
                </c:pt>
                <c:pt idx="1">
                  <c:v>2.22</c:v>
                </c:pt>
                <c:pt idx="2">
                  <c:v>2.2</c:v>
                </c:pt>
              </c:numCache>
            </c:numRef>
          </c:val>
        </c:ser>
        <c:ser>
          <c:idx val="2"/>
          <c:order val="2"/>
          <c:tx>
            <c:strRef>
              <c:f>Sheet1!$D$1</c:f>
              <c:strCache>
                <c:ptCount val="1"/>
                <c:pt idx="0">
                  <c:v>Muqobil baholar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Sheet1!$D$2:$D$7</c:f>
              <c:numCache>
                <c:formatCode>General</c:formatCode>
                <c:ptCount val="6"/>
                <c:pt idx="3">
                  <c:v>3.0</c:v>
                </c:pt>
                <c:pt idx="4">
                  <c:v>4.6</c:v>
                </c:pt>
                <c:pt idx="5">
                  <c:v>15.5</c:v>
                </c:pt>
              </c:numCache>
            </c:numRef>
          </c:val>
        </c:ser>
        <c:gapWidth val="5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222"/>
        <c:crosses val="autoZero"/>
        <c:auto val="1"/>
        <c:lblAlgn val="ctr"/>
        <c:lblOffset val="100"/>
        <c:noMultiLvlLbl val="0"/>
      </c:catAx>
      <c:valAx>
        <c:axId val="222"/>
        <c:scaling>
          <c:orientation val="minMax"/>
          <c:max val="1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midCat"/>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2026-10-11T05:32:16Z</dcterms:created>
  <dcterms:modified xsi:type="dcterms:W3CDTF">2026-10-11T05:32:16Z</dcterms:modified>
</cp:coreProperties>
</file>

<file path=docProps/custom.xml><?xml version="1.0" encoding="utf-8"?>
<Properties xmlns="http://schemas.openxmlformats.org/officeDocument/2006/custom-properties" xmlns:vt="http://schemas.openxmlformats.org/officeDocument/2006/docPropsVTypes"/>
</file>