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637944ed30af1a5c7e12bfca1a7866b67ed51e5"/>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0"/>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1"/>
      </w:r>
      <w:r>
        <w:rPr>
          <w:rStyle w:val="FootnoteReference"/>
        </w:rPr>
        <w:footnoteReference w:id="22"/>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3"/>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4"/>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5"/>
      </w:r>
      <w:r>
        <w:rPr>
          <w:rFonts w:ascii="Times New Roman" w:hAnsi="Times New Roman" w:cs="Times New Roman" w:eastAsia="Times New Roman"/>
          <w:sz w:val="28"/>
        </w:rPr>
        <w:t xml:space="preserve">. Bank tizimining muhim tuzilmaviy xususiyati davlat ulushining yuqoriligidir. Davlat ishtirokidagi banklarning jami aktivlardagi ulushi 2019-yil boshida 84 foizni, 2021-yil oxirida 81 foizni tashkil etgan bo‘lsa, 2024-yilga kelib 67 foizgacha, 2026-yil o‘rtasida esa 62 foizgacha pasaygan</w:t>
      </w:r>
      <w:r>
        <w:rPr>
          <w:rStyle w:val="FootnoteReference"/>
        </w:rPr>
        <w:footnoteReference w:id="2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1" name="2.2.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ishtirokidagi banklarning bank tizimi aktivlaridagi ulushi, %</w:t>
      </w:r>
      <w:r>
        <w:rPr>
          <w:rStyle w:val="FootnoteReference"/>
        </w:rPr>
        <w:footnoteReference w:id="2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izchil kamayib bormoqda, biroq ular hali ham tizimda ustun mavqega ega.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8"/>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3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2.2.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31"/>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32"/>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33"/>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34"/>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35"/>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37"/>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38"/>
      </w:r>
      <w:r>
        <w:rPr>
          <w:rFonts w:ascii="Times New Roman" w:hAnsi="Times New Roman" w:cs="Times New Roman" w:eastAsia="Times New Roman"/>
          <w:sz w:val="28"/>
        </w:rPr>
        <w:t xml:space="preserve">, 2023-yilda qariyb 20 foizni</w:t>
      </w:r>
      <w:r>
        <w:rPr>
          <w:rStyle w:val="FootnoteReference"/>
        </w:rPr>
        <w:footnoteReference w:id="39"/>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40"/>
      </w:r>
      <w:r>
        <w:rPr>
          <w:rFonts w:ascii="Times New Roman" w:hAnsi="Times New Roman" w:cs="Times New Roman" w:eastAsia="Times New Roman"/>
          <w:sz w:val="28"/>
        </w:rPr>
        <w:t xml:space="preserve">. Jahon banki ma’lumotlariga ko‘ra, 2023-yil oxirida MHXS 9 bo‘yicha 3-bosqichdagi kreditlar ulushi 7,8 foiz bo‘lib, rasmiy ko‘rsatkichdan qariyb ikki barobar yuqori bo‘lgan</w:t>
      </w:r>
      <w:r>
        <w:rPr>
          <w:rStyle w:val="FootnoteReference"/>
        </w:rPr>
        <w:footnoteReference w:id="4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2.2.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42"/>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2022–2025-yillarda 36,7–52,6 foizni tashkil etgan</w:t>
      </w:r>
      <w:r>
        <w:rPr>
          <w:rStyle w:val="FootnoteReference"/>
        </w:rPr>
        <w:footnoteReference w:id="43"/>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44"/>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45"/>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4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4" name="2.2.4-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47"/>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48"/>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49"/>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50"/>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5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 (2021-yil uchun yil oxiri qiymati olindi).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5" name="2.2.5-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52"/>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5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6" name="2.2.6-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5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55"/>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(2.2.7-rasm).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7" name="2.2.7-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kapital rentabelligi (ROE), %</w:t>
      </w:r>
      <w:r>
        <w:rPr>
          <w:rStyle w:val="FootnoteReference"/>
        </w:rPr>
        <w:footnoteReference w:id="56"/>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0,7–2,2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57"/>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58"/>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5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ulushi 81 foizdan 62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60"/>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1">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2021–2025-yillar 30-dekabr holatiga.</w:t>
      </w:r>
    </w:p>
  </w:footnote>
  <w:footnote w:id="22">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23">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4">
    <w:p>
      <w:pPr>
        <w:pStyle w:val="FootnoteText"/>
      </w:pPr>
      <w:r>
        <w:rPr>
          <w:rStyle w:val="FootnoteReference"/>
        </w:rPr>
        <w:footnoteRef/>
      </w:r>
      <w:r>
        <w:t xml:space="preserve"> </w:t>
      </w:r>
      <w:r>
        <w:t xml:space="preserve">World Bank. Republic of Uzbekistan: Financial Sector Assessment. – Washington, DC: World Bank, 2025.</w:t>
      </w:r>
    </w:p>
  </w:footnote>
  <w:footnote w:id="25">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6">
    <w:p>
      <w:pPr>
        <w:pStyle w:val="FootnoteText"/>
      </w:pPr>
      <w:r>
        <w:rPr>
          <w:rStyle w:val="FootnoteReference"/>
        </w:rPr>
        <w:footnoteRef/>
      </w:r>
      <w:r>
        <w:t xml:space="preserve"> </w:t>
      </w:r>
      <w:r>
        <w:t xml:space="preserve">World Bank. Republic of Uzbekistan: Financial Sector Assessment. – Washington, DC: World Bank, 2025; Private bank assets in Uzbekistan rise 29% in a year // UzDaily.uz. – 2026. – https://www.uzdaily.uz/en/private-bank-assets-in-uzbekistan-rise-29-in-a-year/</w:t>
      </w:r>
    </w:p>
  </w:footnote>
  <w:footnote w:id="27">
    <w:p>
      <w:pPr>
        <w:pStyle w:val="FootnoteText"/>
      </w:pPr>
      <w:r>
        <w:rPr>
          <w:rStyle w:val="FootnoteReference"/>
        </w:rPr>
        <w:footnoteRef/>
      </w:r>
      <w:r>
        <w:t xml:space="preserve"> </w:t>
      </w:r>
      <w:r>
        <w:t xml:space="preserve">Tadqiqot natijasida muallif tomonidan quyidagi manbalar ma’lumotlari asosida ishlab chiqildi: World Bank. Uzbekistan Financial Sector Reform Project: Project Appraisal Document. Report No. PAD4468. – Washington, DC: World Bank, 2022; World Bank. Republic of Uzbekistan: Financial Sector Assessment. – Washington, DC: World Bank, 2025; Private bank assets in Uzbekistan rise 29% in a year // UzDaily.uz. – 2026. – https://www.uzdaily.uz/en/private-bank-assets-in-uzbekistan-rise-29-in-a-year.</w:t>
      </w:r>
    </w:p>
  </w:footnote>
  <w:footnote w:id="28">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5.1.3, 5.1.4, 5.1.6, 5.1.7, 5.1.8-jadvallar. – https://cbu.uz/uz/statistics/buleten; O‘zbekiston Respublikasi Markaziy banki. Moliyaviy barqarorlik sharhi: 2022-yil. – Toshkent, 2023;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30">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31">
    <w:p>
      <w:pPr>
        <w:pStyle w:val="FootnoteText"/>
      </w:pPr>
      <w:r>
        <w:rPr>
          <w:rStyle w:val="FootnoteReference"/>
        </w:rPr>
        <w:footnoteRef/>
      </w:r>
      <w:r>
        <w:t xml:space="preserve"> </w:t>
      </w:r>
      <w:r>
        <w:t xml:space="preserve">Tadqiqot natijasida muallif tomonidan 2.2.1-jadval ma’lumotlari asosida ishlab chiqildi.</w:t>
      </w:r>
    </w:p>
  </w:footnote>
  <w:footnote w:id="32">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3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34">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3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6">
    <w:p>
      <w:pPr>
        <w:pStyle w:val="FootnoteText"/>
      </w:pPr>
      <w:r>
        <w:rPr>
          <w:rStyle w:val="FootnoteReference"/>
        </w:rPr>
        <w:footnoteRef/>
      </w:r>
      <w:r>
        <w:t xml:space="preserve"> </w:t>
      </w:r>
      <w:r>
        <w:t xml:space="preserve">The Central Bank of the Republic of Uzbekistan. Financial Stability Report for 2025. – Tashkent, 2026.</w:t>
      </w:r>
    </w:p>
  </w:footnote>
  <w:footnote w:id="3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38">
    <w:p>
      <w:pPr>
        <w:pStyle w:val="FootnoteText"/>
      </w:pPr>
      <w:r>
        <w:rPr>
          <w:rStyle w:val="FootnoteReference"/>
        </w:rPr>
        <w:footnoteRef/>
      </w:r>
      <w:r>
        <w:t xml:space="preserve"> </w:t>
      </w:r>
      <w:r>
        <w:t xml:space="preserve">O‘zbekiston Respublikasi Markaziy banki. Moliyaviy barqarorlik sharhi: 2022-yil. – Toshkent, 2023.</w:t>
      </w:r>
    </w:p>
  </w:footnote>
  <w:footnote w:id="39">
    <w:p>
      <w:pPr>
        <w:pStyle w:val="FootnoteText"/>
      </w:pPr>
      <w:r>
        <w:rPr>
          <w:rStyle w:val="FootnoteReference"/>
        </w:rPr>
        <w:footnoteRef/>
      </w:r>
      <w:r>
        <w:t xml:space="preserve"> </w:t>
      </w:r>
      <w:r>
        <w:t xml:space="preserve">The Central Bank of the Republic of Uzbekistan. Financial Stability Report for 2023. – Tashkent, 2024.</w:t>
      </w:r>
    </w:p>
  </w:footnote>
  <w:footnote w:id="40">
    <w:p>
      <w:pPr>
        <w:pStyle w:val="FootnoteText"/>
      </w:pPr>
      <w:r>
        <w:rPr>
          <w:rStyle w:val="FootnoteReference"/>
        </w:rPr>
        <w:footnoteRef/>
      </w:r>
      <w:r>
        <w:t xml:space="preserve"> </w:t>
      </w:r>
      <w:r>
        <w:t xml:space="preserve">The Central Bank of the Republic of Uzbekistan. Financial Stability Report for 2025. – Tashkent, 2026.</w:t>
      </w:r>
    </w:p>
  </w:footnote>
  <w:footnote w:id="41">
    <w:p>
      <w:pPr>
        <w:pStyle w:val="FootnoteText"/>
      </w:pPr>
      <w:r>
        <w:rPr>
          <w:rStyle w:val="FootnoteReference"/>
        </w:rPr>
        <w:footnoteRef/>
      </w:r>
      <w:r>
        <w:t xml:space="preserve"> </w:t>
      </w:r>
      <w:r>
        <w:t xml:space="preserve">World Bank. Republic of Uzbekistan: Financial Sector Assessment. – Washington, DC: World Bank, 2025.</w:t>
      </w:r>
    </w:p>
  </w:footnote>
  <w:footnote w:id="42">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5.1.3, 5.1.4, 5.1.6, 5.1.7, 5.1.8-jadvallar. – https://cbu.uz/uz/statistics/buleten; O‘zbekiston Respublikasi Markaziy banki. Moliyaviy barqarorlik sharhi: 2022-yil. – Toshkent, 2023;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 World Bank. Republic of Uzbekistan: Financial Sector Assessment. – Washington, DC: World Bank, 2025.</w:t>
      </w:r>
    </w:p>
  </w:footnote>
  <w:footnote w:id="43">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4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45">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46">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47">
    <w:p>
      <w:pPr>
        <w:pStyle w:val="FootnoteText"/>
      </w:pPr>
      <w:r>
        <w:rPr>
          <w:rStyle w:val="FootnoteReference"/>
        </w:rPr>
        <w:footnoteRef/>
      </w:r>
      <w:r>
        <w:t xml:space="preserve"> </w:t>
      </w:r>
      <w:r>
        <w:t xml:space="preserve">Tadqiqot natijasida muallif tomonidan 2.2.1-jadval ma’lumotlari asosida ishlab chiqildi.</w:t>
      </w:r>
    </w:p>
  </w:footnote>
  <w:footnote w:id="4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49">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50">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5.1.3, 5.1.4, 5.1.6, 5.1.7, 5.1.8-jadvallar. – https://cbu.uz/uz/statistics/buleten/</w:t>
      </w:r>
    </w:p>
  </w:footnote>
  <w:footnote w:id="51">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2">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3">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5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5">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56">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7">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8">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2021–2025-yillar 30-dekabr holatiga.</w:t>
      </w:r>
    </w:p>
  </w:footnote>
  <w:footnote w:id="5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 Joint Stock Commercial Bank «Uzbek Industrial and Construction Bank» and its subsidiaries. Consolidated Financial Statements for the year ended 31 December 2025 and Independent Auditor’s Report. – Tashkent, 2026. – P. 28–31.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 Id="rId14" Type="http://schemas.openxmlformats.org/officeDocument/2006/relationships/chart" Target="charts/chart6.xml"/><Relationship Id="rId15" Type="http://schemas.openxmlformats.org/officeDocument/2006/relationships/chart" Target="charts/chart7.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ishtirokidagi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2019-y. boshi</c:v>
                </c:pt>
                <c:pt idx="1">
                  <c:v>2021-y. oxiri</c:v>
                </c:pt>
                <c:pt idx="2">
                  <c:v>2024-y.</c:v>
                </c:pt>
                <c:pt idx="3">
                  <c:v>2026-y. o‘rtasi</c:v>
                </c:pt>
              </c:strCache>
            </c:strRef>
          </c:cat>
          <c:val>
            <c:numRef>
              <c:f>Sheet1!$B$2:$B$5</c:f>
              <c:numCache>
                <c:formatCode>General</c:formatCode>
                <c:ptCount val="4"/>
                <c:pt idx="0">
                  <c:v>84</c:v>
                </c:pt>
                <c:pt idx="1">
                  <c:v>81</c:v>
                </c:pt>
                <c:pt idx="2">
                  <c:v>67</c:v>
                </c:pt>
                <c:pt idx="3">
                  <c:v>62</c:v>
                </c:pt>
              </c:numCache>
            </c:numRef>
          </c:val>
        </c:ser>
        <c:gapWidth val="9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aktivlariga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MHXS 9 bo‘yicha 3-bosqich kreditlari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2">
                  <c:v>7.8</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20.0</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16.0</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2.2</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2026-10-11T05:32:15Z</dcterms:created>
  <dcterms:modified xsi:type="dcterms:W3CDTF">2026-10-11T05:32:15Z</dcterms:modified>
</cp:coreProperties>
</file>

<file path=docProps/custom.xml><?xml version="1.0" encoding="utf-8"?>
<Properties xmlns="http://schemas.openxmlformats.org/officeDocument/2006/custom-properties" xmlns:vt="http://schemas.openxmlformats.org/officeDocument/2006/docPropsVTypes"/>
</file>