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1.2.3-rasm (namuna)</w:t>
      </w:r>
    </w:p>
    <w:p>
      <w:pPr>
        <w:jc w:val="center"/>
      </w:pPr>
      <w:r xmlns:a="http://schemas.openxmlformats.org/drawingml/2006/main" xmlns:c="http://schemas.openxmlformats.org/drawingml/2006/chart">
        <w:rPr>
          <w:noProof/>
        </w:rPr>
        <w:drawing>
          <wp:inline distT="0" distB="0" distL="0" distR="0">
            <wp:extent cx="5760000" cy="3060000"/>
            <wp:effectExtent l="0" t="0" r="0" b="0"/>
            <wp:docPr id="1001" name="1.2.3-rasm"/>
            <wp:cNvGraphicFramePr/>
            <a:graphic>
              <a:graphicData uri="http://schemas.openxmlformats.org/drawingml/2006/chart">
                <c:chart r:id="rId9"/>
              </a:graphicData>
            </a:graphic>
          </wp:inline>
        </w:drawing>
      </w:r>
    </w:p>
    <w:p>
      <w:pPr>
        <w:jc w:val="center"/>
      </w:pPr>
      <w:r>
        <w:rPr>
          <w:b/>
          <w:sz w:val="28"/>
        </w:rPr>
        <w:t>1.2.3-rasm. Konservatsiya buferi bo‘yicha foydani taqsimlash cheklovlari shkalasi</w:t>
      </w:r>
    </w:p>
    <w:p/>
    <w:p>
      <w:pPr>
        <w:jc w:val="both"/>
      </w:pPr>
      <w:r>
        <w:rPr>
          <w:b/>
          <w:sz w:val="24"/>
        </w:rPr>
        <w:t>Rasmdagi o‘zgarishlar:</w:t>
      </w:r>
    </w:p>
    <w:p>
      <w:pPr>
        <w:jc w:val="both"/>
      </w:pPr>
      <w:r>
        <w:rPr>
          <w:b w:val="0"/>
          <w:sz w:val="24"/>
        </w:rPr>
        <w:t>1) chap o‘q nomi qisqartirildi va to‘liq ko‘rinadi: “Qoldiriladigan foyda ulushi, %”;</w:t>
      </w:r>
    </w:p>
    <w:p>
      <w:pPr>
        <w:jc w:val="both"/>
      </w:pPr>
      <w:r>
        <w:rPr>
          <w:b w:val="0"/>
          <w:sz w:val="24"/>
        </w:rPr>
        <w:t>2) legendadagi nom o‘q nomi bilan bir xillashtirildi: “Qoldiriladigan foyda ulushi”;</w:t>
      </w:r>
    </w:p>
    <w:p>
      <w:pPr>
        <w:jc w:val="both"/>
      </w:pPr>
      <w:r>
        <w:rPr>
          <w:b w:val="0"/>
          <w:sz w:val="24"/>
        </w:rPr>
        <w:t>3) har bir pog‘ona ustiga qoldiriladigan foyda ulushi yozildi (100 %, 80 %, 60 %, 40 %, 0 %);</w:t>
      </w:r>
    </w:p>
    <w:p>
      <w:pPr>
        <w:jc w:val="both"/>
      </w:pPr>
      <w:r>
        <w:rPr>
          <w:b w:val="0"/>
          <w:sz w:val="24"/>
        </w:rPr>
        <w:t>4) gorizontal o‘qdagi qiymatlar vergul bilan berildi (4,5; 5,125; 5,75; 6,375; 7,0), ortiqcha 7,625 olib tashlandi.</w:t>
      </w:r>
    </w:p>
    <w:p/>
    <w:p>
      <w:pPr>
        <w:jc w:val="both"/>
      </w:pPr>
      <w:r>
        <w:rPr>
          <w:b/>
          <w:sz w:val="24"/>
        </w:rPr>
        <w:t>Matndagi qo‘shimcha (rasmdan keyingi xatboshi):</w:t>
      </w:r>
    </w:p>
    <w:p>
      <w:pPr>
        <w:jc w:val="both"/>
      </w:pPr>
      <w:r>
        <w:rPr>
          <w:b w:val="0"/>
          <w:sz w:val="28"/>
        </w:rPr>
        <w:t>Rasmdan ko‘rinadiki, asosiy kapital 4,5–5,125 foiz oralig‘ida bo‘lsa foydaning 100 foizi, 5,125–5,75 foiz oralig‘ida 80 foizi, 5,75–6,375 foiz oralig‘ida 60 foizi, 6,375–7 foiz oralig‘ida esa 40 foizi bankda qoldirilishi kerak.</w:t>
      </w:r>
      <w:r>
        <w:rPr>
          <w:b w:val="0"/>
          <w:color w:val="FF0000"/>
          <w:sz w:val="28"/>
        </w:rPr>
        <w:t xml:space="preserve"> Asosiy kapital 7 foizdan yuqori bo‘lganda esa foydani taqsimlashga cheklov qo‘llanmaydi. Shuni ta’kidlash joizki, ushbu shkala kontrsiklik bufer nolga teng bo‘lgan holat uchun keltirilgan bo‘lib, kontrsiklik bufer joriy etilganda har bir oraliq bufer miqdoriga mutanosib ravishda kengayadi.</w:t>
      </w:r>
      <w:r>
        <w:rPr>
          <w:b w:val="0"/>
          <w:sz w:val="28"/>
        </w:rPr>
        <w:t xml:space="preserve"> Bu shkala …</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Qoldiriladigan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c:v>
                </c:pt>
                <c:pt idx="8">
                  <c:v>7</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extLst>
            <c:ext xmlns:c16="http://schemas.microsoft.com/office/drawing/2014/chart" uri="{C3380CC4-5D6E-409C-BE32-E72D297353CC}">
              <c16:uniqueId val="{00000000-7B95-423F-980E-A13C450F9878}"/>
            </c:ext>
          </c:extLst>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c:v>
                </c:pt>
              </c:numCache>
            </c:numRef>
          </c:xVal>
          <c:yVal>
            <c:numRef>
              <c:f>Sheet1!$D$2:$D$6</c:f>
              <c:numCache>
                <c:formatCode>General</c:formatCode>
                <c:ptCount val="5"/>
                <c:pt idx="0">
                  <c:v>100</c:v>
                </c:pt>
                <c:pt idx="1">
                  <c:v>80</c:v>
                </c:pt>
                <c:pt idx="2">
                  <c:v>60</c:v>
                </c:pt>
                <c:pt idx="3">
                  <c:v>40</c:v>
                </c:pt>
                <c:pt idx="4">
                  <c:v>0</c:v>
                </c:pt>
              </c:numCache>
            </c:numRef>
          </c:yVal>
          <c:smooth val="0"/>
          <c:extLst>
            <c:ext xmlns:c16="http://schemas.microsoft.com/office/drawing/2014/chart" uri="{C3380CC4-5D6E-409C-BE32-E72D297353CC}">
              <c16:uniqueId val="{00000001-7B95-423F-980E-A13C450F9878}"/>
            </c:ext>
          </c:extLst>
        </c:ser>
        <c:ser>
          <c:idx val="2"/>
          <c:order val="2"/>
          <c:tx>
            <c:strRef>
              <c:f>Sheet1!$F$1</c:f>
              <c:strCache>
                <c:ptCount val="1"/>
                <c:pt idx="0">
                  <c:v>Pog‘ona darajasi</c:v>
                </c:pt>
              </c:strCache>
            </c:strRef>
          </c:tx>
          <c:spPr>
            <a:ln>
              <a:noFill/>
            </a:ln>
          </c:spPr>
          <c:marker>
            <c:symbol val="none"/>
          </c:marker>
          <c:dLbls>
            <c:dLbl>
              <c:idx val="0"/>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100 %</a:t>
                    </a:r>
                  </a:p>
                </c:rich>
              </c:tx>
              <c:spPr>
                <a:noFill/>
                <a:ln>
                  <a:noFill/>
                </a:ln>
              </c:spPr>
              <c:dLblPos val="t"/>
              <c:showLegendKey val="0"/>
              <c:showVal val="1"/>
              <c:showCatName val="0"/>
              <c:showSerName val="0"/>
              <c:showPercent val="0"/>
              <c:showBubbleSize val="0"/>
            </c:dLbl>
            <c:dLbl>
              <c:idx val="1"/>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80 %</a:t>
                    </a:r>
                  </a:p>
                </c:rich>
              </c:tx>
              <c:spPr>
                <a:noFill/>
                <a:ln>
                  <a:noFill/>
                </a:ln>
              </c:spPr>
              <c:dLblPos val="t"/>
              <c:showLegendKey val="0"/>
              <c:showVal val="1"/>
              <c:showCatName val="0"/>
              <c:showSerName val="0"/>
              <c:showPercent val="0"/>
              <c:showBubbleSize val="0"/>
            </c:dLbl>
            <c:dLbl>
              <c:idx val="2"/>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60 %</a:t>
                    </a:r>
                  </a:p>
                </c:rich>
              </c:tx>
              <c:spPr>
                <a:noFill/>
                <a:ln>
                  <a:noFill/>
                </a:ln>
              </c:spPr>
              <c:dLblPos val="t"/>
              <c:showLegendKey val="0"/>
              <c:showVal val="1"/>
              <c:showCatName val="0"/>
              <c:showSerName val="0"/>
              <c:showPercent val="0"/>
              <c:showBubbleSize val="0"/>
            </c:dLbl>
            <c:dLbl>
              <c:idx val="3"/>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40 %</a:t>
                    </a:r>
                  </a:p>
                </c:rich>
              </c:tx>
              <c:spPr>
                <a:noFill/>
                <a:ln>
                  <a:noFill/>
                </a:ln>
              </c:spPr>
              <c:dLblPos val="t"/>
              <c:showLegendKey val="0"/>
              <c:showVal val="1"/>
              <c:showCatName val="0"/>
              <c:showSerName val="0"/>
              <c:showPercent val="0"/>
              <c:showBubbleSize val="0"/>
            </c:dLbl>
            <c:dLbl>
              <c:idx val="4"/>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0 %</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xVal>
            <c:numRef>
              <c:f>Sheet1!$E$2:$E$6</c:f>
              <c:numCache>
                <c:formatCode>General</c:formatCode>
                <c:ptCount val="5"/>
                <c:pt idx="0">
                  <c:v>4.8125</c:v>
                </c:pt>
                <c:pt idx="1">
                  <c:v>5.4375</c:v>
                </c:pt>
                <c:pt idx="2">
                  <c:v>6.0625</c:v>
                </c:pt>
                <c:pt idx="3">
                  <c:v>6.6875</c:v>
                </c:pt>
                <c:pt idx="4">
                  <c:v>7.3125</c:v>
                </c:pt>
              </c:numCache>
            </c:numRef>
          </c:xVal>
          <c:yVal>
            <c:numRef>
              <c:f>Sheet1!$F$2:$F$6</c:f>
              <c:numCache>
                <c:formatCode>General</c:formatCode>
                <c:ptCount val="5"/>
                <c:pt idx="0">
                  <c:v>100</c:v>
                </c:pt>
                <c:pt idx="1">
                  <c:v>80</c:v>
                </c:pt>
                <c:pt idx="2">
                  <c:v>60</c:v>
                </c:pt>
                <c:pt idx="3">
                  <c:v>40</c:v>
                </c:pt>
                <c:pt idx="4">
                  <c:v>0</c:v>
                </c:pt>
              </c:numCache>
            </c:numRef>
          </c:yVal>
          <c:smooth val="0"/>
        </c:ser>
        <c:ser>
          <c:idx val="3"/>
          <c:order val="3"/>
          <c:tx>
            <c:strRef>
              <c:f>Sheet1!$H$1</c:f>
              <c:strCache>
                <c:ptCount val="1"/>
                <c:pt idx="0">
                  <c:v>X qiymatlari</c:v>
                </c:pt>
              </c:strCache>
            </c:strRef>
          </c:tx>
          <c:spPr>
            <a:ln>
              <a:noFill/>
            </a:ln>
          </c:spPr>
          <c:marker>
            <c:symbol val="none"/>
          </c:marker>
          <c:dLbls>
            <c:dLbl>
              <c:idx val="0"/>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4,5</a:t>
                    </a:r>
                  </a:p>
                </c:rich>
              </c:tx>
              <c:spPr>
                <a:noFill/>
                <a:ln>
                  <a:noFill/>
                </a:ln>
              </c:spPr>
              <c:dLblPos val="b"/>
              <c:showLegendKey val="0"/>
              <c:showVal val="1"/>
              <c:showCatName val="0"/>
              <c:showSerName val="0"/>
              <c:showPercent val="0"/>
              <c:showBubbleSize val="0"/>
            </c:dLbl>
            <c:dLbl>
              <c:idx val="1"/>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5,125</a:t>
                    </a:r>
                  </a:p>
                </c:rich>
              </c:tx>
              <c:spPr>
                <a:noFill/>
                <a:ln>
                  <a:noFill/>
                </a:ln>
              </c:spPr>
              <c:dLblPos val="b"/>
              <c:showLegendKey val="0"/>
              <c:showVal val="1"/>
              <c:showCatName val="0"/>
              <c:showSerName val="0"/>
              <c:showPercent val="0"/>
              <c:showBubbleSize val="0"/>
            </c:dLbl>
            <c:dLbl>
              <c:idx val="2"/>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5,75</a:t>
                    </a:r>
                  </a:p>
                </c:rich>
              </c:tx>
              <c:spPr>
                <a:noFill/>
                <a:ln>
                  <a:noFill/>
                </a:ln>
              </c:spPr>
              <c:dLblPos val="b"/>
              <c:showLegendKey val="0"/>
              <c:showVal val="1"/>
              <c:showCatName val="0"/>
              <c:showSerName val="0"/>
              <c:showPercent val="0"/>
              <c:showBubbleSize val="0"/>
            </c:dLbl>
            <c:dLbl>
              <c:idx val="3"/>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6,375</a:t>
                    </a:r>
                  </a:p>
                </c:rich>
              </c:tx>
              <c:spPr>
                <a:noFill/>
                <a:ln>
                  <a:noFill/>
                </a:ln>
              </c:spPr>
              <c:dLblPos val="b"/>
              <c:showLegendKey val="0"/>
              <c:showVal val="1"/>
              <c:showCatName val="0"/>
              <c:showSerName val="0"/>
              <c:showPercent val="0"/>
              <c:showBubbleSize val="0"/>
            </c:dLbl>
            <c:dLbl>
              <c:idx val="4"/>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7,0</a:t>
                    </a:r>
                  </a:p>
                </c:rich>
              </c:tx>
              <c:spPr>
                <a:noFill/>
                <a:ln>
                  <a:noFill/>
                </a:ln>
              </c:spPr>
              <c:dLblPos val="b"/>
              <c:showLegendKey val="0"/>
              <c:showVal val="1"/>
              <c:showCatName val="0"/>
              <c:showSerName val="0"/>
              <c:showPercent val="0"/>
              <c:showBubbleSize val="0"/>
            </c:dLbl>
            <c:showLegendKey val="0"/>
            <c:showVal val="0"/>
            <c:showCatName val="0"/>
            <c:showSerName val="0"/>
            <c:showPercent val="0"/>
            <c:showBubbleSize val="0"/>
          </c:dLbls>
          <c:xVal>
            <c:numRef>
              <c:f>Sheet1!$G$2:$G$6</c:f>
              <c:numCache>
                <c:formatCode>General</c:formatCode>
                <c:ptCount val="5"/>
                <c:pt idx="0">
                  <c:v>4.5</c:v>
                </c:pt>
                <c:pt idx="1">
                  <c:v>5.125</c:v>
                </c:pt>
                <c:pt idx="2">
                  <c:v>5.75</c:v>
                </c:pt>
                <c:pt idx="3">
                  <c:v>6.375</c:v>
                </c:pt>
                <c:pt idx="4">
                  <c:v>7.0</c:v>
                </c:pt>
              </c:numCache>
            </c:numRef>
          </c:xVal>
          <c:yVal>
            <c:numRef>
              <c:f>Sheet1!$H$2:$H$6</c:f>
              <c:numCache>
                <c:formatCode>General</c:formatCode>
                <c:ptCount val="5"/>
                <c:pt idx="0">
                  <c:v>0</c:v>
                </c:pt>
                <c:pt idx="1">
                  <c:v>0</c:v>
                </c:pt>
                <c:pt idx="2">
                  <c:v>0</c:v>
                </c:pt>
                <c:pt idx="3">
                  <c:v>0</c:v>
                </c:pt>
                <c:pt idx="4">
                  <c:v>0</c:v>
                </c:pt>
              </c:numCache>
            </c:numRef>
          </c:yVal>
          <c:smooth val="0"/>
        </c:ser>
        <c:dLbls>
          <c:showLegendKey val="0"/>
          <c:showVal val="0"/>
          <c:showCatName val="0"/>
          <c:showSerName val="0"/>
          <c:showPercent val="0"/>
          <c:showBubbleSize val="0"/>
        </c:dLbls>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none"/>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20"/>
      </c:valAx>
      <c:spPr>
        <a:noFill/>
        <a:ln>
          <a:noFill/>
        </a:ln>
      </c:spPr>
    </c:plotArea>
    <c:legend>
      <c:legendPos val="b"/>
      <c:legendEntry>
        <c:idx val="2"/>
        <c:delete val="1"/>
      </c:legendEntry>
      <c:legendEntry>
        <c:idx val="3"/>
        <c:delete val="1"/>
      </c:legendEntry>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