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X0a8f05e5cd7bad167a6c1dddfdd9ff0edf10251"/>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1.3-§. Xorijiy mamlakatlarda banklar moliyaviy barqarorligini tartibga solish va baholash tajribasi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pPr>
        <w:pStyle w:val="BodyText"/>
        <w:spacing w:line="360" w:lineRule="auto" w:before="0" w:after="0"/>
        <w:ind w:firstLine="709"/>
        <w:jc w:val="both"/>
      </w:pPr>
      <w:r>
        <w:rPr>
          <w:rFonts w:ascii="Times New Roman" w:hAnsi="Times New Roman" w:cs="Times New Roman" w:eastAsia="Times New Roman"/>
          <w:sz w:val="28"/>
        </w:rPr>
        <w:t xml:space="preserve">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FootnoteReference"/>
        </w:rPr>
        <w:footnoteReference w:id="20"/>
      </w:r>
      <w:r>
        <w:rPr>
          <w:rFonts w:ascii="Times New Roman" w:hAnsi="Times New Roman" w:cs="Times New Roman" w:eastAsia="Times New Roman"/>
          <w:sz w:val="28"/>
        </w:rPr>
        <w:t xml:space="preserve">. Ushbu toifalar va ularga mansub milliy tizimlar 1.3.1-rasmda umumlashtirildi.</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304000"/>
                <wp:effectExtent l="0" t="0" r="0" b="0"/>
                <wp:docPr id="1001" name="1.3.1-rasm"/>
                <wp:cNvGraphicFramePr/>
                <a:graphic>
                  <a:graphicData uri="http://schemas.microsoft.com/office/word/2010/wordprocessingGroup">
                    <wpg:wgp>
                      <wpg:cNvGrpSpPr/>
                      <wpg:grpSpPr>
                        <a:xfrm>
                          <a:off x="0" y="0"/>
                          <a:ext cx="5904000" cy="2304000"/>
                          <a:chOff x="0" y="0"/>
                          <a:chExt cx="5904000" cy="2304000"/>
                        </a:xfrm>
                      </wpg:grpSpPr>
                      <wps:wsp>
                        <wps:cNvPr id="2"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Banklar moliyaviy barqarorligini baholash tizimlari</w:t>
                              </w:r>
                            </w:p>
                            <w:p>
                              <w:pPr>
                                <w:spacing w:before="0" w:after="0" w:line="228" w:lineRule="auto"/>
                                <w:jc w:val="center"/>
                                <w:ind w:firstLine="0"/>
                              </w:pPr>
                              <w:r>
                                <w:rPr>
                                  <w:rFonts w:ascii="Times New Roman" w:hAnsi="Times New Roman" w:cs="Times New Roman"/>
                                  <w:b/>
                                  <w:color w:val="FFFFFF"/>
                                  <w:sz w:val="22"/>
                                  <w:szCs w:val="22"/>
                                </w:rPr>
                                <w:t xml:space="preserve">(Xalqaro hisob-kitoblar banki tasnifi)</w:t>
                              </w:r>
                            </w:p>
                          </w:txbxContent>
                        </wps:txbx>
                        <wps:bodyPr rot="0" vert="horz" wrap="square" lIns="36000" tIns="18000" rIns="36000" bIns="18000" anchor="ctr" anchorCtr="0">
                          <a:noAutofit/>
                        </wps:bodyPr>
                      </wps:wsp>
                      <wps:wsp>
                        <wps:cNvPr id="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Nazorat reyting</w:t>
                              </w:r>
                            </w:p>
                            <w:p>
                              <w:pPr>
                                <w:spacing w:before="0" w:after="0" w:line="228" w:lineRule="auto"/>
                                <w:jc w:val="center"/>
                                <w:ind w:firstLine="0"/>
                              </w:pPr>
                              <w:r>
                                <w:rPr>
                                  <w:rFonts w:ascii="Times New Roman" w:hAnsi="Times New Roman" w:cs="Times New Roman"/>
                                  <w:b/>
                                  <w:color w:val="FFFFFF"/>
                                  <w:sz w:val="21"/>
                                  <w:szCs w:val="21"/>
                                </w:rPr>
                                <w:t xml:space="preserve">tizimlari</w:t>
                              </w:r>
                            </w:p>
                          </w:txbxContent>
                        </wps:txbx>
                        <wps:bodyPr rot="0" vert="horz" wrap="square" lIns="36000" tIns="18000" rIns="36000" bIns="18000" anchor="ctr" anchorCtr="0">
                          <a:noAutofit/>
                        </wps:bodyPr>
                      </wps:wsp>
                      <wps:wsp>
                        <wps:cNvPr id="5"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CAMELS (AQSh)</w:t>
                              </w:r>
                            </w:p>
                            <w:p>
                              <w:pPr>
                                <w:spacing w:before="0" w:after="0" w:line="228" w:lineRule="auto"/>
                                <w:jc w:val="center"/>
                                <w:ind w:firstLine="0"/>
                              </w:pPr>
                              <w:r>
                                <w:rPr>
                                  <w:rFonts w:ascii="Times New Roman" w:hAnsi="Times New Roman" w:cs="Times New Roman"/>
                                  <w:color w:val="000000"/>
                                  <w:sz w:val="20"/>
                                  <w:szCs w:val="20"/>
                                </w:rPr>
                                <w:t xml:space="preserve">ORAP (Fransiya)</w:t>
                              </w:r>
                            </w:p>
                            <w:p>
                              <w:pPr>
                                <w:spacing w:before="0" w:after="0" w:line="228" w:lineRule="auto"/>
                                <w:jc w:val="center"/>
                                <w:ind w:firstLine="0"/>
                              </w:pPr>
                              <w:r>
                                <w:rPr>
                                  <w:rFonts w:ascii="Times New Roman" w:hAnsi="Times New Roman" w:cs="Times New Roman"/>
                                  <w:color w:val="000000"/>
                                  <w:sz w:val="20"/>
                                  <w:szCs w:val="20"/>
                                </w:rPr>
                                <w:t xml:space="preserve">PATROL (Italiya)</w:t>
                              </w:r>
                            </w:p>
                            <w:p>
                              <w:pPr>
                                <w:spacing w:before="0" w:after="0" w:line="228" w:lineRule="auto"/>
                                <w:jc w:val="center"/>
                                <w:ind w:firstLine="0"/>
                              </w:pPr>
                              <w:r>
                                <w:rPr>
                                  <w:rFonts w:ascii="Times New Roman" w:hAnsi="Times New Roman" w:cs="Times New Roman"/>
                                  <w:color w:val="000000"/>
                                  <w:sz w:val="20"/>
                                  <w:szCs w:val="20"/>
                                </w:rPr>
                                <w:t xml:space="preserve">Rossiya banki</w:t>
                              </w:r>
                            </w:p>
                            <w:p>
                              <w:pPr>
                                <w:spacing w:before="0" w:after="0" w:line="228" w:lineRule="auto"/>
                                <w:jc w:val="center"/>
                                <w:ind w:firstLine="0"/>
                              </w:pPr>
                              <w:r>
                                <w:rPr>
                                  <w:rFonts w:ascii="Times New Roman" w:hAnsi="Times New Roman" w:cs="Times New Roman"/>
                                  <w:color w:val="000000"/>
                                  <w:sz w:val="20"/>
                                  <w:szCs w:val="20"/>
                                </w:rPr>
                                <w:t xml:space="preserve">reytingi</w:t>
                              </w:r>
                            </w:p>
                          </w:txbxContent>
                        </wps:txbx>
                        <wps:bodyPr rot="0" vert="horz" wrap="square" lIns="36000" tIns="18000" rIns="36000" bIns="18000" anchor="ctr" anchorCtr="0">
                          <a:noAutofit/>
                        </wps:bodyPr>
                      </wps:wsp>
                      <wps:wsp>
                        <wps:cNvPr id="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Koeffitsiyentlar va</w:t>
                              </w:r>
                            </w:p>
                            <w:p>
                              <w:pPr>
                                <w:spacing w:before="0" w:after="0" w:line="228" w:lineRule="auto"/>
                                <w:jc w:val="center"/>
                                <w:ind w:firstLine="0"/>
                              </w:pPr>
                              <w:r>
                                <w:rPr>
                                  <w:rFonts w:ascii="Times New Roman" w:hAnsi="Times New Roman" w:cs="Times New Roman"/>
                                  <w:b/>
                                  <w:color w:val="FFFFFF"/>
                                  <w:sz w:val="21"/>
                                  <w:szCs w:val="21"/>
                                </w:rPr>
                                <w:t xml:space="preserve">guruhlab tahlil</w:t>
                              </w:r>
                            </w:p>
                          </w:txbxContent>
                        </wps:txbx>
                        <wps:bodyPr rot="0" vert="horz" wrap="square" lIns="36000" tIns="18000" rIns="36000" bIns="18000" anchor="ctr" anchorCtr="0">
                          <a:noAutofit/>
                        </wps:bodyPr>
                      </wps:wsp>
                      <wps:wsp>
                        <wps:cNvPr id="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BAKIS (Germaniya)</w:t>
                              </w:r>
                            </w:p>
                            <w:p>
                              <w:pPr>
                                <w:spacing w:before="0" w:after="0" w:line="228" w:lineRule="auto"/>
                                <w:jc w:val="center"/>
                                <w:ind w:firstLine="0"/>
                              </w:pPr>
                              <w:r>
                                <w:rPr>
                                  <w:rFonts w:ascii="Times New Roman" w:hAnsi="Times New Roman" w:cs="Times New Roman"/>
                                  <w:color w:val="000000"/>
                                  <w:sz w:val="20"/>
                                  <w:szCs w:val="20"/>
                                </w:rPr>
                                <w:t xml:space="preserve">EBA risk</w:t>
                              </w:r>
                            </w:p>
                            <w:p>
                              <w:pPr>
                                <w:spacing w:before="0" w:after="0" w:line="228" w:lineRule="auto"/>
                                <w:jc w:val="center"/>
                                <w:ind w:firstLine="0"/>
                              </w:pPr>
                              <w:r>
                                <w:rPr>
                                  <w:rFonts w:ascii="Times New Roman" w:hAnsi="Times New Roman" w:cs="Times New Roman"/>
                                  <w:color w:val="000000"/>
                                  <w:sz w:val="20"/>
                                  <w:szCs w:val="20"/>
                                </w:rPr>
                                <w:t xml:space="preserve">indikatorlari</w:t>
                              </w:r>
                            </w:p>
                            <w:p>
                              <w:pPr>
                                <w:spacing w:before="0" w:after="0" w:line="228" w:lineRule="auto"/>
                                <w:jc w:val="center"/>
                                <w:ind w:firstLine="0"/>
                              </w:pPr>
                              <w:r>
                                <w:rPr>
                                  <w:rFonts w:ascii="Times New Roman" w:hAnsi="Times New Roman" w:cs="Times New Roman"/>
                                  <w:color w:val="000000"/>
                                  <w:sz w:val="20"/>
                                  <w:szCs w:val="20"/>
                                </w:rPr>
                                <w:t xml:space="preserve">(Yevropa Ittifoqi)</w:t>
                              </w:r>
                            </w:p>
                          </w:txbxContent>
                        </wps:txbx>
                        <wps:bodyPr rot="0" vert="horz" wrap="square" lIns="36000" tIns="18000" rIns="36000" bIns="18000" anchor="ctr" anchorCtr="0">
                          <a:noAutofit/>
                        </wps:bodyPr>
                      </wps:wsp>
                      <wps:wsp>
                        <wps:cNvPr id="9" name="Connector 9"/>
                        <wps:cNvCnPr/>
                        <wps:spPr>
                          <a:xfrm>
                            <a:off x="2952000" y="396000"/>
                            <a:ext cx="729000" cy="234000"/>
                          </a:xfrm>
                          <a:prstGeom prst="straightConnector1">
                            <a:avLst/>
                          </a:prstGeom>
                          <a:ln w="15875">
                            <a:solidFill>
                              <a:srgbClr val="404040"/>
                            </a:solidFill>
                            <a:tailEnd type="triangle" w="med" len="med"/>
                          </a:ln>
                        </wps:spPr>
                        <wps:bodyPr/>
                      </wps:wsp>
                      <wps:wsp>
                        <wps:cNvPr id="10"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Risklarni kompleks</w:t>
                              </w:r>
                            </w:p>
                            <w:p>
                              <w:pPr>
                                <w:spacing w:before="0" w:after="0" w:line="228" w:lineRule="auto"/>
                                <w:jc w:val="center"/>
                                <w:ind w:firstLine="0"/>
                              </w:pPr>
                              <w:r>
                                <w:rPr>
                                  <w:rFonts w:ascii="Times New Roman" w:hAnsi="Times New Roman" w:cs="Times New Roman"/>
                                  <w:b/>
                                  <w:color w:val="FFFFFF"/>
                                  <w:sz w:val="21"/>
                                  <w:szCs w:val="21"/>
                                </w:rPr>
                                <w:t xml:space="preserve">baholash</w:t>
                              </w:r>
                            </w:p>
                          </w:txbxContent>
                        </wps:txbx>
                        <wps:bodyPr rot="0" vert="horz" wrap="square" lIns="36000" tIns="18000" rIns="36000" bIns="18000" anchor="ctr" anchorCtr="0">
                          <a:noAutofit/>
                        </wps:bodyPr>
                      </wps:wsp>
                      <wps:wsp>
                        <wps:cNvPr id="11"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BAITE, RATE</w:t>
                              </w:r>
                            </w:p>
                            <w:p>
                              <w:pPr>
                                <w:spacing w:before="0" w:after="0" w:line="228" w:lineRule="auto"/>
                                <w:jc w:val="center"/>
                                <w:ind w:firstLine="0"/>
                              </w:pPr>
                              <w:r>
                                <w:rPr>
                                  <w:rFonts w:ascii="Times New Roman" w:hAnsi="Times New Roman" w:cs="Times New Roman"/>
                                  <w:color w:val="000000"/>
                                  <w:sz w:val="20"/>
                                  <w:szCs w:val="20"/>
                                </w:rPr>
                                <w:t xml:space="preserve">(Buyuk Britaniya)</w:t>
                              </w:r>
                            </w:p>
                            <w:p>
                              <w:pPr>
                                <w:spacing w:before="0" w:after="0" w:line="228" w:lineRule="auto"/>
                                <w:jc w:val="center"/>
                                <w:ind w:firstLine="0"/>
                              </w:pPr>
                              <w:r>
                                <w:rPr>
                                  <w:rFonts w:ascii="Times New Roman" w:hAnsi="Times New Roman" w:cs="Times New Roman"/>
                                  <w:color w:val="000000"/>
                                  <w:sz w:val="20"/>
                                  <w:szCs w:val="20"/>
                                </w:rPr>
                                <w:t xml:space="preserve">RAST</w:t>
                              </w:r>
                            </w:p>
                            <w:p>
                              <w:pPr>
                                <w:spacing w:before="0" w:after="0" w:line="228" w:lineRule="auto"/>
                                <w:jc w:val="center"/>
                                <w:ind w:firstLine="0"/>
                              </w:pPr>
                              <w:r>
                                <w:rPr>
                                  <w:rFonts w:ascii="Times New Roman" w:hAnsi="Times New Roman" w:cs="Times New Roman"/>
                                  <w:color w:val="000000"/>
                                  <w:sz w:val="20"/>
                                  <w:szCs w:val="20"/>
                                </w:rPr>
                                <w:t xml:space="preserve">(Niderlandiya)</w:t>
                              </w:r>
                            </w:p>
                          </w:txbxContent>
                        </wps:txbx>
                        <wps:bodyPr rot="0" vert="horz" wrap="square" lIns="36000" tIns="18000" rIns="36000" bIns="18000" anchor="ctr" anchorCtr="0">
                          <a:noAutofit/>
                        </wps:bodyPr>
                      </wps:wsp>
                      <wps:wsp>
                        <wps:cNvPr id="12" name="Connector 12"/>
                        <wps:cNvCnPr/>
                        <wps:spPr>
                          <a:xfrm>
                            <a:off x="2952000" y="396000"/>
                            <a:ext cx="2205000" cy="234000"/>
                          </a:xfrm>
                          <a:prstGeom prst="straightConnector1">
                            <a:avLst/>
                          </a:prstGeom>
                          <a:ln w="15875">
                            <a:solidFill>
                              <a:srgbClr val="404040"/>
                            </a:solidFill>
                            <a:tailEnd type="triangle" w="med" len="med"/>
                          </a:ln>
                        </wps:spPr>
                        <wps:bodyPr/>
                      </wps:wsp>
                      <wps:wsp>
                        <wps:cNvPr id="13"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Statistik</w:t>
                              </w:r>
                            </w:p>
                            <w:p>
                              <w:pPr>
                                <w:spacing w:before="0" w:after="0" w:line="228" w:lineRule="auto"/>
                                <w:jc w:val="center"/>
                                <w:ind w:firstLine="0"/>
                              </w:pPr>
                              <w:r>
                                <w:rPr>
                                  <w:rFonts w:ascii="Times New Roman" w:hAnsi="Times New Roman" w:cs="Times New Roman"/>
                                  <w:b/>
                                  <w:color w:val="000000"/>
                                  <w:sz w:val="21"/>
                                  <w:szCs w:val="21"/>
                                </w:rPr>
                                <w:t xml:space="preserve">modellar</w:t>
                              </w:r>
                            </w:p>
                          </w:txbxContent>
                        </wps:txbx>
                        <wps:bodyPr rot="0" vert="horz" wrap="square" lIns="36000" tIns="18000" rIns="36000" bIns="18000" anchor="ctr" anchorCtr="0">
                          <a:noAutofit/>
                        </wps:bodyPr>
                      </wps:wsp>
                      <wps:wsp>
                        <wps:cNvPr id="14"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FIMS, SEER,</w:t>
                              </w:r>
                            </w:p>
                            <w:p>
                              <w:pPr>
                                <w:spacing w:before="0" w:after="0" w:line="228" w:lineRule="auto"/>
                                <w:jc w:val="center"/>
                                <w:ind w:firstLine="0"/>
                              </w:pPr>
                              <w:r>
                                <w:rPr>
                                  <w:rFonts w:ascii="Times New Roman" w:hAnsi="Times New Roman" w:cs="Times New Roman"/>
                                  <w:color w:val="000000"/>
                                  <w:sz w:val="20"/>
                                  <w:szCs w:val="20"/>
                                </w:rPr>
                                <w:t xml:space="preserve">SCOR (AQSh)</w:t>
                              </w:r>
                            </w:p>
                            <w:p>
                              <w:pPr>
                                <w:spacing w:before="0" w:after="0" w:line="228" w:lineRule="auto"/>
                                <w:jc w:val="center"/>
                                <w:ind w:firstLine="0"/>
                              </w:pPr>
                              <w:r>
                                <w:rPr>
                                  <w:rFonts w:ascii="Times New Roman" w:hAnsi="Times New Roman" w:cs="Times New Roman"/>
                                  <w:color w:val="000000"/>
                                  <w:sz w:val="20"/>
                                  <w:szCs w:val="20"/>
                                </w:rPr>
                                <w:t xml:space="preserve">SAABA ekspert</w:t>
                              </w:r>
                            </w:p>
                            <w:p>
                              <w:pPr>
                                <w:spacing w:before="0" w:after="0" w:line="228" w:lineRule="auto"/>
                                <w:jc w:val="center"/>
                                <w:ind w:firstLine="0"/>
                              </w:pPr>
                              <w:r>
                                <w:rPr>
                                  <w:rFonts w:ascii="Times New Roman" w:hAnsi="Times New Roman" w:cs="Times New Roman"/>
                                  <w:color w:val="000000"/>
                                  <w:sz w:val="20"/>
                                  <w:szCs w:val="20"/>
                                </w:rPr>
                                <w:t xml:space="preserve">tizimi (Fransiya)</w:t>
                              </w:r>
                            </w:p>
                          </w:txbxContent>
                        </wps:txbx>
                        <wps:bodyPr rot="0" vert="horz" wrap="square" lIns="36000" tIns="18000" rIns="36000" bIns="18000" anchor="ctr" anchorCtr="0">
                          <a:noAutofit/>
                        </wps:bodyPr>
                      </wps:wsp>
                      <wps:wsp>
                        <wps:cNvPr id="1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Joriy holatni baholash  ←————————————————→  Kelgusi holatni bashorat qilish</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1.3.1-rasm. Xorijiy mamlakatlarda banklar moliyaviy barqarorligini baholash tizimlarining tasnifi</w:t>
      </w:r>
      <w:r>
        <w:rPr>
          <w:rStyle w:val="FootnoteReference"/>
        </w:rPr>
        <w:footnoteReference w:id="21"/>
      </w:r>
    </w:p>
    <w:p>
      <w:pPr>
        <w:pStyle w:val="BodyText"/>
        <w:spacing w:line="360" w:lineRule="auto" w:before="0" w:after="0"/>
        <w:ind w:firstLine="709"/>
        <w:jc w:val="both"/>
      </w:pPr>
      <w:r>
        <w:rPr>
          <w:rFonts w:ascii="Times New Roman" w:hAnsi="Times New Roman" w:cs="Times New Roman" w:eastAsia="Times New Roman"/>
          <w:sz w:val="28"/>
        </w:rPr>
        <w:t xml:space="preserve">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Rivojlangan mamlakatlarda banklarni baholash tizimlarining qiyosiy tavsifi</w:t>
      </w:r>
      <w:r>
        <w:rPr>
          <w:rStyle w:val="FootnoteReference"/>
        </w:rPr>
        <w:footnoteReference w:id="22"/>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Tizim (joriy etilgan yili)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Turi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xususiyatlari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CAMELS (1978–1979)</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6 komponent, 1–5 ballik shkala; yig‘ma ball o‘rtacha emas, tekshiruv guruhi bahosi; natijalar oshkor qilinmaydi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FIMS, SEER, SCOR</w:t>
            </w:r>
          </w:p>
        </w:tc>
        <w:tc>
          <w:tcPr/>
          <w:p>
            <w:pPr>
              <w:pStyle w:val="Compact"/>
              <w:spacing w:line="240" w:lineRule="auto"/>
              <w:ind w:firstLine="0"/>
              <w:jc w:val="left"/>
            </w:pPr>
            <w:r>
              <w:rPr>
                <w:rFonts w:ascii="Times New Roman" w:hAnsi="Times New Roman" w:cs="Times New Roman" w:eastAsia="Times New Roman"/>
                <w:sz w:val="22"/>
              </w:rPr>
              <w:t xml:space="preserve">Statistik</w:t>
            </w:r>
          </w:p>
        </w:tc>
        <w:tc>
          <w:tcPr/>
          <w:p>
            <w:pPr>
              <w:pStyle w:val="Compact"/>
              <w:spacing w:line="240" w:lineRule="auto"/>
              <w:ind w:firstLine="0"/>
              <w:jc w:val="left"/>
            </w:pPr>
            <w:r>
              <w:rPr>
                <w:rFonts w:ascii="Times New Roman" w:hAnsi="Times New Roman" w:cs="Times New Roman" w:eastAsia="Times New Roman"/>
                <w:sz w:val="22"/>
              </w:rPr>
              <w:t xml:space="preserve">Logit modellar orqali reyting pasayishi va bankrotlik ehtimolini bashorat qilish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w:t>
            </w:r>
          </w:p>
        </w:tc>
        <w:tc>
          <w:tcPr/>
          <w:p>
            <w:pPr>
              <w:pStyle w:val="Compact"/>
              <w:spacing w:line="240" w:lineRule="auto"/>
              <w:ind w:firstLine="0"/>
              <w:jc w:val="left"/>
            </w:pPr>
            <w:r>
              <w:rPr>
                <w:rFonts w:ascii="Times New Roman" w:hAnsi="Times New Roman" w:cs="Times New Roman" w:eastAsia="Times New Roman"/>
                <w:sz w:val="22"/>
              </w:rPr>
              <w:t xml:space="preserve">BAITE (1997), RATE (1998)</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9 yo‘nalish; risk darajasi va nazorat sifati matritsasi; nazorat davri riskka bog‘langan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w:t>
            </w:r>
          </w:p>
        </w:tc>
        <w:tc>
          <w:tcPr/>
          <w:p>
            <w:pPr>
              <w:pStyle w:val="Compact"/>
              <w:spacing w:line="240" w:lineRule="auto"/>
              <w:ind w:firstLine="0"/>
              <w:jc w:val="left"/>
            </w:pPr>
            <w:r>
              <w:rPr>
                <w:rFonts w:ascii="Times New Roman" w:hAnsi="Times New Roman" w:cs="Times New Roman" w:eastAsia="Times New Roman"/>
                <w:sz w:val="22"/>
              </w:rPr>
              <w:t xml:space="preserve">BAKIS (1997)</w:t>
            </w:r>
          </w:p>
        </w:tc>
        <w:tc>
          <w:tcPr/>
          <w:p>
            <w:pPr>
              <w:pStyle w:val="Compact"/>
              <w:spacing w:line="240" w:lineRule="auto"/>
              <w:ind w:firstLine="0"/>
              <w:jc w:val="left"/>
            </w:pPr>
            <w:r>
              <w:rPr>
                <w:rFonts w:ascii="Times New Roman" w:hAnsi="Times New Roman" w:cs="Times New Roman" w:eastAsia="Times New Roman"/>
                <w:sz w:val="22"/>
              </w:rPr>
              <w:t xml:space="preserve">Koeffitsiyentlar va guruhlab tahlil</w:t>
            </w:r>
          </w:p>
        </w:tc>
        <w:tc>
          <w:tcPr/>
          <w:p>
            <w:pPr>
              <w:pStyle w:val="Compact"/>
              <w:spacing w:line="240" w:lineRule="auto"/>
              <w:ind w:firstLine="0"/>
              <w:jc w:val="left"/>
            </w:pPr>
            <w:r>
              <w:rPr>
                <w:rFonts w:ascii="Times New Roman" w:hAnsi="Times New Roman" w:cs="Times New Roman" w:eastAsia="Times New Roman"/>
                <w:sz w:val="22"/>
              </w:rPr>
              <w:t xml:space="preserve">47 ko‘rsatkich, teng vaznlar; guruh o‘rtachasi bilan taqqoslash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Fransiya</w:t>
            </w:r>
          </w:p>
        </w:tc>
        <w:tc>
          <w:tcPr/>
          <w:p>
            <w:pPr>
              <w:pStyle w:val="Compact"/>
              <w:spacing w:line="240" w:lineRule="auto"/>
              <w:ind w:firstLine="0"/>
              <w:jc w:val="left"/>
            </w:pPr>
            <w:r>
              <w:rPr>
                <w:rFonts w:ascii="Times New Roman" w:hAnsi="Times New Roman" w:cs="Times New Roman" w:eastAsia="Times New Roman"/>
                <w:sz w:val="22"/>
              </w:rPr>
              <w:t xml:space="preserve">ORAP (1997), SAABA</w:t>
            </w:r>
          </w:p>
        </w:tc>
        <w:tc>
          <w:tcPr/>
          <w:p>
            <w:pPr>
              <w:pStyle w:val="Compact"/>
              <w:spacing w:line="240" w:lineRule="auto"/>
              <w:ind w:firstLine="0"/>
              <w:jc w:val="left"/>
            </w:pPr>
            <w:r>
              <w:rPr>
                <w:rFonts w:ascii="Times New Roman" w:hAnsi="Times New Roman" w:cs="Times New Roman" w:eastAsia="Times New Roman"/>
                <w:sz w:val="22"/>
              </w:rPr>
              <w:t xml:space="preserve">Reyting va ekspert tizimi</w:t>
            </w:r>
          </w:p>
        </w:tc>
        <w:tc>
          <w:tcPr/>
          <w:p>
            <w:pPr>
              <w:pStyle w:val="Compact"/>
              <w:spacing w:line="240" w:lineRule="auto"/>
              <w:ind w:firstLine="0"/>
              <w:jc w:val="left"/>
            </w:pPr>
            <w:r>
              <w:rPr>
                <w:rFonts w:ascii="Times New Roman" w:hAnsi="Times New Roman" w:cs="Times New Roman" w:eastAsia="Times New Roman"/>
                <w:sz w:val="22"/>
              </w:rPr>
              <w:t xml:space="preserve">SAABA 25 ma’lumotlar bazasidan foydalanadi; 3 yillik to‘lov qobiliyati bahosi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Italiya</w:t>
            </w:r>
          </w:p>
        </w:tc>
        <w:tc>
          <w:tcPr/>
          <w:p>
            <w:pPr>
              <w:pStyle w:val="Compact"/>
              <w:spacing w:line="240" w:lineRule="auto"/>
              <w:ind w:firstLine="0"/>
              <w:jc w:val="left"/>
            </w:pPr>
            <w:r>
              <w:rPr>
                <w:rFonts w:ascii="Times New Roman" w:hAnsi="Times New Roman" w:cs="Times New Roman" w:eastAsia="Times New Roman"/>
                <w:sz w:val="22"/>
              </w:rPr>
              <w:t xml:space="preserve">PATROL (1993)</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Masofaviy nazorat va reyting</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Niderlandiya</w:t>
            </w:r>
          </w:p>
        </w:tc>
        <w:tc>
          <w:tcPr/>
          <w:p>
            <w:pPr>
              <w:pStyle w:val="Compact"/>
              <w:spacing w:line="240" w:lineRule="auto"/>
              <w:ind w:firstLine="0"/>
              <w:jc w:val="left"/>
            </w:pPr>
            <w:r>
              <w:rPr>
                <w:rFonts w:ascii="Times New Roman" w:hAnsi="Times New Roman" w:cs="Times New Roman" w:eastAsia="Times New Roman"/>
                <w:sz w:val="22"/>
              </w:rPr>
              <w:t xml:space="preserve">RAST</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Risklarni tahlil qilish va nazorat choralarini belgilash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pPr>
        <w:pStyle w:val="BodyText"/>
        <w:spacing w:line="360" w:lineRule="auto" w:before="0" w:after="0"/>
        <w:ind w:firstLine="709"/>
        <w:jc w:val="both"/>
      </w:pPr>
      <w:r>
        <w:rPr>
          <w:rFonts w:ascii="Times New Roman" w:hAnsi="Times New Roman" w:cs="Times New Roman" w:eastAsia="Times New Roman"/>
          <w:sz w:val="28"/>
        </w:rP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FootnoteReference"/>
        </w:rPr>
        <w:footnoteReference w:id="23"/>
      </w:r>
      <w:r>
        <w:rPr>
          <w:rFonts w:ascii="Times New Roman" w:hAnsi="Times New Roman" w:cs="Times New Roman" w:eastAsia="Times New Roman"/>
          <w:sz w:val="28"/>
        </w:rPr>
        <w:t xml:space="preserve">. Har bir yirik inqiroz nazorat tizimiga yangi vositani olib kirgan, natijada bugungi kunda AQShda reyting, kapitalga asoslangan majburiy choralar, statistik modellar va stress-testlardan iborat to‘rt qatlamli tizim shakllangan.</w:t>
      </w:r>
    </w:p>
    <w:p>
      <w:pPr>
        <w:pStyle w:val="BodyText"/>
        <w:spacing w:line="360" w:lineRule="auto" w:before="0" w:after="0"/>
        <w:ind w:firstLine="709"/>
        <w:jc w:val="both"/>
      </w:pPr>
      <w:r>
        <w:rPr>
          <w:rFonts w:ascii="Times New Roman" w:hAnsi="Times New Roman" w:cs="Times New Roman" w:eastAsia="Times New Roman"/>
          <w:sz w:val="28"/>
        </w:rPr>
        <w:t xml:space="preserve">Bu tizimning birinchi qatlamini CAMELS reyting tizimi tashkil etadi. U 1978-yilda Moliya institutlari federal ekspertiza kengashi tomonidan yaratilgan bo‘lib, 1997-yildan unga bozor riskiga sezgirlik komponenti qo‘shilgan</w:t>
      </w:r>
      <w:r>
        <w:rPr>
          <w:rStyle w:val="FootnoteReference"/>
        </w:rPr>
        <w:footnoteReference w:id="24"/>
      </w:r>
      <w:r>
        <w:rPr>
          <w:rFonts w:ascii="Times New Roman" w:hAnsi="Times New Roman" w:cs="Times New Roman" w:eastAsia="Times New Roman"/>
          <w:sz w:val="28"/>
        </w:rPr>
        <w:t xml:space="preserve">. Har bir komponent 1 (eng yaxshi) dan 5 (eng yomon) gacha baholanadi. Ta’kidlash lozimki, 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FootnoteReference"/>
        </w:rPr>
        <w:footnoteReference w:id="25"/>
      </w:r>
      <w:r>
        <w:rPr>
          <w:rFonts w:ascii="Times New Roman" w:hAnsi="Times New Roman" w:cs="Times New Roman" w:eastAsia="Times New Roman"/>
          <w:sz w:val="28"/>
        </w:rPr>
        <w:t xml:space="preserve">. Demak, CAMELS tizimi ichki nazorat vositasi bo‘lib, bozor intizomini kuchaytirishga xizmat qilmaydi.</w:t>
      </w:r>
    </w:p>
    <w:p>
      <w:pPr>
        <w:pStyle w:val="BodyText"/>
        <w:spacing w:line="360" w:lineRule="auto" w:before="0" w:after="0"/>
        <w:ind w:firstLine="709"/>
        <w:jc w:val="both"/>
      </w:pPr>
      <w:r>
        <w:rPr>
          <w:rFonts w:ascii="Times New Roman" w:hAnsi="Times New Roman" w:cs="Times New Roman" w:eastAsia="Times New Roman"/>
          <w:sz w:val="28"/>
        </w:rPr>
        <w:t xml:space="preserve">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FootnoteReference"/>
        </w:rPr>
        <w:footnoteReference w:id="26"/>
      </w:r>
      <w:r>
        <w:rPr>
          <w:rFonts w:ascii="Times New Roman" w:hAnsi="Times New Roman" w:cs="Times New Roman" w:eastAsia="Times New Roman"/>
          <w:sz w:val="28"/>
        </w:rPr>
        <w:t xml:space="preserve">. Unga ko‘ra banklar kapital darajasiga qarab besh toifaga ajratiladi va har bir toifaga majburiy nazorat choralari biriktiriladi (1.3.2-rasm).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76000" cy="2376000"/>
                <wp:effectExtent l="0" t="0" r="0" b="0"/>
                <wp:docPr id="1002" name="1.3.2-rasm"/>
                <wp:cNvGraphicFramePr/>
                <a:graphic>
                  <a:graphicData uri="http://schemas.microsoft.com/office/word/2010/wordprocessingGroup">
                    <wpg:wgp>
                      <wpg:cNvGrpSpPr/>
                      <wpg:grpSpPr>
                        <a:xfrm>
                          <a:off x="0" y="0"/>
                          <a:ext cx="5976000" cy="2376000"/>
                          <a:chOff x="0" y="0"/>
                          <a:chExt cx="5976000" cy="2376000"/>
                        </a:xfrm>
                      </wpg:grpSpPr>
                      <wps:wsp>
                        <wps:cNvPr id="1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Yaxshi kapitallashgan</w:t>
                              </w:r>
                            </w:p>
                          </w:txbxContent>
                        </wps:txbx>
                        <wps:bodyPr rot="0" vert="horz" wrap="square" lIns="36000" tIns="18000" rIns="36000" bIns="18000" anchor="ctr" anchorCtr="0">
                          <a:noAutofit/>
                        </wps:bodyPr>
                      </wps:wsp>
                      <wps:wsp>
                        <wps:cNvPr id="17"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10%; 1-darajali ≥ 6%; leverej ≥ 5%</w:t>
                              </w:r>
                            </w:p>
                          </w:txbxContent>
                        </wps:txbx>
                        <wps:bodyPr rot="0" vert="horz" wrap="square" lIns="36000" tIns="18000" rIns="36000" bIns="18000" anchor="ctr" anchorCtr="0">
                          <a:noAutofit/>
                        </wps:bodyPr>
                      </wps:wsp>
                      <wps:wsp>
                        <wps:cNvPr id="18"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Cheklovlar yo‘q</w:t>
                              </w:r>
                            </w:p>
                          </w:txbxContent>
                        </wps:txbx>
                        <wps:bodyPr rot="0" vert="horz" wrap="square" lIns="36000" tIns="18000" rIns="36000" bIns="18000" anchor="ctr" anchorCtr="0">
                          <a:noAutofit/>
                        </wps:bodyPr>
                      </wps:wsp>
                      <wps:wsp>
                        <wps:cNvPr id="19"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Yetarli kapitallashgan</w:t>
                              </w:r>
                            </w:p>
                          </w:txbxContent>
                        </wps:txbx>
                        <wps:bodyPr rot="0" vert="horz" wrap="square" lIns="36000" tIns="18000" rIns="36000" bIns="18000" anchor="ctr" anchorCtr="0">
                          <a:noAutofit/>
                        </wps:bodyPr>
                      </wps:wsp>
                      <wps:wsp>
                        <wps:cNvPr id="20"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8%; 1-darajali ≥ 4%; leverej ≥ 4%</w:t>
                              </w:r>
                            </w:p>
                          </w:txbxContent>
                        </wps:txbx>
                        <wps:bodyPr rot="0" vert="horz" wrap="square" lIns="36000" tIns="18000" rIns="36000" bIns="18000" anchor="ctr" anchorCtr="0">
                          <a:noAutofit/>
                        </wps:bodyPr>
                      </wps:wsp>
                      <wps:wsp>
                        <wps:cNvPr id="21"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Broker depozitlarini jalb qilish cheklanadi</w:t>
                              </w:r>
                            </w:p>
                          </w:txbxContent>
                        </wps:txbx>
                        <wps:bodyPr rot="0" vert="horz" wrap="square" lIns="36000" tIns="18000" rIns="36000" bIns="18000" anchor="ctr" anchorCtr="0">
                          <a:noAutofit/>
                        </wps:bodyPr>
                      </wps:wsp>
                      <wps:wsp>
                        <wps:cNvPr id="22"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Kapitali yetarli emas</w:t>
                              </w:r>
                            </w:p>
                          </w:txbxContent>
                        </wps:txbx>
                        <wps:bodyPr rot="0" vert="horz" wrap="square" lIns="36000" tIns="18000" rIns="36000" bIns="18000" anchor="ctr" anchorCtr="0">
                          <a:noAutofit/>
                        </wps:bodyPr>
                      </wps:wsp>
                      <wps:wsp>
                        <wps:cNvPr id="23"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8%; 1-darajali &lt; 4%; leverej &lt; 4%</w:t>
                              </w:r>
                            </w:p>
                          </w:txbxContent>
                        </wps:txbx>
                        <wps:bodyPr rot="0" vert="horz" wrap="square" lIns="36000" tIns="18000" rIns="36000" bIns="18000" anchor="ctr" anchorCtr="0">
                          <a:noAutofit/>
                        </wps:bodyPr>
                      </wps:wsp>
                      <wps:wsp>
                        <wps:cNvPr id="24"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Kapitalni tiklash rejasi; aktivlar o‘sishi va dividendlar cheklanadi</w:t>
                              </w:r>
                            </w:p>
                          </w:txbxContent>
                        </wps:txbx>
                        <wps:bodyPr rot="0" vert="horz" wrap="square" lIns="36000" tIns="18000" rIns="36000" bIns="18000" anchor="ctr" anchorCtr="0">
                          <a:noAutofit/>
                        </wps:bodyPr>
                      </wps:wsp>
                      <wps:wsp>
                        <wps:cNvPr id="25"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sezilarli yetarli emas</w:t>
                              </w:r>
                            </w:p>
                          </w:txbxContent>
                        </wps:txbx>
                        <wps:bodyPr rot="0" vert="horz" wrap="square" lIns="36000" tIns="18000" rIns="36000" bIns="18000" anchor="ctr" anchorCtr="0">
                          <a:noAutofit/>
                        </wps:bodyPr>
                      </wps:wsp>
                      <wps:wsp>
                        <wps:cNvPr id="26"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6%; 1-darajali &lt; 3%; leverej &lt; 3%</w:t>
                              </w:r>
                            </w:p>
                          </w:txbxContent>
                        </wps:txbx>
                        <wps:bodyPr rot="0" vert="horz" wrap="square" lIns="36000" tIns="18000" rIns="36000" bIns="18000" anchor="ctr" anchorCtr="0">
                          <a:noAutofit/>
                        </wps:bodyPr>
                      </wps:wsp>
                      <wps:wsp>
                        <wps:cNvPr id="27"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Rahbariyat almashtirilishi, faoliyat cheklanishi mumkin</w:t>
                              </w:r>
                            </w:p>
                          </w:txbxContent>
                        </wps:txbx>
                        <wps:bodyPr rot="0" vert="horz" wrap="square" lIns="36000" tIns="18000" rIns="36000" bIns="18000" anchor="ctr" anchorCtr="0">
                          <a:noAutofit/>
                        </wps:bodyPr>
                      </wps:wsp>
                      <wps:wsp>
                        <wps:cNvPr id="28"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keskin yetarli emas</w:t>
                              </w:r>
                            </w:p>
                          </w:txbxContent>
                        </wps:txbx>
                        <wps:bodyPr rot="0" vert="horz" wrap="square" lIns="36000" tIns="18000" rIns="36000" bIns="18000" anchor="ctr" anchorCtr="0">
                          <a:noAutofit/>
                        </wps:bodyPr>
                      </wps:wsp>
                      <wps:wsp>
                        <wps:cNvPr id="29"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Moddiy kapital ≤ 2%</w:t>
                              </w:r>
                            </w:p>
                          </w:txbxContent>
                        </wps:txbx>
                        <wps:bodyPr rot="0" vert="horz" wrap="square" lIns="36000" tIns="18000" rIns="36000" bIns="18000" anchor="ctr" anchorCtr="0">
                          <a:noAutofit/>
                        </wps:bodyPr>
                      </wps:wsp>
                      <wps:wsp>
                        <wps:cNvPr id="30"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Vaqtinchalik boshqaruv yoki tugatish</w:t>
                              </w:r>
                            </w:p>
                          </w:txbxContent>
                        </wps:txbx>
                        <wps:bodyPr rot="0" vert="horz" wrap="square" lIns="36000" tIns="18000" rIns="36000" bIns="18000" anchor="ctr" anchorCtr="0">
                          <a:noAutofit/>
                        </wps:bodyPr>
                      </wps:wsp>
                      <wps:wsp>
                        <wps:cNvPr id="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1.3.2-rasm. AQShda tezkor tuzatuvchi choralar tizimining kapital chegaralari</w:t>
      </w:r>
      <w:r>
        <w:rPr>
          <w:rStyle w:val="FootnoteReference"/>
        </w:rPr>
        <w:footnoteReference w:id="2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tizim kapital ko‘rsatkichini «bajarildi – bajarilmadi» degan ikkilik mezon bilan emas, balki besh pog‘onali shkala bilan baholaydi va har bir pog‘onani aniq nazorat oqibatlari bilan bog‘laydi. Bank kapitali pasaygan sari nazorat organining harakat erkinligi torayib, aralashuv majburiy tus oladi. Bunda faqat kapital yetarliligi emas, leverej koeffitsiyenti ham hisobga olinadi. D.K. Tarullo ma’lumotiga ko‘ra, leverej 4 foizdan past bo‘lsa aralashuv, 3 foizdan past bo‘lsa kuchli choralar boshlanadi, 2 foizdan past leverej esa bankrotlikka yaqinlik bilan kuchli korrelyatsiyaga ega</w:t>
      </w:r>
      <w:r>
        <w:rPr>
          <w:rStyle w:val="FootnoteReference"/>
        </w:rPr>
        <w:footnoteReference w:id="28"/>
      </w:r>
      <w:r>
        <w:rPr>
          <w:rFonts w:ascii="Times New Roman" w:hAnsi="Times New Roman" w:cs="Times New Roman" w:eastAsia="Times New Roman"/>
          <w:sz w:val="28"/>
        </w:rPr>
        <w:t xml:space="preserve">. Muallif fikricha, baholash natijasini nazorat qarori bilan avtomatik bog‘lash tamoyili O‘zbekiston uchun PCA tizimining eng qimmatli jihati hisoblanadi.</w:t>
      </w:r>
    </w:p>
    <w:p>
      <w:pPr>
        <w:pStyle w:val="BodyText"/>
        <w:spacing w:line="360" w:lineRule="auto" w:before="0" w:after="0"/>
        <w:ind w:firstLine="709"/>
        <w:jc w:val="both"/>
      </w:pPr>
      <w:r>
        <w:rPr>
          <w:rFonts w:ascii="Times New Roman" w:hAnsi="Times New Roman" w:cs="Times New Roman" w:eastAsia="Times New Roman"/>
          <w:sz w:val="28"/>
        </w:rP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O.I. Lavrushin va I.D. Mamonova keltirgan ma’lumotlarga ko‘ra, 48 306 kuzatuv asosida sinovdan o‘tkazilgan FIMS modeli avvalgi UBSS tizimiga nisbatan bashorat aniqligini sezilarli oshirgan</w:t>
      </w:r>
      <w:r>
        <w:rPr>
          <w:rStyle w:val="FootnoteReference"/>
        </w:rPr>
        <w:footnoteReference w:id="29"/>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(1.3.3-rasm).</w:t>
      </w:r>
    </w:p>
    <w:p>
      <w:pPr>
        <w:pStyle w:val="BodyText"/>
        <w:keepNext/>
        <w:spacing w:line="240" w:lineRule="auto" w:before="0" w:after="0"/>
        <w:ind w:firstLine="0"/>
        <w:jc w:val="center"/>
      </w:pPr>
      <w:r xmlns:c="http://schemas.openxmlformats.org/drawingml/2006/chart">
        <w:rPr>
          <w:noProof/>
        </w:rPr>
        <w:drawing>
          <wp:inline distT="0" distB="0" distL="0" distR="0">
            <wp:extent cx="5580000" cy="2880000"/>
            <wp:effectExtent l="0" t="0" r="0" b="0"/>
            <wp:docPr id="1003" name="1.3.3-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1.3.3-rasm. AQShda FIMS va UBSS modellarining bashorat aniqligi, %</w:t>
      </w:r>
      <w:r>
        <w:rPr>
          <w:rStyle w:val="FootnoteReference"/>
        </w:rPr>
        <w:footnoteReference w:id="30"/>
      </w:r>
    </w:p>
    <w:p>
      <w:pPr>
        <w:pStyle w:val="BodyText"/>
        <w:spacing w:line="360" w:lineRule="auto" w:before="0" w:after="0"/>
        <w:ind w:firstLine="709"/>
        <w:jc w:val="both"/>
      </w:pPr>
      <w:r>
        <w:rPr>
          <w:rFonts w:ascii="Times New Roman" w:hAnsi="Times New Roman" w:cs="Times New Roman" w:eastAsia="Times New Roman"/>
          <w:sz w:val="28"/>
        </w:rPr>
        <w:t xml:space="preserve">Rasm ma’lumotlari FIMS modeli to‘g‘ri bashorat ulushini 50 foizdan 74,6 foizga oshirganini, birinchi tur xatosini, ya’ni muammoli bankni sog‘lom deb topish holatlarini esa 32,7 foizdan 17 foizgacha kamaytirganini ko‘rsatadi. Bu natijaga erishishda bitta metodik yechim muhim rol o‘ynagan: qoniqarli va qoniqarsiz holat chegarasi 2,5 balldan 2,3 ballgacha tushirilgan. Bu yechim nazorat uchun eng xavfli bo‘lgan birinchi tur xatosini kamaytirishga qaratilgan edi, biroq natijada ikkinchi tur xatosi ham 12,2 foizdan 7,4 foizgacha qisqargan. Bu yechim integral baholash metodikasida chegara qiymatlarni tanlash xatolar narxini hisobga olgan holda amalga oshirilishi kerakligini ko‘rsatadi.</w:t>
      </w:r>
    </w:p>
    <w:p>
      <w:pPr>
        <w:pStyle w:val="BodyText"/>
        <w:spacing w:line="360" w:lineRule="auto" w:before="0" w:after="0"/>
        <w:ind w:firstLine="709"/>
        <w:jc w:val="both"/>
      </w:pPr>
      <w:r>
        <w:rPr>
          <w:rFonts w:ascii="Times New Roman" w:hAnsi="Times New Roman" w:cs="Times New Roman" w:eastAsia="Times New Roman"/>
          <w:sz w:val="28"/>
        </w:rPr>
        <w:t xml:space="preserve">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FootnoteReference"/>
        </w:rPr>
        <w:footnoteReference w:id="31"/>
      </w:r>
      <w:r>
        <w:rPr>
          <w:rFonts w:ascii="Times New Roman" w:hAnsi="Times New Roman" w:cs="Times New Roman" w:eastAsia="Times New Roman"/>
          <w:sz w:val="28"/>
        </w:rPr>
        <w:t xml:space="preserve">. Shu tariqa AQSh nazorati yopiq baholashdan ochiq baholashga qarab qadam qo‘ydi va bozor intizomini nazorat vositasi sifatida ishga soldi.</w:t>
      </w:r>
    </w:p>
    <w:p>
      <w:pPr>
        <w:pStyle w:val="BodyText"/>
        <w:spacing w:line="360" w:lineRule="auto" w:before="0" w:after="0"/>
        <w:ind w:firstLine="709"/>
        <w:jc w:val="both"/>
      </w:pPr>
      <w:r>
        <w:rPr>
          <w:rFonts w:ascii="Times New Roman" w:hAnsi="Times New Roman" w:cs="Times New Roman" w:eastAsia="Times New Roman"/>
          <w:sz w:val="28"/>
        </w:rP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FootnoteReference"/>
        </w:rPr>
        <w:footnoteReference w:id="32"/>
      </w:r>
      <w:r>
        <w:rPr>
          <w:rFonts w:ascii="Times New Roman" w:hAnsi="Times New Roman" w:cs="Times New Roman" w:eastAsia="Times New Roman"/>
          <w:sz w:val="28"/>
        </w:rPr>
        <w:t xml:space="preserve">. Bu xulosa davlat dasturlari bo‘yicha kreditlash ulushi yuqori bo‘lgan O‘zbekiston bank tizimi uchun ham dolzarbdir, chunki ijtimoiy maqsadlardagi kreditlash bank barqarorligi ko‘rsatkichlariga ta’sir qilmay qolmaydi.</w:t>
      </w:r>
    </w:p>
    <w:p>
      <w:pPr>
        <w:pStyle w:val="BodyText"/>
        <w:spacing w:line="360" w:lineRule="auto" w:before="0" w:after="0"/>
        <w:ind w:firstLine="709"/>
        <w:jc w:val="both"/>
      </w:pPr>
      <w:r>
        <w:rPr>
          <w:rFonts w:ascii="Times New Roman" w:hAnsi="Times New Roman" w:cs="Times New Roman" w:eastAsia="Times New Roman"/>
          <w:sz w:val="28"/>
        </w:rPr>
        <w:t xml:space="preserve">AQShdan farqli ravishda, G‘arbiy Yevropa mamlakatlari nazoratni risklarga asoslangan holda tashkil etishga ko‘proq e’tibor qaratgan. Bu yo‘nalishda Buyuk Britaniya tajribasi alohida o‘rin tutadi. Angliya banki 1997-yildan BAITE tizimini qo‘llab kelmoqda. U uch blokdan, ya’ni risklarni baholash, nazorat vositalari va samaradorlikni baholashdan iborat bo‘lib, to‘qqiz yo‘nalish bo‘yicha risklarni tahlil qiladi</w:t>
      </w:r>
      <w:r>
        <w:rPr>
          <w:rStyle w:val="FootnoteReference"/>
        </w:rPr>
        <w:footnoteReference w:id="33"/>
      </w:r>
      <w:r>
        <w:rPr>
          <w:rFonts w:ascii="Times New Roman" w:hAnsi="Times New Roman" w:cs="Times New Roman" w:eastAsia="Times New Roman"/>
          <w:sz w:val="28"/>
        </w:rPr>
        <w:t xml:space="preserve">. Keyinchalik joriy etilgan RATE tizimi CAMEL-B omillari (kapital, aktivlar, bozor riski, foyda, majburiyatlar, biznes) va COM omillari (nazorat, tashkiliy tuzilma, boshqaruv) asosida yagona ball chiqaradi, nazorat davri esa 6 oydan 3 yilgacha belgilanadi</w:t>
      </w:r>
      <w:r>
        <w:rPr>
          <w:rStyle w:val="FootnoteReference"/>
        </w:rPr>
        <w:footnoteReference w:id="34"/>
      </w:r>
      <w:r>
        <w:rPr>
          <w:rFonts w:ascii="Times New Roman" w:hAnsi="Times New Roman" w:cs="Times New Roman" w:eastAsia="Times New Roman"/>
          <w:sz w:val="28"/>
        </w:rPr>
        <w:t xml:space="preserve">. Britaniya tizimining eng muhim xususiyati shundaki, bankning risk darajasi va undagi nazorat sifati bir matritsada birlashtirilib, nazorat intensivligi shu matritsa asosida belgilanadi (1.3.4-rasm).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448000"/>
                <wp:effectExtent l="0" t="0" r="0" b="0"/>
                <wp:docPr id="1004" name="1.3.4-rasm"/>
                <wp:cNvGraphicFramePr/>
                <a:graphic>
                  <a:graphicData uri="http://schemas.microsoft.com/office/word/2010/wordprocessingGroup">
                    <wpg:wgp>
                      <wpg:cNvGrpSpPr/>
                      <wpg:grpSpPr>
                        <a:xfrm>
                          <a:off x="0" y="0"/>
                          <a:ext cx="5904000" cy="2448000"/>
                          <a:chOff x="0" y="0"/>
                          <a:chExt cx="5904000" cy="2448000"/>
                        </a:xfrm>
                      </wpg:grpSpPr>
                      <wps:wsp>
                        <wps:cNvPr id="32" name="Shape 32"/>
                        <wps:cNvSpPr/>
                        <wps:spPr>
                          <a:xfrm>
                            <a:off x="36000" y="342000"/>
                            <a:ext cx="828000" cy="19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19"/>
                                  <w:szCs w:val="19"/>
                                </w:rPr>
                                <w:t xml:space="preserve">Risk darajasi</w:t>
                              </w:r>
                            </w:p>
                          </w:txbxContent>
                        </wps:txbx>
                        <wps:bodyPr rot="0" vert="horz" wrap="square" lIns="36000" tIns="18000" rIns="36000" bIns="18000" anchor="ctr" anchorCtr="0">
                          <a:noAutofit/>
                        </wps:bodyPr>
                      </wps:wsp>
                      <wps:wsp>
                        <wps:cNvPr id="33" name="Shape 33"/>
                        <wps:cNvSpPr/>
                        <wps:spPr>
                          <a:xfrm>
                            <a:off x="900000" y="36000"/>
                            <a:ext cx="4932000" cy="25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Ichki nazorat sifati</w:t>
                              </w:r>
                            </w:p>
                          </w:txbxContent>
                        </wps:txbx>
                        <wps:bodyPr rot="0" vert="horz" wrap="square" lIns="36000" tIns="18000" rIns="36000" bIns="18000" anchor="ctr" anchorCtr="0">
                          <a:noAutofit/>
                        </wps:bodyPr>
                      </wps:wsp>
                      <wps:wsp>
                        <wps:cNvPr id="34" name="Shape 34"/>
                        <wps:cNvSpPr/>
                        <wps:spPr>
                          <a:xfrm>
                            <a:off x="900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Yuqori</w:t>
                              </w:r>
                            </w:p>
                          </w:txbxContent>
                        </wps:txbx>
                        <wps:bodyPr rot="0" vert="horz" wrap="square" lIns="36000" tIns="18000" rIns="36000" bIns="18000" anchor="ctr" anchorCtr="0">
                          <a:noAutofit/>
                        </wps:bodyPr>
                      </wps:wsp>
                      <wps:wsp>
                        <wps:cNvPr id="35" name="Shape 35"/>
                        <wps:cNvSpPr/>
                        <wps:spPr>
                          <a:xfrm>
                            <a:off x="3384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Past</w:t>
                              </w:r>
                            </w:p>
                          </w:txbxContent>
                        </wps:txbx>
                        <wps:bodyPr rot="0" vert="horz" wrap="square" lIns="36000" tIns="18000" rIns="36000" bIns="18000" anchor="ctr" anchorCtr="0">
                          <a:noAutofit/>
                        </wps:bodyPr>
                      </wps:wsp>
                      <wps:wsp>
                        <wps:cNvPr id="36" name="Shape 36"/>
                        <wps:cNvSpPr/>
                        <wps:spPr>
                          <a:xfrm>
                            <a:off x="900000" y="576000"/>
                            <a:ext cx="2448000" cy="88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A</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18–24 oy</w:t>
                              </w:r>
                            </w:p>
                          </w:txbxContent>
                        </wps:txbx>
                        <wps:bodyPr rot="0" vert="horz" wrap="square" lIns="36000" tIns="18000" rIns="36000" bIns="18000" anchor="ctr" anchorCtr="0">
                          <a:noAutofit/>
                        </wps:bodyPr>
                      </wps:wsp>
                      <wps:wsp>
                        <wps:cNvPr id="37" name="Shape 37"/>
                        <wps:cNvSpPr/>
                        <wps:spPr>
                          <a:xfrm>
                            <a:off x="3384000" y="576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12–18 oy</w:t>
                              </w:r>
                            </w:p>
                          </w:txbxContent>
                        </wps:txbx>
                        <wps:bodyPr rot="0" vert="horz" wrap="square" lIns="36000" tIns="18000" rIns="36000" bIns="18000" anchor="ctr" anchorCtr="0">
                          <a:noAutofit/>
                        </wps:bodyPr>
                      </wps:wsp>
                      <wps:wsp>
                        <wps:cNvPr id="38" name="Shape 38"/>
                        <wps:cNvSpPr/>
                        <wps:spPr>
                          <a:xfrm>
                            <a:off x="36000" y="576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Past</w:t>
                              </w:r>
                            </w:p>
                          </w:txbxContent>
                        </wps:txbx>
                        <wps:bodyPr rot="0" vert="horz" wrap="square" lIns="36000" tIns="18000" rIns="36000" bIns="18000" anchor="ctr" anchorCtr="0">
                          <a:noAutofit/>
                        </wps:bodyPr>
                      </wps:wsp>
                      <wps:wsp>
                        <wps:cNvPr id="39" name="Shape 39"/>
                        <wps:cNvSpPr/>
                        <wps:spPr>
                          <a:xfrm>
                            <a:off x="900000" y="1494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C</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6–12 oy</w:t>
                              </w:r>
                            </w:p>
                          </w:txbxContent>
                        </wps:txbx>
                        <wps:bodyPr rot="0" vert="horz" wrap="square" lIns="36000" tIns="18000" rIns="36000" bIns="18000" anchor="ctr" anchorCtr="0">
                          <a:noAutofit/>
                        </wps:bodyPr>
                      </wps:wsp>
                      <wps:wsp>
                        <wps:cNvPr id="40" name="Shape 40"/>
                        <wps:cNvSpPr/>
                        <wps:spPr>
                          <a:xfrm>
                            <a:off x="3384000" y="1494000"/>
                            <a:ext cx="2448000" cy="882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D</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taxminan 1 yil va</w:t>
                              </w:r>
                            </w:p>
                            <w:p>
                              <w:pPr>
                                <w:spacing w:before="0" w:after="0" w:line="228" w:lineRule="auto"/>
                                <w:jc w:val="center"/>
                                <w:ind w:firstLine="0"/>
                              </w:pPr>
                              <w:r>
                                <w:rPr>
                                  <w:rFonts w:ascii="Times New Roman" w:hAnsi="Times New Roman" w:cs="Times New Roman"/>
                                  <w:color w:val="FFFFFF"/>
                                  <w:sz w:val="22"/>
                                  <w:szCs w:val="22"/>
                                </w:rPr>
                                <w:t xml:space="preserve">qo‘shimcha choralar</w:t>
                              </w:r>
                            </w:p>
                          </w:txbxContent>
                        </wps:txbx>
                        <wps:bodyPr rot="0" vert="horz" wrap="square" lIns="36000" tIns="18000" rIns="36000" bIns="18000" anchor="ctr" anchorCtr="0">
                          <a:noAutofit/>
                        </wps:bodyPr>
                      </wps:wsp>
                      <wps:wsp>
                        <wps:cNvPr id="41" name="Shape 41"/>
                        <wps:cNvSpPr/>
                        <wps:spPr>
                          <a:xfrm>
                            <a:off x="36000" y="1494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Yuqori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1.3.4-rasm. Angliya bankining BAITE tizimida risk va nazorat matritsasi</w:t>
      </w:r>
      <w:r>
        <w:rPr>
          <w:rStyle w:val="FootnoteReference"/>
        </w:rPr>
        <w:footnoteReference w:id="35"/>
      </w:r>
    </w:p>
    <w:p>
      <w:pPr>
        <w:pStyle w:val="BodyText"/>
        <w:spacing w:line="360" w:lineRule="auto" w:before="0" w:after="0"/>
        <w:ind w:firstLine="709"/>
        <w:jc w:val="both"/>
      </w:pPr>
      <w:r>
        <w:rPr>
          <w:rFonts w:ascii="Times New Roman" w:hAnsi="Times New Roman" w:cs="Times New Roman" w:eastAsia="Times New Roman"/>
          <w:sz w:val="28"/>
        </w:rPr>
        <w:t xml:space="preserve">Matritsadan ko‘rinadiki, riski past va ichki nazorati kuchli bank keyingi tekshiruvgacha 18–24 oy kutishi mumkin, riski yuqori va nazorati zaif bank esa deyarli har yili tekshiriladi. Bu yondashuvning afzalligi cheklangan nazorat resurslarini eng riskli banklarga yo‘naltirishdadir. Boshqacha aytganda, baholash natijasi shunchaki reyting bo‘lib qolmaydi, balki aniq nazorat qaroriga, ya’ni keyingi tekshiruv qachon o‘tkazilishiga aylanadi.</w:t>
      </w:r>
    </w:p>
    <w:p>
      <w:pPr>
        <w:pStyle w:val="BodyText"/>
        <w:spacing w:line="360" w:lineRule="auto" w:before="0" w:after="0"/>
        <w:ind w:firstLine="709"/>
        <w:jc w:val="both"/>
      </w:pPr>
      <w:r>
        <w:rPr>
          <w:rFonts w:ascii="Times New Roman" w:hAnsi="Times New Roman" w:cs="Times New Roman" w:eastAsia="Times New Roman"/>
          <w:sz w:val="28"/>
        </w:rPr>
        <w:t xml:space="preserve">Germaniyada esa boshqacha yo‘l tanlangan. Bu yerda qo‘llanadigan BAKIS tizimi koeffitsiyentli yondashuvning namunasi bo‘lib, 47 ta ko‘rsatkichni o‘z ichiga oladi: ulardan 19 tasi kredit riski, 16 tasi bozor riski, 2 tasi likvidlik, 10 tasi rentabellik bilan bog‘liq. Barcha ko‘rsatkichlar teng vaznda olinadi va bank ko‘rsatkichlari o‘xshash banklar guruhining o‘rtachasi bilan taqqoslanadi</w:t>
      </w:r>
      <w:r>
        <w:rPr>
          <w:rStyle w:val="FootnoteReference"/>
        </w:rPr>
        <w:footnoteReference w:id="36"/>
      </w:r>
      <w:r>
        <w:rPr>
          <w:rFonts w:ascii="Times New Roman" w:hAnsi="Times New Roman" w:cs="Times New Roman" w:eastAsia="Times New Roman"/>
          <w:sz w:val="28"/>
        </w:rPr>
        <w:t xml:space="preserve">.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pPr>
        <w:pStyle w:val="BodyText"/>
        <w:spacing w:line="360" w:lineRule="auto" w:before="0" w:after="0"/>
        <w:ind w:firstLine="709"/>
        <w:jc w:val="both"/>
      </w:pPr>
      <w:r>
        <w:rPr>
          <w:rFonts w:ascii="Times New Roman" w:hAnsi="Times New Roman" w:cs="Times New Roman" w:eastAsia="Times New Roman"/>
          <w:sz w:val="28"/>
        </w:rPr>
        <w:t xml:space="preserve">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FootnoteReference"/>
        </w:rPr>
        <w:footnoteReference w:id="37"/>
      </w:r>
      <w:r>
        <w:rPr>
          <w:rFonts w:ascii="Times New Roman" w:hAnsi="Times New Roman" w:cs="Times New Roman" w:eastAsia="Times New Roman"/>
          <w:sz w:val="28"/>
        </w:rPr>
        <w:t xml:space="preserve">. Italiyada esa 1993-yildan PATROL tizimi masofaviy nazorat va reyting baholash uchun ishlatiladi</w:t>
      </w:r>
      <w:r>
        <w:rPr>
          <w:rStyle w:val="FootnoteReference"/>
        </w:rPr>
        <w:footnoteReference w:id="38"/>
      </w:r>
      <w:r>
        <w:rPr>
          <w:rFonts w:ascii="Times New Roman" w:hAnsi="Times New Roman" w:cs="Times New Roman" w:eastAsia="Times New Roman"/>
          <w:sz w:val="28"/>
        </w:rPr>
        <w:t xml:space="preserve">.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FootnoteReference"/>
        </w:rPr>
        <w:footnoteReference w:id="39"/>
      </w:r>
      <w:r>
        <w:rPr>
          <w:rFonts w:ascii="Times New Roman" w:hAnsi="Times New Roman" w:cs="Times New Roman" w:eastAsia="Times New Roman"/>
          <w:sz w:val="28"/>
        </w:rPr>
        <w:t xml:space="preserve">. Holbuki, bunday rentabellikka qisqa muddatda erishib bo‘lmaydi. Demak, kapital talablarini oshirishda bankning foyda olish salohiyati ham hisobga olinishi zarur.</w:t>
      </w:r>
    </w:p>
    <w:p>
      <w:pPr>
        <w:pStyle w:val="BodyText"/>
        <w:spacing w:line="360" w:lineRule="auto" w:before="0" w:after="0"/>
        <w:ind w:firstLine="709"/>
        <w:jc w:val="both"/>
      </w:pPr>
      <w:r>
        <w:rPr>
          <w:rFonts w:ascii="Times New Roman" w:hAnsi="Times New Roman" w:cs="Times New Roman" w:eastAsia="Times New Roman"/>
          <w:sz w:val="28"/>
        </w:rP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Yevropa tizimli risklar kengashi amalga oshiradi; Yevropa bank boshqarmasi yagona qoidalar va ma’lumotlar bazasini ta’minlaydi</w:t>
      </w:r>
      <w:r>
        <w:rPr>
          <w:rStyle w:val="FootnoteReference"/>
        </w:rPr>
        <w:footnoteReference w:id="4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FootnoteReference"/>
        </w:rPr>
        <w:footnoteReference w:id="41"/>
      </w:r>
      <w:r>
        <w:rPr>
          <w:rFonts w:ascii="Times New Roman" w:hAnsi="Times New Roman" w:cs="Times New Roman" w:eastAsia="Times New Roman"/>
          <w:sz w:val="28"/>
        </w:rPr>
        <w:t xml:space="preserve">. Iqtisodiy tanazzul davrida ular o‘rtasidagi ziddiyat kuchayadi: makroprudensial siyosat kreditlashni qo‘llab-quvvatlash uchun buferlarni bo‘shatishni talab qilsa, mikroprudensial nazorat alohida bank barqarorligi uchun ularni saqlab qolishga intiladi.</w:t>
      </w:r>
    </w:p>
    <w:p>
      <w:pPr>
        <w:pStyle w:val="BodyText"/>
        <w:spacing w:line="360" w:lineRule="auto" w:before="0" w:after="0"/>
        <w:ind w:firstLine="709"/>
        <w:jc w:val="both"/>
      </w:pPr>
      <w:r>
        <w:rPr>
          <w:rFonts w:ascii="Times New Roman" w:hAnsi="Times New Roman" w:cs="Times New Roman" w:eastAsia="Times New Roman"/>
          <w:sz w:val="28"/>
        </w:rPr>
        <w:t xml:space="preserve">Ikki darajani bog‘lashda yagona ma’lumotlar bazasi muhim rol o‘ynaydi. Yevropa bank boshqarmasi 2009-yildan buyon Yevropa iqtisodiy hududining 20 ta mamlakatidagi 57 ta yirik bankdan har chorakda 53 ta asosiy risk indikatorini yig‘ib keladi. Bu banklar har bir milliy bank sektori aktivlarining kamida 50 foizini qamrab oladi</w:t>
      </w:r>
      <w:r>
        <w:rPr>
          <w:rStyle w:val="FootnoteReference"/>
        </w:rPr>
        <w:footnoteReference w:id="42"/>
      </w:r>
      <w:r>
        <w:rPr>
          <w:rFonts w:ascii="Times New Roman" w:hAnsi="Times New Roman" w:cs="Times New Roman" w:eastAsia="Times New Roman"/>
          <w:sz w:val="28"/>
        </w:rPr>
        <w:t xml:space="preserve">. Indikatorlar to‘rt blokka – kapital yetarliligi, aktivlar sifati, rentabellik va balans tuzilmasiga ajratilgan bo‘lib, ular asosida 11 ta risk omilini aks ettiruvchi «risklar paneli» shakllantiriladi</w:t>
      </w:r>
      <w:r>
        <w:rPr>
          <w:rStyle w:val="FootnoteReference"/>
        </w:rPr>
        <w:footnoteReference w:id="43"/>
      </w:r>
      <w:r>
        <w:rPr>
          <w:rFonts w:ascii="Times New Roman" w:hAnsi="Times New Roman" w:cs="Times New Roman" w:eastAsia="Times New Roman"/>
          <w:sz w:val="28"/>
        </w:rPr>
        <w:t xml:space="preserve">. Shunday qilib, Yevropa Ittifoqida baholash natijalari nazorat organining ichki hujjati bo‘lib qolmasdan, bozor ishtirokchilari foydalanishi mumkin bo‘lgan ochiq axborotga aylangan.</w:t>
      </w:r>
    </w:p>
    <w:p>
      <w:pPr>
        <w:pStyle w:val="BodyText"/>
        <w:spacing w:line="360" w:lineRule="auto" w:before="0" w:after="0"/>
        <w:ind w:firstLine="709"/>
        <w:jc w:val="both"/>
      </w:pPr>
      <w:r>
        <w:rPr>
          <w:rFonts w:ascii="Times New Roman" w:hAnsi="Times New Roman" w:cs="Times New Roman" w:eastAsia="Times New Roman"/>
          <w:sz w:val="28"/>
        </w:rPr>
        <w:t xml:space="preserve">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FootnoteReference"/>
        </w:rPr>
        <w:footnoteReference w:id="44"/>
      </w:r>
      <w:r>
        <w:rPr>
          <w:rFonts w:ascii="Times New Roman" w:hAnsi="Times New Roman" w:cs="Times New Roman" w:eastAsia="Times New Roman"/>
          <w:sz w:val="28"/>
        </w:rPr>
        <w:t xml:space="preserve">. Mualliflar eng maqbul yondashuv sifatida qat’iy bazaviy qoidani va unga qo‘shiladigan, vaziyatga qarab o‘zgartiriladigan diskretsion vositalarni ko‘rsatadi</w:t>
      </w:r>
      <w:r>
        <w:rPr>
          <w:rStyle w:val="FootnoteReference"/>
        </w:rPr>
        <w:footnoteReference w:id="4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G‘arb mamlakatlari tajribasi ilg‘or bo‘lsa-da, uni to‘g‘ridan-to‘g‘ri ko‘chirib bo‘lmaydi, chunki bu mamlakatlarning moliya bozorlari va ma’lumotlar bazasi 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Rossiya bankining banklar moliyaviy barqarorligini baholash tizimi evolyutsiyasi</w:t>
      </w:r>
      <w:r>
        <w:rPr>
          <w:rStyle w:val="FootnoteReference"/>
        </w:rPr>
        <w:footnoteReference w:id="46"/>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Yil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Hujjat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1995</w:t>
            </w:r>
          </w:p>
        </w:tc>
        <w:tc>
          <w:tcPr/>
          <w:p>
            <w:pPr>
              <w:pStyle w:val="Compact"/>
              <w:spacing w:line="240" w:lineRule="auto"/>
              <w:ind w:firstLine="0"/>
              <w:jc w:val="left"/>
            </w:pPr>
            <w:r>
              <w:rPr>
                <w:rFonts w:ascii="Times New Roman" w:hAnsi="Times New Roman" w:cs="Times New Roman" w:eastAsia="Times New Roman"/>
                <w:sz w:val="22"/>
              </w:rPr>
              <w:t xml:space="preserve">15-3-3/668-son xat</w:t>
            </w:r>
          </w:p>
        </w:tc>
        <w:tc>
          <w:tcPr/>
          <w:p>
            <w:pPr>
              <w:pStyle w:val="Compact"/>
              <w:spacing w:line="240" w:lineRule="auto"/>
              <w:ind w:firstLine="0"/>
              <w:jc w:val="left"/>
            </w:pPr>
            <w:r>
              <w:rPr>
                <w:rFonts w:ascii="Times New Roman" w:hAnsi="Times New Roman" w:cs="Times New Roman" w:eastAsia="Times New Roman"/>
                <w:sz w:val="22"/>
              </w:rPr>
              <w:t xml:space="preserve">CAMEL ga asoslangan, 4 parametr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1997</w:t>
            </w:r>
          </w:p>
        </w:tc>
        <w:tc>
          <w:tcPr/>
          <w:p>
            <w:pPr>
              <w:pStyle w:val="Compact"/>
              <w:spacing w:line="240" w:lineRule="auto"/>
              <w:ind w:firstLine="0"/>
              <w:jc w:val="left"/>
            </w:pPr>
            <w:r>
              <w:rPr>
                <w:rFonts w:ascii="Times New Roman" w:hAnsi="Times New Roman" w:cs="Times New Roman" w:eastAsia="Times New Roman"/>
                <w:sz w:val="22"/>
              </w:rPr>
              <w:t xml:space="preserve">457-son xat</w:t>
            </w:r>
          </w:p>
        </w:tc>
        <w:tc>
          <w:tcPr/>
          <w:p>
            <w:pPr>
              <w:pStyle w:val="Compact"/>
              <w:spacing w:line="240" w:lineRule="auto"/>
              <w:ind w:firstLine="0"/>
              <w:jc w:val="left"/>
            </w:pPr>
            <w:r>
              <w:rPr>
                <w:rFonts w:ascii="Times New Roman" w:hAnsi="Times New Roman" w:cs="Times New Roman" w:eastAsia="Times New Roman"/>
                <w:sz w:val="22"/>
              </w:rPr>
              <w:t xml:space="preserve">Ikki toifa va ikki guruh; 2601 bankdan 852 tasi (32,8%) barqaror, 1052 tasi (40,4%) muammoli deb topilgan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2000</w:t>
            </w:r>
          </w:p>
        </w:tc>
        <w:tc>
          <w:tcPr/>
          <w:p>
            <w:pPr>
              <w:pStyle w:val="Compact"/>
              <w:spacing w:line="240" w:lineRule="auto"/>
              <w:ind w:firstLine="0"/>
              <w:jc w:val="left"/>
            </w:pPr>
            <w:r>
              <w:rPr>
                <w:rFonts w:ascii="Times New Roman" w:hAnsi="Times New Roman" w:cs="Times New Roman" w:eastAsia="Times New Roman"/>
                <w:sz w:val="22"/>
              </w:rPr>
              <w:t xml:space="preserve">766-U ko‘rsatma</w:t>
            </w:r>
          </w:p>
        </w:tc>
        <w:tc>
          <w:tcPr/>
          <w:p>
            <w:pPr>
              <w:pStyle w:val="Compact"/>
              <w:spacing w:line="240" w:lineRule="auto"/>
              <w:ind w:firstLine="0"/>
              <w:jc w:val="left"/>
            </w:pPr>
            <w:r>
              <w:rPr>
                <w:rFonts w:ascii="Times New Roman" w:hAnsi="Times New Roman" w:cs="Times New Roman" w:eastAsia="Times New Roman"/>
                <w:sz w:val="22"/>
              </w:rPr>
              <w:t xml:space="preserve">Asoslangan mulohaza tamoyili joriy etildi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2004</w:t>
            </w:r>
          </w:p>
        </w:tc>
        <w:tc>
          <w:tcPr/>
          <w:p>
            <w:pPr>
              <w:pStyle w:val="Compact"/>
              <w:spacing w:line="240" w:lineRule="auto"/>
              <w:ind w:firstLine="0"/>
              <w:jc w:val="left"/>
            </w:pPr>
            <w:r>
              <w:rPr>
                <w:rFonts w:ascii="Times New Roman" w:hAnsi="Times New Roman" w:cs="Times New Roman" w:eastAsia="Times New Roman"/>
                <w:sz w:val="22"/>
              </w:rPr>
              <w:t xml:space="preserve">1379-U ko‘rsatma</w:t>
            </w:r>
          </w:p>
        </w:tc>
        <w:tc>
          <w:tcPr/>
          <w:p>
            <w:pPr>
              <w:pStyle w:val="Compact"/>
              <w:spacing w:line="240" w:lineRule="auto"/>
              <w:ind w:firstLine="0"/>
              <w:jc w:val="left"/>
            </w:pPr>
            <w:r>
              <w:rPr>
                <w:rFonts w:ascii="Times New Roman" w:hAnsi="Times New Roman" w:cs="Times New Roman" w:eastAsia="Times New Roman"/>
                <w:sz w:val="22"/>
              </w:rPr>
              <w:t xml:space="preserve">Omonatlarni sug‘urtalash tizimiga qabul qilish uchun: 4 ballik shkala, vaznlar, yig‘ma ball, boshqaruv sifati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2008</w:t>
            </w:r>
          </w:p>
        </w:tc>
        <w:tc>
          <w:tcPr/>
          <w:p>
            <w:pPr>
              <w:pStyle w:val="Compact"/>
              <w:spacing w:line="240" w:lineRule="auto"/>
              <w:ind w:firstLine="0"/>
              <w:jc w:val="left"/>
            </w:pPr>
            <w:r>
              <w:rPr>
                <w:rFonts w:ascii="Times New Roman" w:hAnsi="Times New Roman" w:cs="Times New Roman" w:eastAsia="Times New Roman"/>
                <w:sz w:val="22"/>
              </w:rPr>
              <w:t xml:space="preserve">2005-U ko‘rsatma</w:t>
            </w:r>
          </w:p>
        </w:tc>
        <w:tc>
          <w:tcPr/>
          <w:p>
            <w:pPr>
              <w:pStyle w:val="Compact"/>
              <w:spacing w:line="240" w:lineRule="auto"/>
              <w:ind w:firstLine="0"/>
              <w:jc w:val="left"/>
            </w:pPr>
            <w:r>
              <w:rPr>
                <w:rFonts w:ascii="Times New Roman" w:hAnsi="Times New Roman" w:cs="Times New Roman" w:eastAsia="Times New Roman"/>
                <w:sz w:val="22"/>
              </w:rPr>
              <w:t xml:space="preserve">5 guruh; 12 oylik prognoz; strategik risk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2017</w:t>
            </w:r>
          </w:p>
        </w:tc>
        <w:tc>
          <w:tcPr/>
          <w:p>
            <w:pPr>
              <w:pStyle w:val="Compact"/>
              <w:spacing w:line="240" w:lineRule="auto"/>
              <w:ind w:firstLine="0"/>
              <w:jc w:val="left"/>
            </w:pPr>
            <w:r>
              <w:rPr>
                <w:rFonts w:ascii="Times New Roman" w:hAnsi="Times New Roman" w:cs="Times New Roman" w:eastAsia="Times New Roman"/>
                <w:sz w:val="22"/>
              </w:rPr>
              <w:t xml:space="preserve">4336-U ko‘rsatma</w:t>
            </w:r>
          </w:p>
        </w:tc>
        <w:tc>
          <w:tcPr/>
          <w:p>
            <w:pPr>
              <w:pStyle w:val="Compact"/>
              <w:spacing w:line="240" w:lineRule="auto"/>
              <w:ind w:firstLine="0"/>
              <w:jc w:val="left"/>
            </w:pPr>
            <w:r>
              <w:rPr>
                <w:rFonts w:ascii="Times New Roman" w:hAnsi="Times New Roman" w:cs="Times New Roman" w:eastAsia="Times New Roman"/>
                <w:sz w:val="22"/>
              </w:rPr>
              <w:t xml:space="preserve">Amaldagi tizim; guruhlarga qarab tabaqalashtirilgan nazorat rejimlari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pPr>
        <w:pStyle w:val="BodyText"/>
        <w:spacing w:line="360" w:lineRule="auto" w:before="0" w:after="0"/>
        <w:ind w:firstLine="709"/>
        <w:jc w:val="both"/>
      </w:pPr>
      <w:r>
        <w:rPr>
          <w:rFonts w:ascii="Times New Roman" w:hAnsi="Times New Roman" w:cs="Times New Roman" w:eastAsia="Times New Roman"/>
          <w:sz w:val="28"/>
        </w:rPr>
        <w:t xml:space="preserve">2005-U ko‘rsatmaga asoslangan tizimda kapital, aktivlar, daromadlilik, likvidlik va boshqaruv sifati guruhlari bo‘yicha ko‘rsatkichlar 1–4 ballik shkalada baholanadi va har biriga vazn beriladi. Masalan, N1 kapital yetarliligi normativi bo‘yicha 1 ball olish uchun kamida 14 foiz talab qilinadi, uning vazni esa 3 ga teng</w:t>
      </w:r>
      <w:r>
        <w:rPr>
          <w:rStyle w:val="FootnoteReference"/>
        </w:rPr>
        <w:footnoteReference w:id="47"/>
      </w:r>
      <w:r>
        <w:rPr>
          <w:rFonts w:ascii="Times New Roman" w:hAnsi="Times New Roman" w:cs="Times New Roman" w:eastAsia="Times New Roman"/>
          <w:sz w:val="28"/>
        </w:rPr>
        <w:t xml:space="preserve">.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FootnoteReference"/>
        </w:rPr>
        <w:footnoteReference w:id="48"/>
      </w:r>
      <w:r>
        <w:rPr>
          <w:rFonts w:ascii="Times New Roman" w:hAnsi="Times New Roman" w:cs="Times New Roman" w:eastAsia="Times New Roman"/>
          <w:sz w:val="28"/>
        </w:rPr>
        <w:t xml:space="preserve">. Bundan tashqari, komponentlar bir-biri bilan bog‘lanmagan holda baholanadi, holbuki amalda kapital, likvidlik va aktivlar sifati o‘zaro chambarchas bog‘liq</w:t>
      </w:r>
      <w:r>
        <w:rPr>
          <w:rStyle w:val="FootnoteReference"/>
        </w:rPr>
        <w:footnoteReference w:id="4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FootnoteReference"/>
        </w:rPr>
        <w:footnoteReference w:id="50"/>
      </w:r>
      <w:r>
        <w:rPr>
          <w:rFonts w:ascii="Times New Roman" w:hAnsi="Times New Roman" w:cs="Times New Roman" w:eastAsia="Times New Roman"/>
          <w:sz w:val="28"/>
        </w:rPr>
        <w:t xml:space="preserve">. Ushbu jadvalni Bazel qo‘mitasining standart jadvali va O‘zbekiston jadvali bilan solishtirish qiziqarli manzarani beradi (1.3.5-rasm).</w:t>
      </w:r>
    </w:p>
    <w:p>
      <w:pPr>
        <w:pStyle w:val="BodyText"/>
        <w:keepNext/>
        <w:spacing w:line="240" w:lineRule="auto" w:before="0" w:after="0"/>
        <w:ind w:firstLine="0"/>
        <w:jc w:val="center"/>
      </w:pPr>
      <w:r xmlns:c="http://schemas.openxmlformats.org/drawingml/2006/chart">
        <w:rPr>
          <w:noProof/>
        </w:rPr>
        <w:drawing>
          <wp:inline distT="0" distB="0" distL="0" distR="0">
            <wp:extent cx="5580000" cy="2880000"/>
            <wp:effectExtent l="0" t="0" r="0" b="0"/>
            <wp:docPr id="1005" name="1.3.5-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1.3.5-rasm. Likvidlikni qoplash koeffitsiyentini joriy etish jadvallari, %</w:t>
      </w:r>
      <w:r>
        <w:rPr>
          <w:rStyle w:val="FootnoteReference"/>
        </w:rPr>
        <w:footnoteReference w:id="51"/>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FootnoteReference"/>
        </w:rPr>
        <w:footnoteReference w:id="52"/>
      </w:r>
      <w:r>
        <w:rPr>
          <w:rFonts w:ascii="Times New Roman" w:hAnsi="Times New Roman" w:cs="Times New Roman" w:eastAsia="Times New Roman"/>
          <w:sz w:val="28"/>
        </w:rPr>
        <w:t xml:space="preserve">. Bu holat xalqaro standartni joriy etishdan oldin milliy moliya bozorining unga tayyorligini baholash zarurligini yaqqol ko‘rsatadi.</w:t>
      </w:r>
    </w:p>
    <w:p>
      <w:pPr>
        <w:pStyle w:val="BodyText"/>
        <w:spacing w:line="360" w:lineRule="auto" w:before="0" w:after="0"/>
        <w:ind w:firstLine="709"/>
        <w:jc w:val="both"/>
      </w:pPr>
      <w:r>
        <w:rPr>
          <w:rFonts w:ascii="Times New Roman" w:hAnsi="Times New Roman" w:cs="Times New Roman" w:eastAsia="Times New Roman"/>
          <w:sz w:val="28"/>
        </w:rPr>
        <w:t xml:space="preserve">Shu bilan birga, Rossiya bankining 3883-U ko‘rsatmasi bilan ichki kapital yetarliligini baholash jarayoni joriy etildi. Mualliflar uni avval aktivlari 500 mlrd rubldan oshgan banklarda, keyin esa boshqa banklarda bosqichma-bosqich joriy etishni taklif qilgan</w:t>
      </w:r>
      <w:r>
        <w:rPr>
          <w:rStyle w:val="FootnoteReference"/>
        </w:rPr>
        <w:footnoteReference w:id="53"/>
      </w:r>
      <w:r>
        <w:rPr>
          <w:rFonts w:ascii="Times New Roman" w:hAnsi="Times New Roman" w:cs="Times New Roman" w:eastAsia="Times New Roman"/>
          <w:sz w:val="28"/>
        </w:rPr>
        <w:t xml:space="preserve">. Bunday tabaqalashtirilgan yondashuv kichik banklarga ortiqcha yuk tushishining oldini oladi va O‘zbekistonda ham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FootnoteReference"/>
        </w:rPr>
        <w:footnoteReference w:id="54"/>
      </w:r>
      <w:r>
        <w:rPr>
          <w:rFonts w:ascii="Times New Roman" w:hAnsi="Times New Roman" w:cs="Times New Roman" w:eastAsia="Times New Roman"/>
          <w:sz w:val="28"/>
        </w:rPr>
        <w:t xml:space="preserve">. Bu arxitektura AQSh Federal rezerv tizimi nazorat stress-testlarining mantig‘iga ancha yaqin (1.3.6-rasm).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1548000"/>
                <wp:effectExtent l="0" t="0" r="0" b="0"/>
                <wp:docPr id="1006" name="1.3.6-rasm"/>
                <wp:cNvGraphicFramePr/>
                <a:graphic>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Bazaviy, salbiy,</w:t>
                              </w:r>
                            </w:p>
                            <w:p>
                              <w:pPr>
                                <w:spacing w:before="0" w:after="0" w:line="228" w:lineRule="auto"/>
                                <w:jc w:val="center"/>
                                <w:ind w:firstLine="0"/>
                              </w:pPr>
                              <w:r>
                                <w:rPr>
                                  <w:rFonts w:ascii="Times New Roman" w:hAnsi="Times New Roman" w:cs="Times New Roman"/>
                                  <w:color w:val="000000"/>
                                  <w:sz w:val="18"/>
                                  <w:szCs w:val="18"/>
                                </w:rPr>
                                <w:t xml:space="preserve">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Makroiqtisodiy</w:t>
                              </w:r>
                            </w:p>
                            <w:p>
                              <w:pPr>
                                <w:spacing w:before="0" w:after="0" w:line="228" w:lineRule="auto"/>
                                <w:jc w:val="center"/>
                                <w:ind w:firstLine="0"/>
                              </w:pPr>
                              <w:r>
                                <w:rPr>
                                  <w:rFonts w:ascii="Times New Roman" w:hAnsi="Times New Roman" w:cs="Times New Roman"/>
                                  <w:b/>
                                  <w:color w:val="FFFFFF"/>
                                  <w:sz w:val="20"/>
                                  <w:szCs w:val="20"/>
                                </w:rPr>
                                <w:t xml:space="preserve">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YaIM, valyuta kursi,</w:t>
                              </w:r>
                            </w:p>
                            <w:p>
                              <w:pPr>
                                <w:spacing w:before="0" w:after="0" w:line="228" w:lineRule="auto"/>
                                <w:jc w:val="center"/>
                                <w:ind w:firstLine="0"/>
                              </w:pPr>
                              <w:r>
                                <w:rPr>
                                  <w:rFonts w:ascii="Times New Roman" w:hAnsi="Times New Roman" w:cs="Times New Roman"/>
                                  <w:color w:val="000000"/>
                                  <w:sz w:val="18"/>
                                  <w:szCs w:val="18"/>
                                </w:rPr>
                                <w:t xml:space="preserve">inflyatsiya, daromadlar,</w:t>
                              </w:r>
                            </w:p>
                            <w:p>
                              <w:pPr>
                                <w:spacing w:before="0" w:after="0" w:line="228" w:lineRule="auto"/>
                                <w:jc w:val="center"/>
                                <w:ind w:firstLine="0"/>
                              </w:pPr>
                              <w:r>
                                <w:rPr>
                                  <w:rFonts w:ascii="Times New Roman" w:hAnsi="Times New Roman" w:cs="Times New Roman"/>
                                  <w:color w:val="000000"/>
                                  <w:sz w:val="18"/>
                                  <w:szCs w:val="18"/>
                                </w:rPr>
                                <w:t xml:space="preserve">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w:t>
                              </w:r>
                            </w:p>
                            <w:p>
                              <w:pPr>
                                <w:spacing w:before="0" w:after="0" w:line="228" w:lineRule="auto"/>
                                <w:jc w:val="center"/>
                                <w:ind w:firstLine="0"/>
                              </w:pPr>
                              <w:r>
                                <w:rPr>
                                  <w:rFonts w:ascii="Times New Roman" w:hAnsi="Times New Roman" w:cs="Times New Roman"/>
                                  <w:b/>
                                  <w:color w:val="FFFFFF"/>
                                  <w:sz w:val="20"/>
                                  <w:szCs w:val="20"/>
                                </w:rPr>
                                <w:t xml:space="preserve">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Muammoli kreditlar</w:t>
                              </w:r>
                            </w:p>
                            <w:p>
                              <w:pPr>
                                <w:spacing w:before="0" w:after="0" w:line="228" w:lineRule="auto"/>
                                <w:jc w:val="center"/>
                                <w:ind w:firstLine="0"/>
                              </w:pPr>
                              <w:r>
                                <w:rPr>
                                  <w:rFonts w:ascii="Times New Roman" w:hAnsi="Times New Roman" w:cs="Times New Roman"/>
                                  <w:color w:val="000000"/>
                                  <w:sz w:val="18"/>
                                  <w:szCs w:val="18"/>
                                </w:rPr>
                                <w:t xml:space="preserve">ulushi, foiz stavkalari,</w:t>
                              </w:r>
                            </w:p>
                            <w:p>
                              <w:pPr>
                                <w:spacing w:before="0" w:after="0" w:line="228" w:lineRule="auto"/>
                                <w:jc w:val="center"/>
                                <w:ind w:firstLine="0"/>
                              </w:pPr>
                              <w:r>
                                <w:rPr>
                                  <w:rFonts w:ascii="Times New Roman" w:hAnsi="Times New Roman" w:cs="Times New Roman"/>
                                  <w:color w:val="000000"/>
                                  <w:sz w:val="18"/>
                                  <w:szCs w:val="18"/>
                                </w:rPr>
                                <w:t xml:space="preserve">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Balans imitatsion</w:t>
                              </w:r>
                            </w:p>
                            <w:p>
                              <w:pPr>
                                <w:spacing w:before="0" w:after="0" w:line="228" w:lineRule="auto"/>
                                <w:jc w:val="center"/>
                                <w:ind w:firstLine="0"/>
                              </w:pPr>
                              <w:r>
                                <w:rPr>
                                  <w:rFonts w:ascii="Times New Roman" w:hAnsi="Times New Roman" w:cs="Times New Roman"/>
                                  <w:b/>
                                  <w:color w:val="FFFFFF"/>
                                  <w:sz w:val="20"/>
                                  <w:szCs w:val="20"/>
                                </w:rPr>
                                <w:t xml:space="preserve">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prognozi (9 chorak)</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tanqisligi; nazorat</w:t>
                              </w:r>
                            </w:p>
                            <w:p>
                              <w:pPr>
                                <w:spacing w:before="0" w:after="0" w:line="228" w:lineRule="auto"/>
                                <w:jc w:val="center"/>
                                <w:ind w:firstLine="0"/>
                              </w:pPr>
                              <w:r>
                                <w:rPr>
                                  <w:rFonts w:ascii="Times New Roman" w:hAnsi="Times New Roman" w:cs="Times New Roman"/>
                                  <w:color w:val="000000"/>
                                  <w:sz w:val="18"/>
                                  <w:szCs w:val="18"/>
                                </w:rPr>
                                <w:t xml:space="preserve">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1440000" y="1296000"/>
                            <a:ext cx="3024000" cy="216000"/>
                          </a:xfrm>
                          <a:prstGeom prst="roundRect">
                            <a:avLst>
                              <a:gd name="adj" fmla="val 10000"/>
                            </a:avLst>
                          </a:prstGeom>
                          <a:solidFill>
                            <a:srgbClr val="FFFFFF"/>
                          </a:solidFill>
                          <a:ln w="12700">
                            <a:solidFill>
                              <a:srgbClr val="FFFFFF"/>
                            </a:solidFill>
                          </a:ln>
                        </wps:spPr>
                        <wps:txbx>
                          <w:txbxContent>
                            <w:p>
                              <w:pPr>
                                <w:spacing w:before="0" w:after="0" w:line="228" w:lineRule="auto"/>
                                <w:jc w:val="center"/>
                                <w:ind w:firstLine="0"/>
                              </w:pPr>
                              <w:r>
                                <w:rPr>
                                  <w:rFonts w:ascii="Times New Roman" w:hAnsi="Times New Roman" w:cs="Times New Roman"/>
                                  <w:i/>
                                  <w:color w:val="000000"/>
                                  <w:sz w:val="18"/>
                                  <w:szCs w:val="18"/>
                                </w:rPr>
                                <w:t xml:space="preserve">Teskari aloqa: kredit taklifining iqtisodiyotga ta’siri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1.3.6-rasm. Nazorat stress-testining umumiy arxitekturasi</w:t>
      </w:r>
      <w:r>
        <w:rPr>
          <w:rStyle w:val="FootnoteReference"/>
        </w:rPr>
        <w:footnoteReference w:id="55"/>
      </w:r>
    </w:p>
    <w:p>
      <w:pPr>
        <w:pStyle w:val="BodyText"/>
        <w:spacing w:line="360" w:lineRule="auto" w:before="0" w:after="0"/>
        <w:ind w:firstLine="709"/>
        <w:jc w:val="both"/>
      </w:pPr>
      <w:r>
        <w:rPr>
          <w:rFonts w:ascii="Times New Roman" w:hAnsi="Times New Roman" w:cs="Times New Roman" w:eastAsia="Times New Roman"/>
          <w:sz w:val="28"/>
        </w:rPr>
        <w:t xml:space="preserve">Tizimli ahamiyatli kredit tashkilotlarini aniqlashda Rossiya banki 3737-U ko‘rsatmasiga tayanadi</w:t>
      </w:r>
      <w:r>
        <w:rPr>
          <w:rStyle w:val="FootnoteReference"/>
        </w:rPr>
        <w:footnoteReference w:id="56"/>
      </w:r>
      <w:r>
        <w:rPr>
          <w:rFonts w:ascii="Times New Roman" w:hAnsi="Times New Roman" w:cs="Times New Roman" w:eastAsia="Times New Roman"/>
          <w:sz w:val="28"/>
        </w:rPr>
        <w:t xml:space="preserve">.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FootnoteReference"/>
        </w:rPr>
        <w:footnoteReference w:id="5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FootnoteReference"/>
        </w:rPr>
        <w:footnoteReference w:id="58"/>
      </w:r>
      <w:r>
        <w:rPr>
          <w:rFonts w:ascii="Times New Roman" w:hAnsi="Times New Roman" w:cs="Times New Roman" w:eastAsia="Times New Roman"/>
          <w:sz w:val="28"/>
        </w:rP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FootnoteReference"/>
        </w:rPr>
        <w:footnoteReference w:id="59"/>
      </w:r>
      <w:r>
        <w:rPr>
          <w:rFonts w:ascii="Times New Roman" w:hAnsi="Times New Roman" w:cs="Times New Roman" w:eastAsia="Times New Roman"/>
          <w:sz w:val="28"/>
        </w:rPr>
        <w:t xml:space="preserve">. Tizimli ahamiyatli banklarga yuqori kapital talablari qo‘yilgan: asosiy kapital 8,5 foiz, birinchi darajali kapital 9,5 foiz, jami kapital 11,5 foiz</w:t>
      </w:r>
      <w:r>
        <w:rPr>
          <w:rStyle w:val="FootnoteReference"/>
        </w:rPr>
        <w:footnoteReference w:id="6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FootnoteReference"/>
        </w:rPr>
        <w:footnoteReference w:id="61"/>
      </w:r>
      <w:r>
        <w:rPr>
          <w:rFonts w:ascii="Times New Roman" w:hAnsi="Times New Roman" w:cs="Times New Roman" w:eastAsia="Times New Roman"/>
          <w:sz w:val="28"/>
        </w:rPr>
        <w:t xml:space="preserve">. XVJ esa 2016-yilda Xitoy kompaniyalariga berilgan tijorat kreditlarining 15,5 foizi «risk ostida» ekanini va ular bo‘yicha potensial yo‘qotishlar YaIMning qariyb 7 foiziga teng bo‘lishi mumkinligini baholagan</w:t>
      </w:r>
      <w:r>
        <w:rPr>
          <w:rStyle w:val="FootnoteReference"/>
        </w:rPr>
        <w:footnoteReference w:id="6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So‘nggi yillar ma’lumotlari ham vaziyat tubdan o‘zgarmaganini ko‘rsatadi. Milliy moliyaviy nazorat boshqarmasi ma’lumotlariga ko‘ra, tijorat banklarida muammoli kreditlar ulushi 2023-yil oxirida 1,59 foiz, 2024-yil oxirida 1,50 foiz, 2025-yil III chorak oxirida esa 1,52 foizni tashkil etgan</w:t>
      </w:r>
      <w:r>
        <w:rPr>
          <w:rStyle w:val="FootnoteReference"/>
        </w:rPr>
        <w:footnoteReference w:id="63"/>
      </w:r>
      <w:r>
        <w:rPr>
          <w:rFonts w:ascii="Times New Roman" w:hAnsi="Times New Roman" w:cs="Times New Roman" w:eastAsia="Times New Roman"/>
          <w:sz w:val="28"/>
        </w:rPr>
        <w:t xml:space="preserve">. Biroq ularning yonida «alohida e’tibor talab qiluvchi» kreditlar ham bor bo‘lib, ularning ulushi 2,2 foiz atrofida saqlanib kelmoqda; ikkalasi qo‘shilganda muammoli aktivlar ulushi 3,7 foizga yetadi</w:t>
      </w:r>
      <w:r>
        <w:rPr>
          <w:rStyle w:val="FootnoteReference"/>
        </w:rPr>
        <w:footnoteReference w:id="64"/>
      </w:r>
      <w:r>
        <w:rPr>
          <w:rFonts w:ascii="Times New Roman" w:hAnsi="Times New Roman" w:cs="Times New Roman" w:eastAsia="Times New Roman"/>
          <w:sz w:val="28"/>
        </w:rPr>
        <w:t xml:space="preserve">. B. Charoenwong, M. Miao va T. Ruan esa banklar muammoli kreditlarni o‘zlariga bog‘liq tomonlarga «sotib», ularning riskini amalda o‘zida qoldirayotganini aniqlagan. Mualliflar fikricha, shunday yashirin kreditlar hisobga olinsa, Xitoyda muammoli kreditlarning haqiqiy hajmi rasmiy ko‘rsatkichdan 2–3 barobar ko‘p bo‘ladi</w:t>
      </w:r>
      <w:r>
        <w:rPr>
          <w:rStyle w:val="FootnoteReference"/>
        </w:rPr>
        <w:footnoteReference w:id="65"/>
      </w:r>
      <w:r>
        <w:rPr>
          <w:rFonts w:ascii="Times New Roman" w:hAnsi="Times New Roman" w:cs="Times New Roman" w:eastAsia="Times New Roman"/>
          <w:sz w:val="28"/>
        </w:rPr>
        <w:t xml:space="preserve">. Ushbu ma’lumotlar 1.3.7-rasmda umumlashtirildi.</w:t>
      </w:r>
    </w:p>
    <w:p>
      <w:pPr>
        <w:pStyle w:val="BodyText"/>
        <w:keepNext/>
        <w:spacing w:line="240" w:lineRule="auto" w:before="0" w:after="0"/>
        <w:ind w:firstLine="0"/>
        <w:jc w:val="center"/>
      </w:pPr>
      <w:r xmlns:c="http://schemas.openxmlformats.org/drawingml/2006/chart">
        <w:rPr>
          <w:noProof/>
        </w:rPr>
        <w:drawing>
          <wp:inline distT="0" distB="0" distL="0" distR="0">
            <wp:extent cx="5580000" cy="2592000"/>
            <wp:effectExtent l="0" t="0" r="0" b="0"/>
            <wp:docPr id="1007" name="1.3.7-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1.3.7-rasm. Xitoy tijorat banklarida muammoli kreditlar ulushi: rasmiy ma’lumotlar va muqobil baholar, %</w:t>
      </w:r>
      <w:r>
        <w:rPr>
          <w:rStyle w:val="FootnoteReference"/>
        </w:rPr>
        <w:footnoteReference w:id="66"/>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rasmiy muammoli kreditlar ulushi uch yil davomida 1,5 foiz atrofida barqaror turibdi. Ammo alohida e’tibor talab qiluvchi kreditlar qo‘shilsa, bu ko‘rsatkich ikki yarim barobar, ilmiy baholarga ko‘ra esa uch barobargacha ortadi.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FootnoteReference"/>
        </w:rPr>
        <w:footnoteReference w:id="67"/>
      </w:r>
      <w:r>
        <w:rPr>
          <w:rFonts w:ascii="Times New Roman" w:hAnsi="Times New Roman" w:cs="Times New Roman" w:eastAsia="Times New Roman"/>
          <w:sz w:val="28"/>
        </w:rPr>
        <w:t xml:space="preserve">. Bunday tafovutning sababi nimada? He Wei Ping fikricha, davlatning yashirin kafolati, ya’ni «banklar qulashidan oldin qutqariladi» degan ishonch bozor intizomini zaiflashtiradi, tartibga solish maqsadlari esa hukumatning iqtisodiy va ijtimoiy siyosatiga bo‘ysundiriladi</w:t>
      </w:r>
      <w:r>
        <w:rPr>
          <w:rStyle w:val="FootnoteReference"/>
        </w:rPr>
        <w:footnoteReference w:id="68"/>
      </w:r>
      <w:r>
        <w:rPr>
          <w:rFonts w:ascii="Times New Roman" w:hAnsi="Times New Roman" w:cs="Times New Roman" w:eastAsia="Times New Roman"/>
          <w:sz w:val="28"/>
        </w:rPr>
        <w:t xml:space="preserve">. Natijada muammoli aktivlar restrukturizatsiya qilinib, rasmiy hisobotlarda o‘z aksini topmaydi. Bu xulosa davlat ulushi yuqori bo‘lgan har qanday bank tizimi, jumladan, O‘zbekiston bank tizimi uchun ham jiddiy ogohlantirish hisoblanadi.</w:t>
      </w:r>
    </w:p>
    <w:p>
      <w:pPr>
        <w:pStyle w:val="BodyText"/>
        <w:spacing w:line="360" w:lineRule="auto" w:before="0" w:after="0"/>
        <w:ind w:firstLine="709"/>
        <w:jc w:val="both"/>
      </w:pPr>
      <w:r>
        <w:rPr>
          <w:rFonts w:ascii="Times New Roman" w:hAnsi="Times New Roman" w:cs="Times New Roman" w:eastAsia="Times New Roman"/>
          <w:sz w:val="28"/>
        </w:rPr>
        <w:t xml:space="preserve">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FootnoteReference"/>
        </w:rPr>
        <w:footnoteReference w:id="69"/>
      </w:r>
      <w:r>
        <w:rPr>
          <w:rFonts w:ascii="Times New Roman" w:hAnsi="Times New Roman" w:cs="Times New Roman" w:eastAsia="Times New Roman"/>
          <w:sz w:val="28"/>
        </w:rPr>
        <w:t xml:space="preserve">. Braziliyada Bazel III dan oldin kapital yetarliligiga talab 11 foiz bo‘lib, talab qilib olinguncha depozitlar bo‘yicha majburiy zaxira normasi 45 foizgacha yetgan</w:t>
      </w:r>
      <w:r>
        <w:rPr>
          <w:rStyle w:val="FootnoteReference"/>
        </w:rPr>
        <w:footnoteReference w:id="70"/>
      </w:r>
      <w:r>
        <w:rPr>
          <w:rFonts w:ascii="Times New Roman" w:hAnsi="Times New Roman" w:cs="Times New Roman" w:eastAsia="Times New Roman"/>
          <w:sz w:val="28"/>
        </w:rPr>
        <w:t xml:space="preserve">. Rossiyada esa BRIKS mamlakatlari orasida eng yuqori muddati o‘tgan qarzlar ulushi (8,35 foiz) qayd etilgan</w:t>
      </w:r>
      <w:r>
        <w:rPr>
          <w:rStyle w:val="FootnoteReference"/>
        </w:rPr>
        <w:footnoteReference w:id="71"/>
      </w:r>
      <w:r>
        <w:rPr>
          <w:rFonts w:ascii="Times New Roman" w:hAnsi="Times New Roman" w:cs="Times New Roman" w:eastAsia="Times New Roman"/>
          <w:sz w:val="28"/>
        </w:rPr>
        <w:t xml:space="preserve">. Bu misollar bir xil xalqaro standart turli mamlakatlarda turlicha natija berishini, shu bois uni milliy sharoitga moslashtirish muqarrar ekanini ko‘rsatadi.</w:t>
      </w:r>
    </w:p>
    <w:p>
      <w:pPr>
        <w:pStyle w:val="BodyText"/>
        <w:spacing w:line="360" w:lineRule="auto" w:before="0" w:after="0"/>
        <w:ind w:firstLine="709"/>
        <w:jc w:val="both"/>
      </w:pPr>
      <w:r>
        <w:rPr>
          <w:rFonts w:ascii="Times New Roman" w:hAnsi="Times New Roman" w:cs="Times New Roman" w:eastAsia="Times New Roman"/>
          <w:sz w:val="28"/>
        </w:rPr>
        <w:t xml:space="preserve">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Xorijiy tajriba va undan O‘zbekiston uchun kelib chiqadigan xulosalar</w:t>
      </w:r>
      <w:r>
        <w:rPr>
          <w:rStyle w:val="FootnoteReference"/>
        </w:rPr>
        <w:footnoteReference w:id="72"/>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 / tizim</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Tajriba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O‘zbekiston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PCA</w:t>
            </w:r>
          </w:p>
        </w:tc>
        <w:tc>
          <w:tcPr/>
          <w:p>
            <w:pPr>
              <w:pStyle w:val="Compact"/>
              <w:spacing w:line="240" w:lineRule="auto"/>
              <w:ind w:firstLine="0"/>
              <w:jc w:val="left"/>
            </w:pPr>
            <w:r>
              <w:rPr>
                <w:rFonts w:ascii="Times New Roman" w:hAnsi="Times New Roman" w:cs="Times New Roman" w:eastAsia="Times New Roman"/>
                <w:sz w:val="22"/>
              </w:rPr>
              <w:t xml:space="preserve">Kapitalning pog‘onali chegaralari aniq nazorat choralari bilan bog‘langan</w:t>
            </w:r>
          </w:p>
        </w:tc>
        <w:tc>
          <w:tcPr/>
          <w:p>
            <w:pPr>
              <w:pStyle w:val="Compact"/>
              <w:spacing w:line="240" w:lineRule="auto"/>
              <w:ind w:firstLine="0"/>
              <w:jc w:val="left"/>
            </w:pPr>
            <w:r>
              <w:rPr>
                <w:rFonts w:ascii="Times New Roman" w:hAnsi="Times New Roman" w:cs="Times New Roman" w:eastAsia="Times New Roman"/>
                <w:sz w:val="22"/>
              </w:rPr>
              <w:t xml:space="preserve">Kapital ko‘rsatkichini ko‘p pog‘onali shkala bilan baholash va tezkor tuzatuvchi choralar tizimini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FIMS</w:t>
            </w:r>
          </w:p>
        </w:tc>
        <w:tc>
          <w:tcPr/>
          <w:p>
            <w:pPr>
              <w:pStyle w:val="Compact"/>
              <w:spacing w:line="240" w:lineRule="auto"/>
              <w:ind w:firstLine="0"/>
              <w:jc w:val="left"/>
            </w:pPr>
            <w:r>
              <w:rPr>
                <w:rFonts w:ascii="Times New Roman" w:hAnsi="Times New Roman" w:cs="Times New Roman" w:eastAsia="Times New Roman"/>
                <w:sz w:val="22"/>
              </w:rPr>
              <w:t xml:space="preserve">Statistik model reytingni va bankrotlikni bashorat qiladi, chegara birinchi tur xatosini kamaytirishga moslangan</w:t>
            </w:r>
          </w:p>
        </w:tc>
        <w:tc>
          <w:tcPr/>
          <w:p>
            <w:pPr>
              <w:pStyle w:val="Compact"/>
              <w:spacing w:line="240" w:lineRule="auto"/>
              <w:ind w:firstLine="0"/>
              <w:jc w:val="left"/>
            </w:pPr>
            <w:r>
              <w:rPr>
                <w:rFonts w:ascii="Times New Roman" w:hAnsi="Times New Roman" w:cs="Times New Roman" w:eastAsia="Times New Roman"/>
                <w:sz w:val="22"/>
              </w:rPr>
              <w:t xml:space="preserve">Baholash metodikasining bashorat kuchini statistik usullar bilan tekshirish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stress-testlar</w:t>
            </w:r>
          </w:p>
        </w:tc>
        <w:tc>
          <w:tcPr/>
          <w:p>
            <w:pPr>
              <w:pStyle w:val="Compact"/>
              <w:spacing w:line="240" w:lineRule="auto"/>
              <w:ind w:firstLine="0"/>
              <w:jc w:val="left"/>
            </w:pPr>
            <w:r>
              <w:rPr>
                <w:rFonts w:ascii="Times New Roman" w:hAnsi="Times New Roman" w:cs="Times New Roman" w:eastAsia="Times New Roman"/>
                <w:sz w:val="22"/>
              </w:rPr>
              <w:t xml:space="preserve">Natijalar ommaga e’lon qilinadi</w:t>
            </w:r>
          </w:p>
        </w:tc>
        <w:tc>
          <w:tcPr/>
          <w:p>
            <w:pPr>
              <w:pStyle w:val="Compact"/>
              <w:spacing w:line="240" w:lineRule="auto"/>
              <w:ind w:firstLine="0"/>
              <w:jc w:val="left"/>
            </w:pPr>
            <w:r>
              <w:rPr>
                <w:rFonts w:ascii="Times New Roman" w:hAnsi="Times New Roman" w:cs="Times New Roman" w:eastAsia="Times New Roman"/>
                <w:sz w:val="22"/>
              </w:rPr>
              <w:t xml:space="preserve">Stress-test natijalarini oshkor qilish orqali bozor intizomini kuchaytirish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 – BAITE, RATE</w:t>
            </w:r>
          </w:p>
        </w:tc>
        <w:tc>
          <w:tcPr/>
          <w:p>
            <w:pPr>
              <w:pStyle w:val="Compact"/>
              <w:spacing w:line="240" w:lineRule="auto"/>
              <w:ind w:firstLine="0"/>
              <w:jc w:val="left"/>
            </w:pPr>
            <w:r>
              <w:rPr>
                <w:rFonts w:ascii="Times New Roman" w:hAnsi="Times New Roman" w:cs="Times New Roman" w:eastAsia="Times New Roman"/>
                <w:sz w:val="22"/>
              </w:rPr>
              <w:t xml:space="preserve">Nazorat intensivligi risk darajasiga bog‘langan</w:t>
            </w:r>
          </w:p>
        </w:tc>
        <w:tc>
          <w:tcPr/>
          <w:p>
            <w:pPr>
              <w:pStyle w:val="Compact"/>
              <w:spacing w:line="240" w:lineRule="auto"/>
              <w:ind w:firstLine="0"/>
              <w:jc w:val="left"/>
            </w:pPr>
            <w:r>
              <w:rPr>
                <w:rFonts w:ascii="Times New Roman" w:hAnsi="Times New Roman" w:cs="Times New Roman" w:eastAsia="Times New Roman"/>
                <w:sz w:val="22"/>
              </w:rPr>
              <w:t xml:space="preserve">Baholash natijasini nazorat rejimi va tekshiruv davriyligi bilan bog‘lash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 – BAKIS</w:t>
            </w:r>
          </w:p>
        </w:tc>
        <w:tc>
          <w:tcPr/>
          <w:p>
            <w:pPr>
              <w:pStyle w:val="Compact"/>
              <w:spacing w:line="240" w:lineRule="auto"/>
              <w:ind w:firstLine="0"/>
              <w:jc w:val="left"/>
            </w:pPr>
            <w:r>
              <w:rPr>
                <w:rFonts w:ascii="Times New Roman" w:hAnsi="Times New Roman" w:cs="Times New Roman" w:eastAsia="Times New Roman"/>
                <w:sz w:val="22"/>
              </w:rPr>
              <w:t xml:space="preserve">Teng vaznlar, guruh o‘rtachasi bilan taqqoslash</w:t>
            </w:r>
          </w:p>
        </w:tc>
        <w:tc>
          <w:tcPr/>
          <w:p>
            <w:pPr>
              <w:pStyle w:val="Compact"/>
              <w:spacing w:line="240" w:lineRule="auto"/>
              <w:ind w:firstLine="0"/>
              <w:jc w:val="left"/>
            </w:pPr>
            <w:r>
              <w:rPr>
                <w:rFonts w:ascii="Times New Roman" w:hAnsi="Times New Roman" w:cs="Times New Roman" w:eastAsia="Times New Roman"/>
                <w:sz w:val="22"/>
              </w:rPr>
              <w:t xml:space="preserve">Qiyosiy (peer) baholashni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EBA KRI</w:t>
            </w:r>
          </w:p>
        </w:tc>
        <w:tc>
          <w:tcPr/>
          <w:p>
            <w:pPr>
              <w:pStyle w:val="Compact"/>
              <w:spacing w:line="240" w:lineRule="auto"/>
              <w:ind w:firstLine="0"/>
              <w:jc w:val="left"/>
            </w:pPr>
            <w:r>
              <w:rPr>
                <w:rFonts w:ascii="Times New Roman" w:hAnsi="Times New Roman" w:cs="Times New Roman" w:eastAsia="Times New Roman"/>
                <w:sz w:val="22"/>
              </w:rPr>
              <w:t xml:space="preserve">Ochiq ma’lumotlar bazasi, risklar paneli</w:t>
            </w:r>
          </w:p>
        </w:tc>
        <w:tc>
          <w:tcPr/>
          <w:p>
            <w:pPr>
              <w:pStyle w:val="Compact"/>
              <w:spacing w:line="240" w:lineRule="auto"/>
              <w:ind w:firstLine="0"/>
              <w:jc w:val="left"/>
            </w:pPr>
            <w:r>
              <w:rPr>
                <w:rFonts w:ascii="Times New Roman" w:hAnsi="Times New Roman" w:cs="Times New Roman" w:eastAsia="Times New Roman"/>
                <w:sz w:val="22"/>
              </w:rPr>
              <w:t xml:space="preserve">Banklar ko‘rsatkichlarini ochiq e’lon qilish, kredit riskiga ortiqcha urg‘u bermaslik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ESRB</w:t>
            </w:r>
          </w:p>
        </w:tc>
        <w:tc>
          <w:tcPr/>
          <w:p>
            <w:pPr>
              <w:pStyle w:val="Compact"/>
              <w:spacing w:line="240" w:lineRule="auto"/>
              <w:ind w:firstLine="0"/>
              <w:jc w:val="left"/>
            </w:pPr>
            <w:r>
              <w:rPr>
                <w:rFonts w:ascii="Times New Roman" w:hAnsi="Times New Roman" w:cs="Times New Roman" w:eastAsia="Times New Roman"/>
                <w:sz w:val="22"/>
              </w:rPr>
              <w:t xml:space="preserve">Qat’iy baza va diskretsion makroprudensial vositalar</w:t>
            </w:r>
          </w:p>
        </w:tc>
        <w:tc>
          <w:tcPr/>
          <w:p>
            <w:pPr>
              <w:pStyle w:val="Compact"/>
              <w:spacing w:line="240" w:lineRule="auto"/>
              <w:ind w:firstLine="0"/>
              <w:jc w:val="left"/>
            </w:pPr>
            <w:r>
              <w:rPr>
                <w:rFonts w:ascii="Times New Roman" w:hAnsi="Times New Roman" w:cs="Times New Roman" w:eastAsia="Times New Roman"/>
                <w:sz w:val="22"/>
              </w:rPr>
              <w:t xml:space="preserve">Mikro va makroprudensial baholashni uyg‘unlashtirish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Rossiya</w:t>
            </w:r>
          </w:p>
        </w:tc>
        <w:tc>
          <w:tcPr/>
          <w:p>
            <w:pPr>
              <w:pStyle w:val="Compact"/>
              <w:spacing w:line="240" w:lineRule="auto"/>
              <w:ind w:firstLine="0"/>
              <w:jc w:val="left"/>
            </w:pPr>
            <w:r>
              <w:rPr>
                <w:rFonts w:ascii="Times New Roman" w:hAnsi="Times New Roman" w:cs="Times New Roman" w:eastAsia="Times New Roman"/>
                <w:sz w:val="22"/>
              </w:rPr>
              <w:t xml:space="preserve">Ochiq vaznli 1–4 ballik tizim; dinamika va prognoz yo‘qligi tanqid qilingan</w:t>
            </w:r>
          </w:p>
        </w:tc>
        <w:tc>
          <w:tcPr/>
          <w:p>
            <w:pPr>
              <w:pStyle w:val="Compact"/>
              <w:spacing w:line="240" w:lineRule="auto"/>
              <w:ind w:firstLine="0"/>
              <w:jc w:val="left"/>
            </w:pPr>
            <w:r>
              <w:rPr>
                <w:rFonts w:ascii="Times New Roman" w:hAnsi="Times New Roman" w:cs="Times New Roman" w:eastAsia="Times New Roman"/>
                <w:sz w:val="22"/>
              </w:rPr>
              <w:t xml:space="preserve">Ochiq vaznli integral baholashga dinamik va prognoz elementlarini qo‘shish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Xitoy</w:t>
            </w:r>
          </w:p>
        </w:tc>
        <w:tc>
          <w:tcPr/>
          <w:p>
            <w:pPr>
              <w:pStyle w:val="Compact"/>
              <w:spacing w:line="240" w:lineRule="auto"/>
              <w:ind w:firstLine="0"/>
              <w:jc w:val="left"/>
            </w:pPr>
            <w:r>
              <w:rPr>
                <w:rFonts w:ascii="Times New Roman" w:hAnsi="Times New Roman" w:cs="Times New Roman" w:eastAsia="Times New Roman"/>
                <w:sz w:val="22"/>
              </w:rPr>
              <w:t xml:space="preserve">Rasmiy NPL bilan haqiqiy risk o‘rtasida katta tafovut</w:t>
            </w:r>
          </w:p>
        </w:tc>
        <w:tc>
          <w:tcPr/>
          <w:p>
            <w:pPr>
              <w:pStyle w:val="Compact"/>
              <w:spacing w:line="240" w:lineRule="auto"/>
              <w:ind w:firstLine="0"/>
              <w:jc w:val="left"/>
            </w:pPr>
            <w:r>
              <w:rPr>
                <w:rFonts w:ascii="Times New Roman" w:hAnsi="Times New Roman" w:cs="Times New Roman" w:eastAsia="Times New Roman"/>
                <w:sz w:val="22"/>
              </w:rPr>
              <w:t xml:space="preserve">Aktivlar sifatini MHXS 9 bo‘yicha va mustaqil baholash; davlat banklariga alohida e’tibor</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xulosalarni uch asosiy yo‘nalishga birlashtirish mumkin.</w:t>
      </w:r>
    </w:p>
    <w:p>
      <w:pPr>
        <w:pStyle w:val="BodyText"/>
        <w:spacing w:line="360" w:lineRule="auto" w:before="0" w:after="0"/>
        <w:ind w:firstLine="709"/>
        <w:jc w:val="both"/>
      </w:pPr>
      <w:r>
        <w:rPr>
          <w:rFonts w:ascii="Times New Roman" w:hAnsi="Times New Roman" w:cs="Times New Roman" w:eastAsia="Times New Roman"/>
          <w:sz w:val="28"/>
        </w:rPr>
        <w:t xml:space="preserve">Birinchidan, rivojlangan mamlakatlarda baholash natijasi shunchaki axborot bo‘lib qolmaydi, balki aniq nazorat qarori uchun asos bo‘ladi. AQShda tezkor tuzatuvchi choralar toifasi majburiy choralarni, Buyuk Britaniyada esa risk matritsasi tekshiruv davriyligini belgilaydi. O‘zbekistonda bo‘lsa, 2.3-paragrafda ko‘rsatilganidek, erta ogohlantirish va tezkor tuzatuvchi choralar tizimi hali shakllanish bosqichida.</w:t>
      </w:r>
    </w:p>
    <w:p>
      <w:pPr>
        <w:pStyle w:val="BodyText"/>
        <w:spacing w:line="360" w:lineRule="auto" w:before="0" w:after="0"/>
        <w:ind w:firstLine="709"/>
        <w:jc w:val="both"/>
      </w:pPr>
      <w:r>
        <w:rPr>
          <w:rFonts w:ascii="Times New Roman" w:hAnsi="Times New Roman" w:cs="Times New Roman" w:eastAsia="Times New Roman"/>
          <w:sz w:val="28"/>
        </w:rPr>
        <w:t xml:space="preserve">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Uchinchidan, rasmiy ko‘rsatkichlarning ishonchliligi masalasiga alohida e’tibor qaratish lozim. Xitoy tajribasi va AQShdagi CRA qonuni bilan bog‘liq holatlar davlat tomonidan yo‘naltirilgan kreditlash ulushi yuqori bo‘lgan tizimlarda rasmiy ko‘rsatkichlar haqiqiy riskni kamsitib ko‘rsatishi mumkinligidan dalolat beradi. Davlat banklari ulushi hamon yuqori bo‘lgan O‘zbekiston uchun bu xulosa ayniqsa muhimdir.</w:t>
      </w:r>
    </w:p>
    <w:p>
      <w:pPr>
        <w:pStyle w:val="BodyText"/>
        <w:spacing w:line="360" w:lineRule="auto" w:before="0" w:after="0"/>
        <w:ind w:firstLine="709"/>
        <w:jc w:val="both"/>
      </w:pPr>
      <w:r>
        <w:rPr>
          <w:rFonts w:ascii="Times New Roman" w:hAnsi="Times New Roman" w:cs="Times New Roman" w:eastAsia="Times New Roman"/>
          <w:sz w:val="28"/>
        </w:rPr>
        <w:t xml:space="preserve">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bookmarkEnd w:id="73"/>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Karaliyev T.M., Sayfiddinov I.F. Tijorat banklari faoliyatini tartibga solish va nazorati: darslik. – T.: Iqtisod-Moliya, 2019. – B. 195.</w:t>
      </w:r>
    </w:p>
  </w:footnote>
  <w:footnote w:id="21">
    <w:p>
      <w:pPr>
        <w:pStyle w:val="FootnoteText"/>
      </w:pPr>
      <w:r>
        <w:rPr>
          <w:rStyle w:val="FootnoteReference"/>
        </w:rPr>
        <w:footnoteRef/>
      </w:r>
      <w:r>
        <w:t xml:space="preserve"> </w:t>
      </w:r>
      <w:r>
        <w:t xml:space="preserve">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22">
    <w:p>
      <w:pPr>
        <w:pStyle w:val="FootnoteText"/>
      </w:pPr>
      <w:r>
        <w:rPr>
          <w:rStyle w:val="FootnoteReference"/>
        </w:rPr>
        <w:footnoteRef/>
      </w:r>
      <w:r>
        <w:t xml:space="preserve"> </w:t>
      </w:r>
      <w:r>
        <w:t xml:space="preserve">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О.И. Лаврушина. – М.: КНОРУС, 2014. – С. 57–61; Оценка финансовой устойчивости кредитной организации: учебник / под ред. О.И. Лаврушина, И.Д. Мамоновой. – М.: КНОРУС, 2011. – С. 92–115; Cargill T.F. The Financial System, Financial Regulation and Central Bank Policy. – Cambridge: Cambridge University Press, 2017. – P. 194–195.</w:t>
      </w:r>
    </w:p>
  </w:footnote>
  <w:footnote w:id="23">
    <w:p>
      <w:pPr>
        <w:pStyle w:val="FootnoteText"/>
      </w:pPr>
      <w:r>
        <w:rPr>
          <w:rStyle w:val="FootnoteReference"/>
        </w:rPr>
        <w:footnoteRef/>
      </w:r>
      <w:r>
        <w:t xml:space="preserve"> </w:t>
      </w:r>
      <w:r>
        <w:t xml:space="preserve">Hendrickson J.M. Regulation and Instability in U.S. Commercial Banking: A History of Crises. – Basingstoke: Palgrave Macmillan, 2011. – P. 1–2, 10–11.</w:t>
      </w:r>
    </w:p>
  </w:footnote>
  <w:footnote w:id="24">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29–31.</w:t>
      </w:r>
    </w:p>
  </w:footnote>
  <w:footnote w:id="25">
    <w:p>
      <w:pPr>
        <w:pStyle w:val="FootnoteText"/>
      </w:pPr>
      <w:r>
        <w:rPr>
          <w:rStyle w:val="FootnoteReference"/>
        </w:rPr>
        <w:footnoteRef/>
      </w:r>
      <w:r>
        <w:t xml:space="preserve"> </w:t>
      </w:r>
      <w:r>
        <w:t xml:space="preserve">Cargill T.F. The Financial System, Financial Regulation and Central Bank Policy. – Cambridge: Cambridge University Press, 2017. – P. 194–195.</w:t>
      </w:r>
    </w:p>
  </w:footnote>
  <w:footnote w:id="26">
    <w:p>
      <w:pPr>
        <w:pStyle w:val="FootnoteText"/>
      </w:pPr>
      <w:r>
        <w:rPr>
          <w:rStyle w:val="FootnoteReference"/>
        </w:rPr>
        <w:footnoteRef/>
      </w:r>
      <w:r>
        <w:t xml:space="preserve"> </w:t>
      </w:r>
      <w:r>
        <w:t xml:space="preserve">Cargill T.F. The Financial System, Financial Regulation and Central Bank Policy. – Cambridge: Cambridge University Press, 2017. – P. 193.</w:t>
      </w:r>
    </w:p>
  </w:footnote>
  <w:footnote w:id="27">
    <w:p>
      <w:pPr>
        <w:pStyle w:val="FootnoteText"/>
      </w:pPr>
      <w:r>
        <w:rPr>
          <w:rStyle w:val="FootnoteReference"/>
        </w:rPr>
        <w:footnoteRef/>
      </w:r>
      <w:r>
        <w:t xml:space="preserve"> </w:t>
      </w:r>
      <w:r>
        <w:t xml:space="preserve">Tadqiqot natijasida muallif tomonidan quyidagi manba asosida ishlab chiqildi: Cargill T.F. The Financial System, Financial Regulation and Central Bank Policy. – Cambridge: Cambridge University Press, 2017. – P. 193 (Table 9.3).</w:t>
      </w:r>
    </w:p>
  </w:footnote>
  <w:footnote w:id="28">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228–230.</w:t>
      </w:r>
    </w:p>
  </w:footnote>
  <w:footnote w:id="2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107–114.</w:t>
      </w:r>
    </w:p>
  </w:footnote>
  <w:footnote w:id="30">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112–114.</w:t>
      </w:r>
    </w:p>
  </w:footnote>
  <w:footnote w:id="31">
    <w:p>
      <w:pPr>
        <w:pStyle w:val="FootnoteText"/>
      </w:pPr>
      <w:r>
        <w:rPr>
          <w:rStyle w:val="FootnoteReference"/>
        </w:rPr>
        <w:footnoteRef/>
      </w:r>
      <w:r>
        <w:t xml:space="preserve"> </w:t>
      </w:r>
      <w:r>
        <w:t xml:space="preserve">Cargill T.F. The Financial System, Financial Regulation and Central Bank Policy. – Cambridge: Cambridge University Press, 2017. – P. 195–196.</w:t>
      </w:r>
    </w:p>
  </w:footnote>
  <w:footnote w:id="32">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3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92–104.</w:t>
      </w:r>
    </w:p>
  </w:footnote>
  <w:footnote w:id="34">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60–61.</w:t>
      </w:r>
    </w:p>
  </w:footnote>
  <w:footnote w:id="35">
    <w:p>
      <w:pPr>
        <w:pStyle w:val="FootnoteText"/>
      </w:pPr>
      <w:r>
        <w:rPr>
          <w:rStyle w:val="FootnoteReference"/>
        </w:rPr>
        <w:footnoteRef/>
      </w:r>
      <w:r>
        <w:t xml:space="preserve"> </w:t>
      </w:r>
      <w:r>
        <w:t xml:space="preserve">Tadqiqot natijasida muallif tomonidan quyidagi manba asosida ishlab chiqildi: Оценка финансовой устойчивости кредитной организации: учебник / под ред. О.И. Лаврушина, И.Д. Мамоновой. – М.: КНОРУС, 2011. – С. 105–106.</w:t>
      </w:r>
    </w:p>
  </w:footnote>
  <w:footnote w:id="36">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59.</w:t>
      </w:r>
    </w:p>
  </w:footnote>
  <w:footnote w:id="3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114–115.</w:t>
      </w:r>
    </w:p>
  </w:footnote>
  <w:footnote w:id="38">
    <w:p>
      <w:pPr>
        <w:pStyle w:val="FootnoteText"/>
      </w:pPr>
      <w:r>
        <w:rPr>
          <w:rStyle w:val="FootnoteReference"/>
        </w:rPr>
        <w:footnoteRef/>
      </w:r>
      <w:r>
        <w:t xml:space="preserve"> </w:t>
      </w:r>
      <w:r>
        <w:t xml:space="preserve">Karaliyev T.M., Sayfiddinov I.F. Tijorat banklari faoliyatini tartibga solish va nazorati: darslik. – T.: Iqtisod-Moliya, 2019. – B. 194–195.</w:t>
      </w:r>
    </w:p>
  </w:footnote>
  <w:footnote w:id="39">
    <w:p>
      <w:pPr>
        <w:pStyle w:val="FootnoteText"/>
      </w:pPr>
      <w:r>
        <w:rPr>
          <w:rStyle w:val="FootnoteReference"/>
        </w:rPr>
        <w:footnoteRef/>
      </w:r>
      <w:r>
        <w:t xml:space="preserve"> </w:t>
      </w:r>
      <w:r>
        <w:t xml:space="preserve">Tutino F., Brugnoni G.C., Siena M.G. Italian Banks Facing Basel 3 Higher Capital Requirements: Which Strategies Are Actually Feasible? // Bank Risk, Governance and Regulation / ed. by E. Beccalli, F. Poli. – Basingstoke: Palgrave Macmillan, 2015. – P. 212–231.</w:t>
      </w:r>
    </w:p>
  </w:footnote>
  <w:footnote w:id="40">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199.</w:t>
      </w:r>
    </w:p>
  </w:footnote>
  <w:footnote w:id="41">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184–185.</w:t>
      </w:r>
    </w:p>
  </w:footnote>
  <w:footnote w:id="42">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111.</w:t>
      </w:r>
    </w:p>
  </w:footnote>
  <w:footnote w:id="43">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112–114.</w:t>
      </w:r>
    </w:p>
  </w:footnote>
  <w:footnote w:id="44">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191–195.</w:t>
      </w:r>
    </w:p>
  </w:footnote>
  <w:footnote w:id="45">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194–196.</w:t>
      </w:r>
    </w:p>
  </w:footnote>
  <w:footnote w:id="46">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104–106.</w:t>
      </w:r>
    </w:p>
  </w:footnote>
  <w:footnote w:id="4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135.</w:t>
      </w:r>
    </w:p>
  </w:footnote>
  <w:footnote w:id="48">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48–49.</w:t>
      </w:r>
    </w:p>
  </w:footnote>
  <w:footnote w:id="4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139.</w:t>
      </w:r>
    </w:p>
  </w:footnote>
  <w:footnote w:id="50">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72.</w:t>
      </w:r>
    </w:p>
  </w:footnote>
  <w:footnote w:id="51">
    <w:p>
      <w:pPr>
        <w:pStyle w:val="FootnoteText"/>
      </w:pPr>
      <w:r>
        <w:rPr>
          <w:rStyle w:val="FootnoteReference"/>
        </w:rPr>
        <w:footnoteRef/>
      </w:r>
      <w:r>
        <w:t xml:space="preserve"> </w:t>
      </w:r>
      <w:r>
        <w:t xml:space="preserve">Tadqiqot natijasida muallif tomonidan quyidagi manbalar ma’lumotlari asosida ishlab chiqildi: Basel Committee on Banking Supervision. Basel III: The Liquidity Coverage Ratio and liquidity risk monitoring tools. – Basel: BIS, 2013;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Karaliyev T.M., Sayfiddinov I.F. Tijorat banklari faoliyatini tartibga solish va nazorati: darslik. – T.: Iqtisod-Moliya, 2019. – B. 185.</w:t>
      </w:r>
    </w:p>
  </w:footnote>
  <w:footnote w:id="52">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77, 79–80.</w:t>
      </w:r>
    </w:p>
  </w:footnote>
  <w:footnote w:id="5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60–67.</w:t>
      </w:r>
    </w:p>
  </w:footnote>
  <w:footnote w:id="54">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47–49.</w:t>
      </w:r>
    </w:p>
  </w:footnote>
  <w:footnote w:id="55">
    <w:p>
      <w:pPr>
        <w:pStyle w:val="FootnoteText"/>
      </w:pPr>
      <w:r>
        <w:rPr>
          <w:rStyle w:val="FootnoteReference"/>
        </w:rPr>
        <w:footnoteRef/>
      </w:r>
      <w:r>
        <w:t xml:space="preserve"> </w:t>
      </w:r>
      <w:r>
        <w:t xml:space="preserve">Tadqiqot natijasida muallif tomonidan quyidagi manbalar asosida ishlab chiqildi: Регулирование банковской сферы: учебник / под ред. О.Н. Афанасьевой, С.Е. Дубовой. – М.: КНОРУС. – С. 48–49; Cargill T.F. The Financial System, Financial Regulation and Central Bank Policy. – Cambridge: Cambridge University Press, 2017. – P. 195–196.</w:t>
      </w:r>
    </w:p>
  </w:footnote>
  <w:footnote w:id="56">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53.</w:t>
      </w:r>
    </w:p>
  </w:footnote>
  <w:footnote w:id="5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143, 146.</w:t>
      </w:r>
    </w:p>
  </w:footnote>
  <w:footnote w:id="58">
    <w:p>
      <w:pPr>
        <w:pStyle w:val="FootnoteText"/>
      </w:pPr>
      <w:r>
        <w:rPr>
          <w:rStyle w:val="FootnoteReference"/>
        </w:rPr>
        <w:footnoteRef/>
      </w:r>
      <w:r>
        <w:t xml:space="preserve"> </w:t>
      </w:r>
      <w:r>
        <w:t xml:space="preserve">He Wei Ping. Banking Regulation in China: The Role of Public and Private Sectors. – New York: Palgrave Macmillan, 2014. – P. 52.</w:t>
      </w:r>
    </w:p>
  </w:footnote>
  <w:footnote w:id="59">
    <w:p>
      <w:pPr>
        <w:pStyle w:val="FootnoteText"/>
      </w:pPr>
      <w:r>
        <w:rPr>
          <w:rStyle w:val="FootnoteReference"/>
        </w:rPr>
        <w:footnoteRef/>
      </w:r>
      <w:r>
        <w:t xml:space="preserve"> </w:t>
      </w:r>
      <w:r>
        <w:t xml:space="preserve">He Wei Ping. Banking Regulation in China: The Role of Public and Private Sectors. – New York: Palgrave Macmillan, 2014. – P. 55.</w:t>
      </w:r>
    </w:p>
  </w:footnote>
  <w:footnote w:id="60">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61">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62">
    <w:p>
      <w:pPr>
        <w:pStyle w:val="FootnoteText"/>
      </w:pPr>
      <w:r>
        <w:rPr>
          <w:rStyle w:val="FootnoteReference"/>
        </w:rPr>
        <w:footnoteRef/>
      </w:r>
      <w:r>
        <w:t xml:space="preserve"> </w:t>
      </w:r>
      <w:r>
        <w:t xml:space="preserve">International Monetary Fund. Global Financial Stability Report: Potent Policies for a Successful Normalization. – Washington, DC: IMF, April 2016.</w:t>
      </w:r>
    </w:p>
  </w:footnote>
  <w:footnote w:id="63">
    <w:p>
      <w:pPr>
        <w:pStyle w:val="FootnoteText"/>
      </w:pPr>
      <w:r>
        <w:rPr>
          <w:rStyle w:val="FootnoteReference"/>
        </w:rPr>
        <w:footnoteRef/>
      </w:r>
      <w:r>
        <w:t xml:space="preserve"> </w:t>
      </w:r>
      <w:r>
        <w:t xml:space="preserve">National Financial Regulatory Administration. Supervisory Statistics of the Banking and Insurance Sectors: 2023-yil IV chorak, 2024-yil IV chorak, 2025-yil III chorak. – https://www.nfra.gov.cn/en/</w:t>
      </w:r>
    </w:p>
  </w:footnote>
  <w:footnote w:id="64">
    <w:p>
      <w:pPr>
        <w:pStyle w:val="FootnoteText"/>
      </w:pPr>
      <w:r>
        <w:rPr>
          <w:rStyle w:val="FootnoteReference"/>
        </w:rPr>
        <w:footnoteRef/>
      </w:r>
      <w:r>
        <w:t xml:space="preserve"> </w:t>
      </w:r>
      <w:r>
        <w:t xml:space="preserve">International Monetary Fund. People’s Republic of China: 2025 Article IV Consultation – Press Release; Staff Report; and Statement by the Executive Director. IMF Country Report No. 26/44. – Washington, DC: IMF, 2026.</w:t>
      </w:r>
    </w:p>
  </w:footnote>
  <w:footnote w:id="65">
    <w:p>
      <w:pPr>
        <w:pStyle w:val="FootnoteText"/>
      </w:pPr>
      <w:r>
        <w:rPr>
          <w:rStyle w:val="FootnoteReference"/>
        </w:rPr>
        <w:footnoteRef/>
      </w:r>
      <w:r>
        <w:t xml:space="preserve"> </w:t>
      </w:r>
      <w:r>
        <w:t xml:space="preserve">Charoenwong B., Miao M., Ruan T. Nonperforming Loan Disposals Without Resolution // Management Science. – 2025. – Vol. 71, No. 1. – P. 898–916.</w:t>
      </w:r>
    </w:p>
  </w:footnote>
  <w:footnote w:id="66">
    <w:p>
      <w:pPr>
        <w:pStyle w:val="FootnoteText"/>
      </w:pPr>
      <w:r>
        <w:rPr>
          <w:rStyle w:val="FootnoteReference"/>
        </w:rPr>
        <w:footnoteRef/>
      </w:r>
      <w:r>
        <w:t xml:space="preserve"> </w:t>
      </w:r>
      <w:r>
        <w:t xml:space="preserve">Tadqiqot natijasida muallif tomonidan quyidagi manbalar ma’lumotlari asosida ishlab chiqildi: National Financial Regulatory Administration. Supervisory Statistics of the Banking and Insurance Sectors: 2023-yil IV chorak, 2024-yil IV chorak, 2025-yil III chorak. – https://www.nfra.gov.cn/en; International Monetary Fund. People’s Republic of China: 2025 Article IV Consultation – Press Release; Staff Report; and Statement by the Executive Director. IMF Country Report No. 26/44. – Washington, DC: IMF, 2026; Charoenwong B., Miao M., Ruan T. Nonperforming Loan Disposals Without Resolution // Management Science. – 2025. – Vol. 71, No. 1. – P. 898–916; International Monetary Fund. Global Financial Stability Report: Potent Policies for a Successful Normalization. – Washington, DC: IMF, April 2016.</w:t>
      </w:r>
    </w:p>
  </w:footnote>
  <w:footnote w:id="67">
    <w:p>
      <w:pPr>
        <w:pStyle w:val="FootnoteText"/>
      </w:pPr>
      <w:r>
        <w:rPr>
          <w:rStyle w:val="FootnoteReference"/>
        </w:rPr>
        <w:footnoteRef/>
      </w:r>
      <w:r>
        <w:t xml:space="preserve"> </w:t>
      </w:r>
      <w:r>
        <w:t xml:space="preserve">International Monetary Fund. People’s Republic of China: 2025 Article IV Consultation – Press Release; Staff Report; and Statement by the Executive Director. IMF Country Report No. 26/44. – Washington, DC: IMF, 2026.</w:t>
      </w:r>
    </w:p>
  </w:footnote>
  <w:footnote w:id="68">
    <w:p>
      <w:pPr>
        <w:pStyle w:val="FootnoteText"/>
      </w:pPr>
      <w:r>
        <w:rPr>
          <w:rStyle w:val="FootnoteReference"/>
        </w:rPr>
        <w:footnoteRef/>
      </w:r>
      <w:r>
        <w:t xml:space="preserve"> </w:t>
      </w:r>
      <w:r>
        <w:t xml:space="preserve">He Wei Ping. Banking Regulation in China: The Role of Public and Private Sectors. – New York: Palgrave Macmillan, 2014. – P. 68, 135.</w:t>
      </w:r>
    </w:p>
  </w:footnote>
  <w:footnote w:id="69">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118–124.</w:t>
      </w:r>
    </w:p>
  </w:footnote>
  <w:footnote w:id="70">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138–140.</w:t>
      </w:r>
    </w:p>
  </w:footnote>
  <w:footnote w:id="71">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134.</w:t>
      </w:r>
    </w:p>
  </w:footnote>
  <w:footnote w:id="72">
    <w:p>
      <w:pPr>
        <w:pStyle w:val="FootnoteText"/>
      </w:pPr>
      <w:r>
        <w:rPr>
          <w:rStyle w:val="FootnoteReference"/>
        </w:rPr>
        <w:footnoteRef/>
      </w:r>
      <w:r>
        <w:t xml:space="preserve"> </w:t>
      </w:r>
      <w:r>
        <w:t xml:space="preserve">Tadqiqot natijasida muallif tomonidan ishlab chiqildi.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UBSS tizimi</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Sheet1!$B$2:$B$4</c:f>
              <c:numCache>
                <c:formatCode>General</c:formatCode>
                <c:ptCount val="3"/>
                <c:pt idx="0">
                  <c:v>50</c:v>
                </c:pt>
                <c:pt idx="1">
                  <c:v>32.7</c:v>
                </c:pt>
                <c:pt idx="2">
                  <c:v>12.2</c:v>
                </c:pt>
              </c:numCache>
            </c:numRef>
          </c:val>
        </c:ser>
        <c:ser>
          <c:idx val="1"/>
          <c:order val="1"/>
          <c:tx>
            <c:strRef>
              <c:f>Sheet1!$C$1</c:f>
              <c:strCache>
                <c:ptCount val="1"/>
                <c:pt idx="0">
                  <c:v>FIMS modeli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Sheet1!$C$2:$C$4</c:f>
              <c:numCache>
                <c:formatCode>General</c:formatCode>
                <c:ptCount val="3"/>
                <c:pt idx="0">
                  <c:v>74.6</c:v>
                </c:pt>
                <c:pt idx="1">
                  <c:v>17</c:v>
                </c:pt>
                <c:pt idx="2">
                  <c:v>7.4</c:v>
                </c:pt>
              </c:numCache>
            </c:numRef>
          </c:val>
        </c:ser>
        <c:gapWidth val="70"/>
        <c:axId val="111"/>
        <c:axId val="222"/>
      </c:barChart>
      <c:catAx>
        <c:axId val="111"/>
        <c:scaling>
          <c:orientation val="minMax"/>
        </c:scaling>
        <c:delete val="0"/>
        <c:axPos val="b"/>
        <c:numFmt formatCode="General" sourceLinked="0"/>
        <c:majorTickMark val="none"/>
        <c:minorTickMark val="none"/>
        <c:tickLblPos val="nextTo"/>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8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Kuzatuvlar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Bazel qo‘mitasi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2015</c:v>
                </c:pt>
                <c:pt idx="1">
                  <c:v>2016</c:v>
                </c:pt>
                <c:pt idx="2">
                  <c:v>2017</c:v>
                </c:pt>
                <c:pt idx="3">
                  <c:v>2018</c:v>
                </c:pt>
                <c:pt idx="4">
                  <c:v>2019</c:v>
                </c:pt>
              </c:strCache>
            </c:strRef>
          </c:cat>
          <c:val>
            <c:numRef>
              <c:f>Sheet1!$B$2:$B$6</c:f>
              <c:numCache>
                <c:formatCode>General</c:formatCode>
                <c:ptCount val="5"/>
                <c:pt idx="0">
                  <c:v>60</c:v>
                </c:pt>
                <c:pt idx="1">
                  <c:v>70</c:v>
                </c:pt>
                <c:pt idx="2">
                  <c:v>80</c:v>
                </c:pt>
                <c:pt idx="3">
                  <c:v>90</c:v>
                </c:pt>
                <c:pt idx="4">
                  <c:v>100</c:v>
                </c:pt>
              </c:numCache>
            </c:numRef>
          </c:val>
        </c:ser>
        <c:ser>
          <c:idx val="1"/>
          <c:order val="1"/>
          <c:tx>
            <c:strRef>
              <c:f>Sheet1!$C$1</c:f>
              <c:strCache>
                <c:ptCount val="1"/>
                <c:pt idx="0">
                  <c:v>Rossiya (tizimli ahamiyatli banklar)</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2015</c:v>
                </c:pt>
                <c:pt idx="1">
                  <c:v>2016</c:v>
                </c:pt>
                <c:pt idx="2">
                  <c:v>2017</c:v>
                </c:pt>
                <c:pt idx="3">
                  <c:v>2018</c:v>
                </c:pt>
                <c:pt idx="4">
                  <c:v>2019</c:v>
                </c:pt>
              </c:strCache>
            </c:strRef>
          </c:cat>
          <c:val>
            <c:numRef>
              <c:f>Sheet1!$C$2:$C$6</c:f>
              <c:numCache>
                <c:formatCode>General</c:formatCode>
                <c:ptCount val="5"/>
                <c:pt idx="1">
                  <c:v>70</c:v>
                </c:pt>
                <c:pt idx="2">
                  <c:v>80</c:v>
                </c:pt>
                <c:pt idx="3">
                  <c:v>90</c:v>
                </c:pt>
                <c:pt idx="4">
                  <c:v>100</c:v>
                </c:pt>
              </c:numCache>
            </c:numRef>
          </c:val>
        </c:ser>
        <c:ser>
          <c:idx val="2"/>
          <c:order val="2"/>
          <c:tx>
            <c:strRef>
              <c:f>Sheet1!$D$1</c:f>
              <c:strCache>
                <c:ptCount val="1"/>
                <c:pt idx="0">
                  <c:v>O‘zbekiston</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2015</c:v>
                </c:pt>
                <c:pt idx="1">
                  <c:v>2016</c:v>
                </c:pt>
                <c:pt idx="2">
                  <c:v>2017</c:v>
                </c:pt>
                <c:pt idx="3">
                  <c:v>2018</c:v>
                </c:pt>
                <c:pt idx="4">
                  <c:v>2019</c:v>
                </c:pt>
              </c:strCache>
            </c:strRef>
          </c:cat>
          <c:val>
            <c:numRef>
              <c:f>Sheet1!$D$2:$D$6</c:f>
              <c:numCache>
                <c:formatCode>General</c:formatCode>
                <c:ptCount val="5"/>
                <c:pt idx="1">
                  <c:v>80</c:v>
                </c:pt>
                <c:pt idx="2">
                  <c:v>90</c:v>
                </c:pt>
                <c:pt idx="3">
                  <c:v>100</c:v>
                </c:pt>
                <c:pt idx="4">
                  <c:v>100</c:v>
                </c:pt>
              </c:numCache>
            </c:numRef>
          </c:val>
        </c:ser>
        <c:gapWidth val="60"/>
        <c:axId val="111"/>
        <c:axId val="222"/>
      </c:barChart>
      <c:catAx>
        <c:axId val="111"/>
        <c:scaling>
          <c:orientation val="minMax"/>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General" sourceLinked="0"/>
        <c:majorTickMark val="none"/>
        <c:minorTickMark val="none"/>
        <c:tickLblPos val="nextTo"/>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Sheet1!$B$2:$B$7</c:f>
              <c:numCache>
                <c:formatCode>General</c:formatCode>
                <c:ptCount val="6"/>
                <c:pt idx="0">
                  <c:v>1.59</c:v>
                </c:pt>
                <c:pt idx="1">
                  <c:v>1.5</c:v>
                </c:pt>
                <c:pt idx="2">
                  <c:v>1.52</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Sheet1!$C$2:$C$7</c:f>
              <c:numCache>
                <c:formatCode>General</c:formatCode>
                <c:ptCount val="6"/>
                <c:pt idx="0">
                  <c:v>2.2</c:v>
                </c:pt>
                <c:pt idx="1">
                  <c:v>2.22</c:v>
                </c:pt>
                <c:pt idx="2">
                  <c:v>2.2</c:v>
                </c:pt>
              </c:numCache>
            </c:numRef>
          </c:val>
        </c:ser>
        <c:ser>
          <c:idx val="2"/>
          <c:order val="2"/>
          <c:tx>
            <c:strRef>
              <c:f>Sheet1!$D$1</c:f>
              <c:strCache>
                <c:ptCount val="1"/>
                <c:pt idx="0">
                  <c:v>Muqobil baholar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Sheet1!$D$2:$D$7</c:f>
              <c:numCache>
                <c:formatCode>General</c:formatCode>
                <c:ptCount val="6"/>
                <c:pt idx="3">
                  <c:v>3.0</c:v>
                </c:pt>
                <c:pt idx="4">
                  <c:v>4.6</c:v>
                </c:pt>
                <c:pt idx="5">
                  <c:v>15.5</c:v>
                </c:pt>
              </c:numCache>
            </c:numRef>
          </c:val>
        </c:ser>
        <c:gapWidth val="50"/>
        <c:overlap val="100"/>
        <c:axId val="111"/>
        <c:axId val="222"/>
      </c:barChart>
      <c:catAx>
        <c:axId val="111"/>
        <c:scaling>
          <c:orientation val="minMax"/>
        </c:scaling>
        <c:delete val="0"/>
        <c:axPos val="b"/>
        <c:numFmt formatCode="General" sourceLinked="0"/>
        <c:majorTickMark val="none"/>
        <c:minorTickMark val="none"/>
        <c:tickLblPos val="nextTo"/>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2026-10-10T07:54:36Z</dcterms:created>
  <dcterms:modified xsi:type="dcterms:W3CDTF">2026-10-10T07:54:36Z</dcterms:modified>
</cp:coreProperties>
</file>

<file path=docProps/custom.xml><?xml version="1.0" encoding="utf-8"?>
<Properties xmlns="http://schemas.openxmlformats.org/officeDocument/2006/custom-properties" xmlns:vt="http://schemas.openxmlformats.org/officeDocument/2006/docPropsVTypes"/>
</file>