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trike w:val="0"/>
          <w:sz w:val="28"/>
        </w:rPr>
        <w:t>2.1.3–2.1.4-rasmlar va snoskalar bo‘yicha kiritilgan tuzatishlar</w:t>
      </w:r>
    </w:p>
    <w:p>
      <w:pPr>
        <w:jc w:val="both"/>
      </w:pPr>
      <w:r>
        <w:rPr>
          <w:b w:val="0"/>
          <w:i w:val="0"/>
          <w:strike w:val="0"/>
          <w:sz w:val="24"/>
        </w:rPr>
        <w:t>1. 2.1.4-rasm: “Regulyativ minimum” ustuni 2026-yildan amaldagi talab (buferlar bilan) bo‘yicha – CET1 8,5% (oldin 8%), jami kapital 12% (oldin 13%).</w:t>
      </w:r>
    </w:p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2880000"/>
            <wp:effectExtent l="0" t="0" r="0" b="0"/>
            <wp:docPr id="1001" name="2.1.4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jc w:val="center"/>
      </w:pPr>
      <w:r>
        <w:rPr>
          <w:b/>
          <w:i w:val="0"/>
          <w:strike w:val="0"/>
          <w:sz w:val="26"/>
        </w:rPr>
        <w:t>2.1.4-rasm. Salbiy stress-ssenariyda bank tizimi kapital ko‘rsatkichlarining o‘zgarishi, %</w:t>
      </w:r>
    </w:p>
    <w:p>
      <w:pPr>
        <w:jc w:val="both"/>
      </w:pPr>
      <w:r>
        <w:rPr>
          <w:b w:val="0"/>
          <w:i w:val="0"/>
          <w:strike w:val="0"/>
          <w:sz w:val="24"/>
        </w:rPr>
        <w:t>2. Snoskalar standart ifodaga keltirildi va ulardan ichki fayl nomlari olib tashlandi:</w:t>
      </w:r>
    </w:p>
    <w:p>
      <w:pPr>
        <w:jc w:val="both"/>
      </w:pPr>
      <w:r>
        <w:rPr>
          <w:b w:val="0"/>
          <w:i/>
          <w:strike w:val="0"/>
          <w:color w:val="595959"/>
          <w:sz w:val="20"/>
        </w:rPr>
        <w:t>Joyi: 2.1.3-rasm. O‘zbekiston bank tizimida kapital monandligi ko‘rsatkichlari dinamikasi, % …</w:t>
      </w:r>
    </w:p>
    <w:p>
      <w:pPr>
        <w:jc w:val="both"/>
      </w:pPr>
      <w:r>
        <w:rPr>
          <w:b w:val="0"/>
          <w:i w:val="0"/>
          <w:strike/>
          <w:color w:val="7F7F7F"/>
          <w:sz w:val="22"/>
        </w:rPr>
        <w:t>Oldin: Muallif tomonidan quyidagi manbalar asosida tuzilgan: …</w:t>
      </w:r>
    </w:p>
    <w:p>
      <w:pPr>
        <w:jc w:val="both"/>
      </w:pPr>
      <w:r>
        <w:rPr>
          <w:b w:val="0"/>
          <w:i w:val="0"/>
          <w:strike w:val="0"/>
          <w:color w:val="C00000"/>
          <w:sz w:val="22"/>
        </w:rPr>
        <w:t>Hozir: Tadqiqot natijasida muallif tomonidan quyidagi manbalar asosida ishlab chiqildi: O‘zbekiston Respublikasi Markaziy banki. Statistik byulleten: 2021-yil. – Toshkent, 2022; O‘zbekiston Respublikasi Markaziy banki. Statistik byulleten: 2026-yil mart. – Toshkent, 2026. – https://cbu.uz/uz/statistics/buleten/; IMF Country Report No. 25/227, 2025; The Central Bank of Uzbekistan. Financial Stability Report for 2024; The Central Bank of Uzbekistan. Financial Stability Report for 2025.</w:t>
      </w:r>
    </w:p>
    <w:p>
      <w:pPr>
        <w:jc w:val="both"/>
      </w:pPr>
      <w:r>
        <w:rPr>
          <w:b w:val="0"/>
          <w:i/>
          <w:strike w:val="0"/>
          <w:color w:val="595959"/>
          <w:sz w:val="20"/>
        </w:rPr>
        <w:t>Joyi: 2.1.4-rasm. Salbiy stress-ssenariyda bank tizimi kapital ko‘rsatkichlarining o‘zgarishi, % …</w:t>
      </w:r>
    </w:p>
    <w:p>
      <w:pPr>
        <w:jc w:val="both"/>
      </w:pPr>
      <w:r>
        <w:rPr>
          <w:b w:val="0"/>
          <w:i w:val="0"/>
          <w:strike/>
          <w:color w:val="7F7F7F"/>
          <w:sz w:val="22"/>
        </w:rPr>
        <w:t>Oldin: Muallif tomonidan quyidagi manbalar asosida tuzilgan: …</w:t>
      </w:r>
    </w:p>
    <w:p>
      <w:pPr>
        <w:jc w:val="both"/>
      </w:pPr>
      <w:r>
        <w:rPr>
          <w:b w:val="0"/>
          <w:i w:val="0"/>
          <w:strike w:val="0"/>
          <w:color w:val="C00000"/>
          <w:sz w:val="22"/>
        </w:rPr>
        <w:t>Hozir: Tadqiqot natijasida muallif tomonidan quyidagi manbalar asosida ishlab chiqildi: The Central Bank of Uzbekistan. Financial Stability Report for H1 2025; Financial Stability Report for 2025.</w:t>
      </w:r>
    </w:p>
    <w:p>
      <w:pPr>
        <w:jc w:val="both"/>
      </w:pPr>
      <w:r>
        <w:rPr>
          <w:b w:val="0"/>
          <w:i/>
          <w:strike w:val="0"/>
          <w:color w:val="595959"/>
          <w:sz w:val="20"/>
        </w:rPr>
        <w:t>Joyi: O‘zbekistonda tijorat banklariga qo‘yiladigan asosiy prudensial talablar …</w:t>
      </w:r>
    </w:p>
    <w:p>
      <w:pPr>
        <w:jc w:val="both"/>
      </w:pPr>
      <w:r>
        <w:rPr>
          <w:b w:val="0"/>
          <w:i w:val="0"/>
          <w:strike/>
          <w:color w:val="7F7F7F"/>
          <w:sz w:val="22"/>
        </w:rPr>
        <w:t>Oldin: Muallif tomonidan quyidagi manbalar asosida tuzilgan: …</w:t>
      </w:r>
    </w:p>
    <w:p>
      <w:pPr>
        <w:jc w:val="both"/>
      </w:pPr>
      <w:r>
        <w:rPr>
          <w:b w:val="0"/>
          <w:i w:val="0"/>
          <w:strike w:val="0"/>
          <w:color w:val="C00000"/>
          <w:sz w:val="22"/>
        </w:rPr>
        <w:t>Hozir: Tadqiqot natijasida muallif tomonidan quyidagi manbalar asosida ishlab chiqildi: 3697-son va 2693-son nizomlar // lex.uz; IMF. Republic of Uzbekistan: Financial Sector Assessment Program – Detailed Assessment of Observance – Basel Core Principles for Effective Banking Supervision. – IMF Country Report No. 25/227. – Washington, DC, 2025; The Central Bank of Uzbekistan. Financial Stability Report for 2025. – Tashkent, 2026; Karaliyev T.M., Sayfiddinov I.F. Tijorat banklari faoliyatini tartibga solish va nazorati: darslik. – T.: Iqtisod-Moliya, 2019. – B. 185–186; Бердияров Б.Т. Ўзбекистон Республикаси тижорат банкларининг ликвидлилиги ва тўлов қобилиятини таъминлаш масалалари: монография. – Т.: BMA, 2020. – Б. 92–93.</w:t>
      </w:r>
    </w:p>
    <w:p>
      <w:pPr>
        <w:jc w:val="both"/>
      </w:pPr>
      <w:r>
        <w:rPr>
          <w:b w:val="0"/>
          <w:i/>
          <w:strike w:val="0"/>
          <w:color w:val="595959"/>
          <w:sz w:val="20"/>
        </w:rPr>
        <w:t>Joyi: Natijalarning barqarorligi qo‘shimcha ravishda uch yo‘nalishda tekshirildi. Birinchidan, bir bankka tegishli k …</w:t>
      </w:r>
    </w:p>
    <w:p>
      <w:pPr>
        <w:jc w:val="both"/>
      </w:pPr>
      <w:r>
        <w:rPr>
          <w:b w:val="0"/>
          <w:i w:val="0"/>
          <w:strike/>
          <w:color w:val="7F7F7F"/>
          <w:sz w:val="22"/>
        </w:rPr>
        <w:t>Oldin: Muallif hisob-kitobi: manbalar/hisob_kitob/robust_kam.py va robust_kam.json (25 ta bank paneli, …).</w:t>
      </w:r>
    </w:p>
    <w:p>
      <w:pPr>
        <w:jc w:val="both"/>
      </w:pPr>
      <w:r>
        <w:rPr>
          <w:b w:val="0"/>
          <w:i w:val="0"/>
          <w:strike w:val="0"/>
          <w:color w:val="C00000"/>
          <w:sz w:val="22"/>
        </w:rPr>
        <w:t>Hozir: Tadqiqot natijasida muallif tomonidan hisoblandi (25 ta bank paneli, 2021-yil IV chorak – 2025-yil IV chorak).</w:t>
      </w:r>
    </w:p>
    <w:p>
      <w:pPr>
        <w:jc w:val="both"/>
      </w:pPr>
      <w:r>
        <w:rPr>
          <w:b w:val="0"/>
          <w:i/>
          <w:strike w:val="0"/>
          <w:color w:val="595959"/>
          <w:sz w:val="20"/>
        </w:rPr>
        <w:t>Joyi: Rasmdan ko‘rinib turibdiki, ikkala bankda ham MHXS 9 bo‘yicha qadrsizlangan, ya’ni 3-bosqichga tasniflangan kr …</w:t>
      </w:r>
    </w:p>
    <w:p>
      <w:pPr>
        <w:jc w:val="both"/>
      </w:pPr>
      <w:r>
        <w:rPr>
          <w:b w:val="0"/>
          <w:i w:val="0"/>
          <w:strike/>
          <w:color w:val="7F7F7F"/>
          <w:sz w:val="22"/>
        </w:rPr>
        <w:t>Oldin: … asosida hisoblandi (manbalar/hisob_kitob/aloqa23.py, aloqa_mbii.json).</w:t>
      </w:r>
    </w:p>
    <w:p>
      <w:pPr>
        <w:jc w:val="both"/>
      </w:pPr>
      <w:r>
        <w:rPr>
          <w:b w:val="0"/>
          <w:i w:val="0"/>
          <w:strike w:val="0"/>
          <w:color w:val="C00000"/>
          <w:sz w:val="22"/>
        </w:rPr>
        <w:t>Hozir: Tadqiqot natijasida muallif tomonidan “Aloqabank” ATB ning prudensial hisobot shakllari va MHXS bo‘yicha konsolidatsiyalangan moliyaviy hisobotlari asosida hisoblandi.</w:t>
      </w:r>
    </w:p>
    <w:p>
      <w:pPr>
        <w:jc w:val="both"/>
      </w:pPr>
      <w:r>
        <w:rPr>
          <w:b w:val="0"/>
          <w:i/>
          <w:strike w:val="0"/>
          <w:color w:val="595959"/>
          <w:sz w:val="20"/>
        </w:rPr>
        <w:t>Joyi: “Aloqabank” ATB ko‘rsatkichlarining milliy va MHXS hisobotlari bo‘yicha qiyosi, 2021–2025-yillar …</w:t>
      </w:r>
    </w:p>
    <w:p>
      <w:pPr>
        <w:jc w:val="both"/>
      </w:pPr>
      <w:r>
        <w:rPr>
          <w:b w:val="0"/>
          <w:i w:val="0"/>
          <w:strike/>
          <w:color w:val="7F7F7F"/>
          <w:sz w:val="22"/>
        </w:rPr>
        <w:t>Oldin: … asosida hisoblandi (manbalar/hisob_kitob/aloqa23.py, aloqa_mbii.json).</w:t>
      </w:r>
    </w:p>
    <w:p>
      <w:pPr>
        <w:jc w:val="both"/>
      </w:pPr>
      <w:r>
        <w:rPr>
          <w:b w:val="0"/>
          <w:i w:val="0"/>
          <w:strike w:val="0"/>
          <w:color w:val="C00000"/>
          <w:sz w:val="22"/>
        </w:rPr>
        <w:t>Hozir: Tadqiqot natijasida muallif tomonidan “Aloqabank” ATB ning prudensial hisobot shakllari va MHXS bo‘yicha konsolidatsiyalangan moliyaviy hisobotlari asosida hisoblandi.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c:style val="2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Amaldagi daraja (2025-y. oxiri)</c:v>
                </c:pt>
              </c:strCache>
            </c:strRef>
          </c:tx>
          <c:spPr>
            <a:solidFill>
              <a:srgbClr val="2A78D6"/>
            </a:solidFill>
            <a:ln w="6350">
              <a:solidFill>
                <a:srgbClr val="FFFFFF"/>
              </a:solidFill>
            </a:ln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Asosiy kapital (CET1)</c:v>
                </c:pt>
                <c:pt idx="1">
                  <c:v>Jami kapital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14.7</c:v>
                </c:pt>
                <c:pt idx="1">
                  <c:v>18.3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921-41D5-AF72-2E85EFE43FC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Salbiy ssenariy: 2028-y. I yarmi (2025-y. I yarim sharhi)</c:v>
                </c:pt>
              </c:strCache>
            </c:strRef>
          </c:tx>
          <c:spPr>
            <a:solidFill>
              <a:srgbClr val="FFC000"/>
            </a:solidFill>
            <a:ln w="6350">
              <a:solidFill>
                <a:srgbClr val="FFFFFF"/>
              </a:solidFill>
            </a:ln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Asosiy kapital (CET1)</c:v>
                </c:pt>
                <c:pt idx="1">
                  <c:v>Jami kapital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6.1</c:v>
                </c:pt>
                <c:pt idx="1">
                  <c:v>8.4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921-41D5-AF72-2E85EFE43FC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Salbiy ssenariy: 2028-y. oxiri (2025-y. sharhi)</c:v>
                </c:pt>
              </c:strCache>
            </c:strRef>
          </c:tx>
          <c:spPr>
            <a:solidFill>
              <a:srgbClr val="EB6834"/>
            </a:solidFill>
            <a:ln w="6350">
              <a:solidFill>
                <a:srgbClr val="FFFFFF"/>
              </a:solidFill>
            </a:ln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Asosiy kapital (CET1)</c:v>
                </c:pt>
                <c:pt idx="1">
                  <c:v>Jami kapital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5.6</c:v>
                </c:pt>
                <c:pt idx="1">
                  <c:v>6.8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921-41D5-AF72-2E85EFE43FCD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Regulyativ minimum (2026-yildan, buferlar bilan)</c:v>
                </c:pt>
              </c:strCache>
            </c:strRef>
          </c:tx>
          <c:spPr>
            <a:solidFill>
              <a:srgbClr val="A5A5A5"/>
            </a:solidFill>
            <a:ln w="6350">
              <a:solidFill>
                <a:srgbClr val="FFFFFF"/>
              </a:solidFill>
            </a:ln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Asosiy kapital (CET1)</c:v>
                </c:pt>
                <c:pt idx="1">
                  <c:v>Jami kapital</c:v>
                </c:pt>
              </c:strCache>
            </c:strRef>
          </c:cat>
          <c:val>
            <c:numRef>
              <c:f>Sheet1!$E$2:$E$3</c:f>
              <c:numCache>
                <c:formatCode>General</c:formatCode>
                <c:ptCount val="2"/>
                <c:pt idx="0">
                  <c:v>8.5</c:v>
                </c:pt>
                <c:pt idx="1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921-41D5-AF72-2E85EFE43F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0"/>
        <c:axId val="111"/>
        <c:axId val="222"/>
      </c:barChart>
      <c:catAx>
        <c:axId val="11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ru-RU"/>
          </a:p>
        </c:txPr>
        <c:crossAx val="222"/>
        <c:crosses val="autoZero"/>
        <c:auto val="1"/>
        <c:lblAlgn val="ctr"/>
        <c:lblOffset val="100"/>
        <c:tickLblSkip val="1"/>
        <c:noMultiLvlLbl val="0"/>
      </c:catAx>
      <c:valAx>
        <c:axId val="222"/>
        <c:scaling>
          <c:orientation val="minMax"/>
          <c:max val="20"/>
          <c:min val="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Risk bo‘yicha tortilgan aktivlarga nisbatan, %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ru-RU"/>
          </a:p>
        </c:txPr>
        <c:crossAx val="111"/>
        <c:crosses val="autoZero"/>
        <c:crossBetween val="between"/>
        <c:majorUnit val="4"/>
      </c:valAx>
      <c:spPr>
        <a:noFill/>
        <a:ln>
          <a:noFill/>
        </a:ln>
      </c:spPr>
    </c:plotArea>
    <c:legend>
      <c:legendPos val="b"/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