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637944ed30af1a5c7e12bfca1a7866b67ed51e5"/>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0"/>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1"/>
      </w:r>
      <w:r>
        <w:rPr>
          <w:rStyle w:val="FootnoteReference"/>
        </w:rPr>
        <w:footnoteReference w:id="22"/>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3"/>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4"/>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5"/>
      </w:r>
      <w:r>
        <w:rPr>
          <w:rFonts w:ascii="Times New Roman" w:hAnsi="Times New Roman" w:cs="Times New Roman" w:eastAsia="Times New Roman"/>
          <w:sz w:val="28"/>
        </w:rPr>
        <w:t xml:space="preserve">.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2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1" name="2.2.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ulushi mavjud banklarning bank tizimidagi ulushi, %</w:t>
      </w:r>
      <w:r>
        <w:rPr>
          <w:rStyle w:val="FootnoteReference"/>
        </w:rPr>
        <w:footnoteReference w:id="2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8"/>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3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2.2.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31"/>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32"/>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33"/>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34"/>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35"/>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37"/>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38"/>
      </w:r>
      <w:r>
        <w:rPr>
          <w:rFonts w:ascii="Times New Roman" w:hAnsi="Times New Roman" w:cs="Times New Roman" w:eastAsia="Times New Roman"/>
          <w:sz w:val="28"/>
        </w:rPr>
        <w:t xml:space="preserve">, 2023-yil oxirida 19,5 foizni (shundan substandart kreditlar 16 foiz, muammoli kreditlar 3,5 foiz)</w:t>
      </w:r>
      <w:r>
        <w:rPr>
          <w:rStyle w:val="FootnoteReference"/>
        </w:rPr>
        <w:footnoteReference w:id="39"/>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4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 Jahon banki ma’lumotlariga ko‘ra, 2023-yil oxirida MHXS 9 bo‘yicha 3-bosqichdagi kreditlar ulushi 7,8 foiz bo‘lib, rasmiy ko‘rsatkichdan qariyb ikki barobar yuqori bo‘lgan</w:t>
      </w:r>
      <w:r>
        <w:rPr>
          <w:rStyle w:val="FootnoteReference"/>
        </w:rPr>
        <w:footnoteReference w:id="41"/>
      </w:r>
      <w:r>
        <w:rPr>
          <w:rFonts w:ascii="Times New Roman" w:hAnsi="Times New Roman" w:cs="Times New Roman" w:eastAsia="Times New Roman"/>
          <w:sz w:val="28"/>
        </w:rPr>
        <w:t xml:space="preserve">.</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2.2.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42"/>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43"/>
      </w:r>
      <w:r>
        <w:rPr>
          <w:rFonts w:ascii="Times New Roman" w:hAnsi="Times New Roman" w:cs="Times New Roman" w:eastAsia="Times New Roman"/>
          <w:sz w:val="28"/>
        </w:rPr>
        <w:t xml:space="preserve">, 2022–2025-yillarda esa 36,7–52,6 foiz oralig‘ida bo‘lgan</w:t>
      </w:r>
      <w:r>
        <w:rPr>
          <w:rStyle w:val="FootnoteReference"/>
        </w:rPr>
        <w:footnoteReference w:id="44"/>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45"/>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46"/>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4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4" name="2.2.4-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48"/>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49"/>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50"/>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51"/>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5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 (2021-yil uchun yil oxiri qiymati olindi).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5" name="2.2.5-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53"/>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5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6" name="2.2.6-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5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56"/>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8" name="2.2.7-rasm"/>
            <wp:cNvGraphicFramePr/>
            <a:graphic>
              <a:graphicData uri="http://schemas.openxmlformats.org/drawingml/2006/chart">
                <c:chart r:id="rId1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MHXS 9 bo‘yicha 3-bosqich kreditlari va rasmiy muammoli kreditlar ulushi, %</w:t>
      </w:r>
      <w:r>
        <w:rPr>
          <w:rStyle w:val="FootnoteReference"/>
        </w:rPr>
        <w:footnoteReference w:id="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bo‘lgan</w:t>
      </w:r>
      <w:r>
        <w:rPr>
          <w:rStyle w:val="FootnoteReference"/>
        </w:rPr>
        <w:footnoteReference w:id="58"/>
      </w:r>
      <w:r>
        <w:rPr>
          <w:rStyle w:val="FootnoteReference"/>
        </w:rPr>
        <w:footnoteReference w:id="59"/>
      </w:r>
      <w:r>
        <w:rPr>
          <w:rFonts w:ascii="Times New Roman" w:hAnsi="Times New Roman" w:cs="Times New Roman" w:eastAsia="Times New Roman"/>
          <w:sz w:val="28"/>
        </w:rPr>
        <w:t xml:space="preserve">. Bundan ham muhimi, bankda 2-bosqich, ya’ni kredit riski sezilarli oshgan kreditlar ulushi 2023-yildagi 15,8 foizdan 2024-yilda 27,1 foizga, 2025-yilda esa 35,7 foizga ko‘tarilgan</w:t>
      </w:r>
      <w:r>
        <w:rPr>
          <w:rStyle w:val="FootnoteReference"/>
        </w:rPr>
        <w:footnoteReference w:id="60"/>
      </w:r>
      <w:r>
        <w:rPr>
          <w:rFonts w:ascii="Times New Roman" w:hAnsi="Times New Roman" w:cs="Times New Roman" w:eastAsia="Times New Roman"/>
          <w:sz w:val="28"/>
        </w:rPr>
        <w:t xml:space="preserve">,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FootnoteReference"/>
        </w:rPr>
        <w:footnoteReference w:id="61"/>
      </w:r>
      <w:r>
        <w:rPr>
          <w:rFonts w:ascii="Times New Roman" w:hAnsi="Times New Roman" w:cs="Times New Roman" w:eastAsia="Times New Roman"/>
          <w:sz w:val="28"/>
        </w:rPr>
        <w:t xml:space="preserve">. Taqqoslash uchun, 2020-yil oxirida bu bankda 3-bosqich kreditlari ulushi atigi 2,4 foizni, 2-bosqich kreditlari ulushi esa 5,1 foizni tashkil etgan, «O‘zsanoatqurilishbank» ATB da esa mos ravishda 6,6 va 29,3 foiz bo‘lgan</w:t>
      </w:r>
      <w:r>
        <w:rPr>
          <w:rStyle w:val="FootnoteReference"/>
        </w:rPr>
        <w:footnoteReference w:id="62"/>
      </w:r>
      <w:r>
        <w:rPr>
          <w:rFonts w:ascii="Times New Roman" w:hAnsi="Times New Roman" w:cs="Times New Roman" w:eastAsia="Times New Roman"/>
          <w:sz w:val="28"/>
        </w:rPr>
        <w:t xml:space="preserve">. Demak,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(2.2.8-rasm).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7" name="2.2.8-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2.2.8-rasm. «O‘zsanoatqurilishbank» ATB va «Mikrokreditbank» ATB da kapital rentabelligi (ROE), %</w:t>
      </w:r>
      <w:r>
        <w:rPr>
          <w:rStyle w:val="FootnoteReference"/>
        </w:rPr>
        <w:footnoteReference w:id="63"/>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0,7–2,2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64"/>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65"/>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6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67"/>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1">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2021–2025-yillar 30-dekabr holatiga.</w:t>
      </w:r>
    </w:p>
  </w:footnote>
  <w:footnote w:id="22">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23">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4">
    <w:p>
      <w:pPr>
        <w:pStyle w:val="FootnoteText"/>
      </w:pPr>
      <w:r>
        <w:rPr>
          <w:rStyle w:val="FootnoteReference"/>
        </w:rPr>
        <w:footnoteRef/>
      </w:r>
      <w:r>
        <w:t xml:space="preserve"> </w:t>
      </w:r>
      <w:r>
        <w:t xml:space="preserve">World Bank. Republic of Uzbekistan: Financial Sector Assessment. – Washington, DC: World Bank, 2025.</w:t>
      </w:r>
    </w:p>
  </w:footnote>
  <w:footnote w:id="25">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6">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30">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1">
    <w:p>
      <w:pPr>
        <w:pStyle w:val="FootnoteText"/>
      </w:pPr>
      <w:r>
        <w:rPr>
          <w:rStyle w:val="FootnoteReference"/>
        </w:rPr>
        <w:footnoteRef/>
      </w:r>
      <w:r>
        <w:t xml:space="preserve"> </w:t>
      </w:r>
      <w:r>
        <w:t xml:space="preserve">Tadqiqot natijasida muallif tomonidan 2.2.1-jadval ma’lumotlari asosida ishlab chiqildi.</w:t>
      </w:r>
    </w:p>
  </w:footnote>
  <w:footnote w:id="32">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3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34">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3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6">
    <w:p>
      <w:pPr>
        <w:pStyle w:val="FootnoteText"/>
      </w:pPr>
      <w:r>
        <w:rPr>
          <w:rStyle w:val="FootnoteReference"/>
        </w:rPr>
        <w:footnoteRef/>
      </w:r>
      <w:r>
        <w:t xml:space="preserve"> </w:t>
      </w:r>
      <w:r>
        <w:t xml:space="preserve">The Central Bank of the Republic of Uzbekistan. Financial Stability Report for 2025. – Tashkent, 2026.</w:t>
      </w:r>
    </w:p>
  </w:footnote>
  <w:footnote w:id="3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8">
    <w:p>
      <w:pPr>
        <w:pStyle w:val="FootnoteText"/>
      </w:pPr>
      <w:r>
        <w:rPr>
          <w:rStyle w:val="FootnoteReference"/>
        </w:rPr>
        <w:footnoteRef/>
      </w:r>
      <w:r>
        <w:t xml:space="preserve"> </w:t>
      </w:r>
      <w:r>
        <w:t xml:space="preserve">O‘zbekiston Respublikasi Markaziy banki. Moliyaviy barqarorlik sharhi: 2022-yil. – Toshkent, 2023.</w:t>
      </w:r>
    </w:p>
  </w:footnote>
  <w:footnote w:id="39">
    <w:p>
      <w:pPr>
        <w:pStyle w:val="FootnoteText"/>
      </w:pPr>
      <w:r>
        <w:rPr>
          <w:rStyle w:val="FootnoteReference"/>
        </w:rPr>
        <w:footnoteRef/>
      </w:r>
      <w:r>
        <w:t xml:space="preserve"> </w:t>
      </w:r>
      <w:r>
        <w:t xml:space="preserve">The Central Bank of the Republic of Uzbekistan. Annual Report 2023. – Tashkent, 2024. – P. 57.</w:t>
      </w:r>
    </w:p>
  </w:footnote>
  <w:footnote w:id="40">
    <w:p>
      <w:pPr>
        <w:pStyle w:val="FootnoteText"/>
      </w:pPr>
      <w:r>
        <w:rPr>
          <w:rStyle w:val="FootnoteReference"/>
        </w:rPr>
        <w:footnoteRef/>
      </w:r>
      <w:r>
        <w:t xml:space="preserve"> </w:t>
      </w:r>
      <w:r>
        <w:t xml:space="preserve">The Central Bank of the Republic of Uzbekistan. Financial Stability Report for 2025. – Tashkent, 2026.</w:t>
      </w:r>
    </w:p>
  </w:footnote>
  <w:footnote w:id="41">
    <w:p>
      <w:pPr>
        <w:pStyle w:val="FootnoteText"/>
      </w:pPr>
      <w:r>
        <w:rPr>
          <w:rStyle w:val="FootnoteReference"/>
        </w:rPr>
        <w:footnoteRef/>
      </w:r>
      <w:r>
        <w:t xml:space="preserve"> </w:t>
      </w:r>
      <w:r>
        <w:t xml:space="preserve">World Bank. Republic of Uzbekistan: Financial Sector Assessment. – Washington, DC: World Bank, 2025.</w:t>
      </w:r>
    </w:p>
  </w:footnote>
  <w:footnote w:id="42">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43">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4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4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4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4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48">
    <w:p>
      <w:pPr>
        <w:pStyle w:val="FootnoteText"/>
      </w:pPr>
      <w:r>
        <w:rPr>
          <w:rStyle w:val="FootnoteReference"/>
        </w:rPr>
        <w:footnoteRef/>
      </w:r>
      <w:r>
        <w:t xml:space="preserve"> </w:t>
      </w:r>
      <w:r>
        <w:t xml:space="preserve">Tadqiqot natijasida muallif tomonidan 2.2.1-jadval ma’lumotlari asosida ishlab chiqildi.</w:t>
      </w:r>
    </w:p>
  </w:footnote>
  <w:footnote w:id="4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50">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5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52">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3">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55">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6">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57">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58">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59">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60">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61">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62">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63">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64">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65">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2021–2025-yillar 30-dekabr holatiga.</w:t>
      </w:r>
    </w:p>
  </w:footnote>
  <w:footnote w:id="66">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 Id="rId15" Type="http://schemas.openxmlformats.org/officeDocument/2006/relationships/chart" Target="charts/chart7.xml"/><Relationship Id="rId16" Type="http://schemas.openxmlformats.org/officeDocument/2006/relationships/chart" Target="charts/chart8.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c:v>
                </c:pt>
                <c:pt idx="4">
                  <c:v>63.5</c:v>
                </c:pt>
              </c:numCache>
            </c:numRef>
          </c:val>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67.0</c:v>
                </c:pt>
              </c:numCache>
            </c:numRef>
          </c:val>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4.1</c:v>
                </c:pt>
                <c:pt idx="1">
                  <c:v>2.1</c:v>
                </c:pt>
                <c:pt idx="2">
                  <c:v>2.4</c:v>
                </c:pt>
                <c:pt idx="3">
                  <c:v>4.1</c:v>
                </c:pt>
                <c:pt idx="4">
                  <c:v>2.6</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16.0</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2.2</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17.4</c:v>
                </c:pt>
                <c:pt idx="1">
                  <c:v>13.5</c:v>
                </c:pt>
                <c:pt idx="2">
                  <c:v>16.6</c:v>
                </c:pt>
                <c:pt idx="3">
                  <c:v>15.2</c:v>
                </c:pt>
                <c:pt idx="4">
                  <c:v>12.3</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2026-10-11T06:11:34Z</dcterms:created>
  <dcterms:modified xsi:type="dcterms:W3CDTF">2026-10-11T06:11:34Z</dcterms:modified>
</cp:coreProperties>
</file>

<file path=docProps/custom.xml><?xml version="1.0" encoding="utf-8"?>
<Properties xmlns="http://schemas.openxmlformats.org/officeDocument/2006/custom-properties" xmlns:vt="http://schemas.openxmlformats.org/officeDocument/2006/docPropsVTypes"/>
</file>