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204</w:t>
      </w:r>
    </w:p>
    <w:p>
      <w:pPr>
        <w:tabs>
          <w:tab w:pos="9354" w:val="right" w:leader="dot"/>
        </w:tabs>
        <w:spacing w:line="240" w:lineRule="auto" w:after="80"/>
        <w:ind w:left="454"/>
      </w:pPr>
      <w:r>
        <w:rPr>
          <w:rFonts w:ascii="Times New Roman" w:hAnsi="Times New Roman"/>
          <w:b w:val="0"/>
          <w:sz w:val="26"/>
        </w:rPr>
        <w:t>4.3-§. Tijorat banklari moliyaviy barqarorligini baholash tizimini xalqaro standartlarga muvofiqlashtirishning asosiy yo‘nalishlari</w:t>
        <w:tab/>
        <w:t>216</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bookmarkStart w:id="18"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87"/>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8"/>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89"/>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90"/>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9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92"/>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9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94"/>
      </w:r>
      <w:r>
        <w:rPr>
          <w:rStyle w:val="FootnoteReference"/>
        </w:rPr>
        <w:footnoteReference w:id="495"/>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9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97"/>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56" name="4.2.1-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4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7" name="4.2.2-rasm"/>
            <wp:cNvGraphicFramePr/>
            <a:graphic>
              <a:graphicData uri="http://schemas.openxmlformats.org/drawingml/2006/chart">
                <c:chart r:id="rId5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50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50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8" name="4.2.3-rasm"/>
            <wp:cNvGraphicFramePr/>
            <a:graphic>
              <a:graphicData uri="http://schemas.openxmlformats.org/drawingml/2006/chart">
                <c:chart r:id="rId5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50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8"/>
    <w:bookmarkStart w:id="19" w:name="Xb7d7662b6033dec6e97f665e02651905151f922"/>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4.3-§. Tijorat banklari moliyaviy barqarorligini baholash tizimini xalqaro standartlarga muvofiqlashtirishning asosiy yo‘nalishlari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FootnoteReference"/>
        </w:rPr>
        <w:footnoteReference w:id="504"/>
      </w:r>
      <w:r>
        <w:rPr>
          <w:rFonts w:ascii="Times New Roman" w:hAnsi="Times New Roman" w:cs="Times New Roman" w:eastAsia="Times New Roman"/>
          <w:sz w:val="28"/>
        </w:rPr>
        <w:t xml:space="preserve">.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FootnoteReference"/>
        </w:rPr>
        <w:footnoteReference w:id="505"/>
      </w:r>
      <w:r>
        <w:rPr>
          <w:rFonts w:ascii="Times New Roman" w:hAnsi="Times New Roman" w:cs="Times New Roman" w:eastAsia="Times New Roman"/>
          <w:sz w:val="28"/>
        </w:rPr>
        <w:t xml:space="preserve">.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FootnoteReference"/>
        </w:rPr>
        <w:footnoteReference w:id="506"/>
      </w:r>
      <w:r>
        <w:rPr>
          <w:rFonts w:ascii="Times New Roman" w:hAnsi="Times New Roman" w:cs="Times New Roman" w:eastAsia="Times New Roman"/>
          <w:sz w:val="28"/>
        </w:rPr>
        <w:t xml:space="preserve">. Hatto asosiy ssenariyda ham to‘qqizta davlat bankidan beshtasi, jumladan ikkita tizimli ahamiyatga molik bank minimal talabdan pastga tushadi</w:t>
      </w:r>
      <w:r>
        <w:rPr>
          <w:rStyle w:val="FootnoteReference"/>
        </w:rPr>
        <w:footnoteReference w:id="50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FootnoteReference"/>
        </w:rPr>
        <w:footnoteReference w:id="508"/>
      </w:r>
      <w:r>
        <w:rPr>
          <w:rFonts w:ascii="Times New Roman" w:hAnsi="Times New Roman" w:cs="Times New Roman" w:eastAsia="Times New Roman"/>
          <w:sz w:val="28"/>
        </w:rPr>
        <w:t xml:space="preserve">.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FootnoteReference"/>
        </w:rPr>
        <w:footnoteReference w:id="50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FSAP tavsiyalari, «yo‘l xaritasi» choralari, tadqiqot natijalari va muallif takliflarining o‘zaro bog‘liqligi</w:t>
      </w:r>
      <w:r>
        <w:rPr>
          <w:rStyle w:val="FootnoteReference"/>
        </w:rPr>
        <w:footnoteReference w:id="5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608"/>
        <w:gridCol w:w="2494"/>
        <w:gridCol w:w="2721"/>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Yo‘nalish</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FSAP tavsiyasi va «yo‘l xaritasi» chorasi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Tadqiqot natijasi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Muallif taklifi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Aktivlar sifatini to‘g‘ri aks ettirish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aktivlarni to‘g‘ri tasniflashni ta’minlash (10-tavsiya, darhol); «yo‘l xaritasi», 3-chora: tasniflash nizomini MHXS 9 asosida qayta ishlash</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yashirin kredit riski koeffitsiyenti 1,65–3,30; 3-bosqich kreditlarining 57,2 % milliy tasnifda «standart» yoki «substandart»</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Yangi nizom kuchga kirgunga qadar va o‘tish davrida milliy muammoli kreditlar ko‘rsatkichini yashirin kredit riski koeffitsiyenti bilan tuzatgan holda integral indeksga kiritish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5-chora: oshkor qilishga minimal talablar; 19-chora: MHXS asosidagi nazorat hisobotlari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3.2-§: ochiq ma’lumotlarda MHXS 9 bosqichlari va bank kesimidagi prudensial ko‘rsatkichlar yo‘q</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Milliy tasnif va MHXS 9 bosqichlari kesishma jadvalini hamda bank kesimidagi choraklik prudensial ko‘rsatkichlarni majburiy oshkor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Masofaviy baholash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masofaviy nazoratda banklarning risk profilini baholashni takomillashtirish (8-tavsiya)</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3.1-§: 5 blok va 13 ko‘rsatkichdan iborat integral indeks; 3.3-§: indeks iqtisodiy omillar bilan ahamiyatli bog‘langan</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indeksni Markaziy bankning masofaviy monitoringida choraklik reyting vositasi sifatida qo‘llash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Erta ogohlantirish va tezkor choralar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erta ogohlantirish tizimini belgilash (11-tavsiya); «yo‘l xaritasi», 9-chora: erta ogohlantirish va tezkor tuzatish choralari tizimi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4.1-§: indeksning bashorat kuchi AUC = 0,86; qizil zonada muammo ehtimoli 50 %, yashil zonada 2 %</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indeksga asoslangan uch zonali tizim va har bir zona uchun nazorat choralari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Stress-test</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stress-test ma’lumotlarini qoidalardagi bo‘shliqlarga tuzatish (1-tavsiya); «yo‘l xaritasi», 7, 12-choralar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4.2-§: salbiy ssenariylarda qizil zonaga faqat davlat banklari tushadi; SQB milliy hisobot bo‘yicha yashil, MHXS bo‘yicha qizil zonada</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Stress-testlarni MHXS asosidagi integral indeks bilan o‘tkazish va natijalarini erta ogohlantirish zonalari bilan bog‘lash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Davlat ishtirokidagi banklar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davlat banklarini xususiylashtirishni tezlashtirish, yo‘naltirilgan va imtiyozli kreditlashni bosqichma-bosqich qisqartirish (15, 16-tavsiyalar)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3.2-§: MKB ning davlat ko‘magisiz bahosi 1,72 ball; 3.3-§: davlat banklarining indeksi 0,69 ball past, farqning yarmi moliyalashtirish modeli bilan izohlanadi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Davlat ko‘magisiz bahoni majburiy qilish; qayta kapitallashtirishni restrukturizatsiya rejasi va indeks ko‘rsatkichlariga bog‘lash; resurs bazasini diversifikatsiya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Banklarning ichki baholashi</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7-chora: tizimli banklarda ICAAP</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3.3, 4.1-§: likvidlik bloki eng zaif; aktivlar sifati bloki eng kuchli signal beradi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ICAAP va risk-appetit doirasida integral indeks bloklari bo‘yicha ichki limitlar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pPr>
        <w:pStyle w:val="BodyText"/>
        <w:spacing w:line="360" w:lineRule="auto" w:before="0" w:after="0"/>
        <w:ind w:firstLine="709"/>
        <w:jc w:val="both"/>
      </w:pPr>
      <w:r>
        <w:rPr>
          <w:rFonts w:ascii="Times New Roman" w:hAnsi="Times New Roman" w:cs="Times New Roman" w:eastAsia="Times New Roman"/>
          <w:sz w:val="28"/>
        </w:rPr>
        <w:t xml:space="preserve">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FootnoteReference"/>
        </w:rPr>
        <w:footnoteReference w:id="511"/>
      </w:r>
      <w:r>
        <w:rPr>
          <w:rFonts w:ascii="Times New Roman" w:hAnsi="Times New Roman" w:cs="Times New Roman" w:eastAsia="Times New Roman"/>
          <w:sz w:val="28"/>
        </w:rPr>
        <w:t xml:space="preserve">.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p>
    <w:p>
      <w:pPr>
        <w:pStyle w:val="BodyText"/>
        <w:spacing w:line="360" w:lineRule="auto" w:before="0" w:after="0"/>
        <w:ind w:firstLine="709"/>
        <w:jc w:val="both"/>
      </w:pPr>
      <w:r>
        <w:rPr>
          <w:rFonts w:ascii="Times New Roman" w:hAnsi="Times New Roman" w:cs="Times New Roman" w:eastAsia="Times New Roman"/>
          <w:sz w:val="28"/>
        </w:rPr>
        <w:t xml:space="preserve">Ikkinchi taklif integral indeks asosida erta ogohlantirish va tezkor tuzatish choralari tizimini shakllantirishdan iborat. «Yo‘l xaritasi»da bunday tizimni joriy etish nazarda tutilgan, biroq uning ko‘rsatkichlari va chegaralari belgilanmagan</w:t>
      </w:r>
      <w:r>
        <w:rPr>
          <w:rStyle w:val="FootnoteReference"/>
        </w:rPr>
        <w:footnoteReference w:id="512"/>
      </w:r>
      <w:r>
        <w:rPr>
          <w:rFonts w:ascii="Times New Roman" w:hAnsi="Times New Roman" w:cs="Times New Roman" w:eastAsia="Times New Roman"/>
          <w:sz w:val="28"/>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FootnoteReference"/>
        </w:rPr>
        <w:footnoteReference w:id="513"/>
      </w:r>
      <w:r>
        <w:rPr>
          <w:rFonts w:ascii="Times New Roman" w:hAnsi="Times New Roman" w:cs="Times New Roman" w:eastAsia="Times New Roman"/>
          <w:sz w:val="28"/>
        </w:rPr>
        <w:t xml:space="preserve">.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FootnoteReference"/>
        </w:rPr>
        <w:footnoteReference w:id="514"/>
      </w:r>
      <w:r>
        <w:rPr>
          <w:rFonts w:ascii="Times New Roman" w:hAnsi="Times New Roman" w:cs="Times New Roman" w:eastAsia="Times New Roman"/>
          <w:sz w:val="28"/>
        </w:rPr>
        <w:t xml:space="preserve">.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pPr>
        <w:pStyle w:val="BodyText"/>
        <w:spacing w:line="360" w:lineRule="auto" w:before="0" w:after="0"/>
        <w:ind w:firstLine="709"/>
        <w:jc w:val="both"/>
      </w:pPr>
      <w:r>
        <w:rPr>
          <w:rFonts w:ascii="Times New Roman" w:hAnsi="Times New Roman" w:cs="Times New Roman" w:eastAsia="Times New Roman"/>
          <w:sz w:val="28"/>
        </w:rP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FootnoteReference"/>
        </w:rPr>
        <w:footnoteReference w:id="515"/>
      </w:r>
      <w:r>
        <w:rPr>
          <w:rFonts w:ascii="Times New Roman" w:hAnsi="Times New Roman" w:cs="Times New Roman" w:eastAsia="Times New Roman"/>
          <w:sz w:val="28"/>
        </w:rP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bankda milliy hisobot va MHXS hisoboti asosidagi integral indeks hamda erta ogohlantirish zonalari, 2025-yil</w:t>
      </w:r>
      <w:r>
        <w:rPr>
          <w:rStyle w:val="FootnoteReference"/>
        </w:rPr>
        <w:footnoteReference w:id="51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020"/>
        <w:gridCol w:w="1020"/>
        <w:gridCol w:w="1077"/>
        <w:gridCol w:w="1020"/>
        <w:gridCol w:w="1020"/>
        <w:gridCol w:w="1077"/>
        <w:gridCol w:w="1134"/>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Bank</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Muammoli kreditlar ulushi: milliy, %</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3-bosqich kreditlari ulushi: MHXS, %</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Yashirin kredit riski koeffitsiyenti</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milliy hisobot</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MHXS hisoboti</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milliy hisobot</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MHXS hisoboti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«O‘zsanoatqurilishbank»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7,5</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2,96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2,83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«Mikrokreditbank»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4,4</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2,80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2,90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2,47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qizil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«Biznesni rivojlantirish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8,2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1,81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«Xalq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5,2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1,70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yashil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«Ipoteka-bank»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19,7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5,56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3,11</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To‘rtinchi taklif oshkoralikni kengaytirishdan iborat. FSAP aktivlar tasnifi, zaxiralar, qayta tuzilgan va imtiyozli kreditlar bo‘yicha ma’lumotlar bo‘shliqlarini bartaraf etish tizimli risklarni chuqurroq tahlil qilish uchun zarurligini ta’kidlagan</w:t>
      </w:r>
      <w:r>
        <w:rPr>
          <w:rStyle w:val="FootnoteReference"/>
        </w:rPr>
        <w:footnoteReference w:id="517"/>
      </w:r>
      <w:r>
        <w:rPr>
          <w:rFonts w:ascii="Times New Roman" w:hAnsi="Times New Roman" w:cs="Times New Roman" w:eastAsia="Times New Roman"/>
          <w:sz w:val="28"/>
        </w:rPr>
        <w:t xml:space="preserve">.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p>
    <w:p>
      <w:pPr>
        <w:pStyle w:val="BodyText"/>
        <w:spacing w:line="360" w:lineRule="auto" w:before="0" w:after="0"/>
        <w:ind w:firstLine="709"/>
        <w:jc w:val="both"/>
      </w:pPr>
      <w:r>
        <w:rPr>
          <w:rFonts w:ascii="Times New Roman" w:hAnsi="Times New Roman" w:cs="Times New Roman" w:eastAsia="Times New Roman"/>
          <w:sz w:val="28"/>
        </w:rPr>
        <w:t xml:space="preserve">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FootnoteReference"/>
        </w:rPr>
        <w:footnoteReference w:id="518"/>
      </w:r>
      <w:r>
        <w:rPr>
          <w:rFonts w:ascii="Times New Roman" w:hAnsi="Times New Roman" w:cs="Times New Roman" w:eastAsia="Times New Roman"/>
          <w:sz w:val="28"/>
        </w:rPr>
        <w:t xml:space="preserve">.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kredit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Davlat ishtirokidagi banklar va hukumat uchun takliflar FSAP ning davlat banklarini xususiylashtirishni tezlashtirish hamda yo‘naltirilgan va imtiyozli kreditlashni bosqichma-bosqich qisqartirish bo‘yicha yuqori ustuvorlikdagi tavsiyalariga tayanadi</w:t>
      </w:r>
      <w:r>
        <w:rPr>
          <w:rStyle w:val="FootnoteReference"/>
        </w:rPr>
        <w:footnoteReference w:id="519"/>
      </w:r>
      <w:r>
        <w:rPr>
          <w:rFonts w:ascii="Times New Roman" w:hAnsi="Times New Roman" w:cs="Times New Roman" w:eastAsia="Times New Roman"/>
          <w:sz w:val="28"/>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0,17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uchun asosiy taklif integral indeksni kapital yetarliligini ichki baholash jarayoniga (ICAAP) va risk-appetit tizimiga kiritishdan iborat. «Yo‘l xaritasi»ga ko‘ra, ICAAP tizimli ahamiyatga molik banklar uchun majburiy bo‘ladi</w:t>
      </w:r>
      <w:r>
        <w:rPr>
          <w:rStyle w:val="FootnoteReference"/>
        </w:rPr>
        <w:footnoteReference w:id="520"/>
      </w:r>
      <w:r>
        <w:rPr>
          <w:rFonts w:ascii="Times New Roman" w:hAnsi="Times New Roman" w:cs="Times New Roman" w:eastAsia="Times New Roman"/>
          <w:sz w:val="28"/>
        </w:rPr>
        <w:t xml:space="preserve">.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pPr>
        <w:pStyle w:val="BodyText"/>
        <w:spacing w:line="360" w:lineRule="auto" w:before="0" w:after="0"/>
        <w:ind w:firstLine="709"/>
        <w:jc w:val="both"/>
      </w:pPr>
      <w:r>
        <w:rPr>
          <w:rFonts w:ascii="Times New Roman" w:hAnsi="Times New Roman" w:cs="Times New Roman" w:eastAsia="Times New Roman"/>
          <w:sz w:val="28"/>
        </w:rP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amaldagi baholash amaliyotini bir qator jihatlar bo‘yicha o‘zgartiradi (4.3.3-jadval).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Tijorat banklari moliyaviy barqarorligini baholashning amaldagi va taklif etilayotgan tizimi qiyosi</w:t>
      </w:r>
      <w:r>
        <w:rPr>
          <w:rStyle w:val="FootnoteReference"/>
        </w:rPr>
        <w:footnoteReference w:id="52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742"/>
        <w:gridCol w:w="3855"/>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Jihat</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Amaldagi amaliyot</w:t>
            </w:r>
          </w:p>
        </w:tc>
        <w:tc>
          <w:tcPr>
            <w:tcW w:type="dxa" w:w="385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Taklif etilayotgan tizim</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Baholash asosi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Prudensial normativlarga rioya qilish va kuratorlarning asoslangan mulohazasi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Besh blok va 13 ko‘rsatkichdan iborat integral indeks, mulohaza bilan to‘ldiriladi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Aktivlar sifati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Milliy tasnif bo‘yicha muammoli kreditlar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MHXS 9 bo‘yicha 3-bosqich kreditlari yoki yashirin kredit riski koeffitsiyenti bilan tuzatilgan milliy ko‘rsatkich</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Davlat ko‘magi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Alohida baholanmaydi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Davlat banklari uchun davlat ko‘magisiz indeks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Signal va choralar</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Choralar asosan normativ buzilgandan keyin qo‘llanadi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Uch zonali erta ogohlantirish tizimi, choralar normativ buzilishidan oldin</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Bashorat elementi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Tizim darajasidagi stress-test</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Bank darajasida integral indeksning ssenariy prognozi, natijalar zonalarda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Empirik tekshiruv</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Natijalar e’lon qilinmaydi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Indeksning bashorat kuchi (AUC) va chegaralar muntazam qayta tekshiriladi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Bank kesimida cheklangan ko‘rsatkichlar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Kesishma jadvali va asosiy prudensial koeffitsiyentlar choraklik e’lon qilinadi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FootnoteReference"/>
        </w:rPr>
        <w:footnoteReference w:id="5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birgalikda yagona baholash tizimini tashkil etadi. Uning tuzilishi 4.3.1-rasmda ko‘rsatilgan.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04000"/>
                <wp:effectExtent l="0" t="0" r="0" b="0"/>
                <wp:docPr id="59" name="4.3.1-rasm"/>
                <wp:cNvGraphicFramePr/>
                <a:graphic>
                  <a:graphicData uri="http://schemas.microsoft.com/office/word/2010/wordprocessingGroup">
                    <wpg:wgp>
                      <wpg:cNvGrpSpPr/>
                      <wpg:grpSpPr>
                        <a:xfrm>
                          <a:off x="0" y="0"/>
                          <a:ext cx="5976000" cy="2304000"/>
                          <a:chOff x="0" y="0"/>
                          <a:chExt cx="5976000" cy="2304000"/>
                        </a:xfrm>
                      </wpg:grpSpPr>
                      <wps:wsp>
                        <wps:cNvPr id="2"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txbxContent>
                        </wps:txbx>
                        <wps:bodyPr rot="0" vert="horz" wrap="square" lIns="36000" tIns="18000" rIns="36000" bIns="18000" anchor="ctr" anchorCtr="0">
                          <a:noAutofit/>
                        </wps:bodyPr>
                      </wps:wsp>
                      <wps:wsp>
                        <wps:cNvPr id="3"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Milliy prudensial hisobot (choraklik)</w:t>
                              </w:r>
                            </w:p>
                          </w:txbxContent>
                        </wps:txbx>
                        <wps:bodyPr rot="0" vert="horz" wrap="square" lIns="36000" tIns="18000" rIns="36000" bIns="18000" anchor="ctr" anchorCtr="0">
                          <a:noAutofit/>
                        </wps:bodyPr>
                      </wps:wsp>
                      <wps:wsp>
                        <wps:cNvPr id="4"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hisoboti (yillik)</w:t>
                              </w:r>
                            </w:p>
                          </w:txbxContent>
                        </wps:txbx>
                        <wps:bodyPr rot="0" vert="horz" wrap="square" lIns="36000" tIns="18000" rIns="36000" bIns="18000" anchor="ctr" anchorCtr="0">
                          <a:noAutofit/>
                        </wps:bodyPr>
                      </wps:wsp>
                      <wps:wsp>
                        <wps:cNvPr id="5"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Yashirin kredit riski koeffitsiyenti bilan tuzatish</w:t>
                              </w:r>
                            </w:p>
                          </w:txbxContent>
                        </wps:txbx>
                        <wps:bodyPr rot="0" vert="horz" wrap="square" lIns="36000" tIns="18000" rIns="36000" bIns="18000" anchor="ctr" anchorCtr="0">
                          <a:noAutofit/>
                        </wps:bodyPr>
                      </wps:wsp>
                      <wps:wsp>
                        <wps:cNvPr id="6" name="Connector 6"/>
                        <wps:cNvCnPr/>
                        <wps:spPr>
                          <a:xfrm>
                            <a:off x="1396800" y="169200"/>
                            <a:ext cx="129600" cy="0"/>
                          </a:xfrm>
                          <a:prstGeom prst="straightConnector1">
                            <a:avLst/>
                          </a:prstGeom>
                          <a:ln w="19050">
                            <a:solidFill>
                              <a:srgbClr val="404040"/>
                            </a:solidFill>
                            <a:tailEnd type="triangle" w="med" len="med"/>
                          </a:ln>
                        </wps:spPr>
                        <wps:bodyPr/>
                      </wps:wsp>
                      <wps:wsp>
                        <wps:cNvPr id="7"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Baholash</w:t>
                              </w:r>
                            </w:p>
                          </w:txbxContent>
                        </wps:txbx>
                        <wps:bodyPr rot="0" vert="horz" wrap="square" lIns="36000" tIns="18000" rIns="36000" bIns="18000" anchor="ctr" anchorCtr="0">
                          <a:noAutofit/>
                        </wps:bodyPr>
                      </wps:wsp>
                      <wps:wsp>
                        <wps:cNvPr id="8"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Integral indeks: 5 blok, 13 ko‘rsatkich</w:t>
                              </w:r>
                            </w:p>
                          </w:txbxContent>
                        </wps:txbx>
                        <wps:bodyPr rot="0" vert="horz" wrap="square" lIns="36000" tIns="18000" rIns="36000" bIns="18000" anchor="ctr" anchorCtr="0">
                          <a:noAutofit/>
                        </wps:bodyPr>
                      </wps:wsp>
                      <wps:wsp>
                        <wps:cNvPr id="9"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Davlat ko‘magisiz indeks (davlat banklari)</w:t>
                              </w:r>
                            </w:p>
                          </w:txbxContent>
                        </wps:txbx>
                        <wps:bodyPr rot="0" vert="horz" wrap="square" lIns="36000" tIns="18000" rIns="36000" bIns="18000" anchor="ctr" anchorCtr="0">
                          <a:noAutofit/>
                        </wps:bodyPr>
                      </wps:wsp>
                      <wps:wsp>
                        <wps:cNvPr id="10"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va milliy indekslar farqi (ΔMBII)</w:t>
                              </w:r>
                            </w:p>
                          </w:txbxContent>
                        </wps:txbx>
                        <wps:bodyPr rot="0" vert="horz" wrap="square" lIns="36000" tIns="18000" rIns="36000" bIns="18000" anchor="ctr" anchorCtr="0">
                          <a:noAutofit/>
                        </wps:bodyPr>
                      </wps:wsp>
                      <wps:wsp>
                        <wps:cNvPr id="11" name="Connector 11"/>
                        <wps:cNvCnPr/>
                        <wps:spPr>
                          <a:xfrm>
                            <a:off x="2898000" y="169200"/>
                            <a:ext cx="129600" cy="0"/>
                          </a:xfrm>
                          <a:prstGeom prst="straightConnector1">
                            <a:avLst/>
                          </a:prstGeom>
                          <a:ln w="19050">
                            <a:solidFill>
                              <a:srgbClr val="404040"/>
                            </a:solidFill>
                            <a:tailEnd type="triangle" w="med" len="med"/>
                          </a:ln>
                        </wps:spPr>
                        <wps:bodyPr/>
                      </wps:wsp>
                      <wps:wsp>
                        <wps:cNvPr id="12"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Signal</w:t>
                              </w:r>
                            </w:p>
                          </w:txbxContent>
                        </wps:txbx>
                        <wps:bodyPr rot="0" vert="horz" wrap="square" lIns="36000" tIns="18000" rIns="36000" bIns="18000" anchor="ctr" anchorCtr="0">
                          <a:noAutofit/>
                        </wps:bodyPr>
                      </wps:wsp>
                      <wps:wsp>
                        <wps:cNvPr id="13"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Erta ogohlantirish zonalari: yashil ≥ 3,25; sariq 2,75–3,25; qizil &lt; 2,75</w:t>
                              </w:r>
                            </w:p>
                          </w:txbxContent>
                        </wps:txbx>
                        <wps:bodyPr rot="0" vert="horz" wrap="square" lIns="36000" tIns="18000" rIns="36000" bIns="18000" anchor="ctr" anchorCtr="0">
                          <a:noAutofit/>
                        </wps:bodyPr>
                      </wps:wsp>
                      <wps:wsp>
                        <wps:cNvPr id="14"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Stress-test natijalari zonalarda</w:t>
                              </w:r>
                            </w:p>
                          </w:txbxContent>
                        </wps:txbx>
                        <wps:bodyPr rot="0" vert="horz" wrap="square" lIns="36000" tIns="18000" rIns="36000" bIns="18000" anchor="ctr" anchorCtr="0">
                          <a:noAutofit/>
                        </wps:bodyPr>
                      </wps:wsp>
                      <wps:wsp>
                        <wps:cNvPr id="15" name="Connector 15"/>
                        <wps:cNvCnPr/>
                        <wps:spPr>
                          <a:xfrm>
                            <a:off x="4399200" y="169200"/>
                            <a:ext cx="129600" cy="0"/>
                          </a:xfrm>
                          <a:prstGeom prst="straightConnector1">
                            <a:avLst/>
                          </a:prstGeom>
                          <a:ln w="19050">
                            <a:solidFill>
                              <a:srgbClr val="404040"/>
                            </a:solidFill>
                            <a:tailEnd type="triangle" w="med" len="med"/>
                          </a:ln>
                        </wps:spPr>
                        <wps:bodyPr/>
                      </wps:wsp>
                      <wps:wsp>
                        <wps:cNvPr id="16"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Choralar</w:t>
                              </w:r>
                            </w:p>
                          </w:txbxContent>
                        </wps:txbx>
                        <wps:bodyPr rot="0" vert="horz" wrap="square" lIns="36000" tIns="18000" rIns="36000" bIns="18000" anchor="ctr" anchorCtr="0">
                          <a:noAutofit/>
                        </wps:bodyPr>
                      </wps:wsp>
                      <wps:wsp>
                        <wps:cNvPr id="17"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Yashil: odatiy monitoring</w:t>
                              </w:r>
                            </w:p>
                          </w:txbxContent>
                        </wps:txbx>
                        <wps:bodyPr rot="0" vert="horz" wrap="square" lIns="36000" tIns="18000" rIns="36000" bIns="18000" anchor="ctr" anchorCtr="0">
                          <a:noAutofit/>
                        </wps:bodyPr>
                      </wps:wsp>
                      <wps:wsp>
                        <wps:cNvPr id="18"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Sariq: kuchaytirilgan monitoring, tuzatish rejasi</w:t>
                              </w:r>
                            </w:p>
                          </w:txbxContent>
                        </wps:txbx>
                        <wps:bodyPr rot="0" vert="horz" wrap="square" lIns="36000" tIns="18000" rIns="36000" bIns="18000" anchor="ctr" anchorCtr="0">
                          <a:noAutofit/>
                        </wps:bodyPr>
                      </wps:wsp>
                      <wps:wsp>
                        <wps:cNvPr id="19"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Qizil: maqsadli tekshiruv, kapitalni tiklash, dividend cheklovi</w:t>
                              </w:r>
                            </w:p>
                          </w:txbxContent>
                        </wps:txbx>
                        <wps:bodyPr rot="0" vert="horz" wrap="square" lIns="36000" tIns="18000" rIns="36000" bIns="18000" anchor="ctr" anchorCtr="0">
                          <a:noAutofit/>
                        </wps:bodyPr>
                      </wps:wsp>
                      <wps:wsp>
                        <wps:cNvPr id="20" name="Shape 20"/>
                        <wps:cNvSpPr/>
                        <wps:spPr>
                          <a:xfrm>
                            <a:off x="36000" y="1998000"/>
                            <a:ext cx="5853600" cy="252000"/>
                          </a:xfrm>
                          <a:prstGeom prst="rect">
                            <a:avLst/>
                          </a:prstGeom>
                          <a:solidFill>
                            <a:srgbClr val="FFFFFF"/>
                          </a:solidFill>
                          <a:ln w="12700">
                            <a:solidFill>
                              <a:srgbClr val="404040"/>
                            </a:solidFill>
                          </a:ln>
                        </wps:spPr>
                        <wps:txbx>
                          <w:txbxContent>
                            <w:p>
                              <w:pPr>
                                <w:spacing w:before="0" w:after="0" w:line="228" w:lineRule="auto"/>
                                <w:jc w:val="center"/>
                                <w:ind w:firstLine="0"/>
                              </w:pPr>
                              <w:r>
                                <w:rPr>
                                  <w:rFonts w:ascii="Times New Roman" w:hAnsi="Times New Roman" w:cs="Times New Roman"/>
                                  <w:i/>
                                  <w:color w:val="000000"/>
                                  <w:sz w:val="17"/>
                                  <w:szCs w:val="17"/>
                                </w:rPr>
                                <w:t xml:space="preserve">Keyingi chorakda indeks qayta hisoblanadi: choralar samaradorligi baholanadi (yopiq sikl)</w:t>
                              </w:r>
                            </w:p>
                          </w:txbxContent>
                        </wps:txbx>
                        <wps:bodyPr rot="0" vert="horz" wrap="square" lIns="36000" tIns="18000" rIns="36000" bIns="18000" anchor="ctr" anchorCtr="0">
                          <a:noAutofit/>
                        </wps:bodyPr>
                      </wps:wsp>
                      <wps:wsp>
                        <wps:cNvPr id="21" name="Connector 21"/>
                        <wps:cNvCnPr/>
                        <wps:spPr>
                          <a:xfrm>
                            <a:off x="5214600" y="1890000"/>
                            <a:ext cx="0" cy="100800"/>
                          </a:xfrm>
                          <a:prstGeom prst="straightConnector1">
                            <a:avLst/>
                          </a:prstGeom>
                          <a:ln w="15875">
                            <a:solidFill>
                              <a:srgbClr val="404040"/>
                            </a:solidFill>
                            <a:tailEnd type="triangle" w="med" len="med"/>
                          </a:ln>
                        </wps:spPr>
                        <wps:bodyPr/>
                      </wps:wsp>
                      <wps:wsp>
                        <wps:cNvPr id="22"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4.3.1-rasm. Tijorat banklari moliyaviy barqarorligini xalqaro standartlar asosida baholashning taklif etilayotgan tizimi</w:t>
      </w:r>
      <w:r>
        <w:rPr>
          <w:rStyle w:val="FootnoteReference"/>
        </w:rPr>
        <w:footnoteReference w:id="5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Takliflarni amalga oshirish «yo‘l xaritasi» choralari bilan muvofiqlashtirilgan holda uch bosqichda amalga oshirilishi maqsadga muvofiq (4.3.4-jadval).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Takliflarni amalga oshirish bosqichlari</w:t>
      </w:r>
      <w:r>
        <w:rPr>
          <w:rStyle w:val="FootnoteReference"/>
        </w:rPr>
        <w:footnoteReference w:id="5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247"/>
        <w:gridCol w:w="3175"/>
        <w:gridCol w:w="1360"/>
        <w:gridCol w:w="1360"/>
        <w:gridCol w:w="2154"/>
      </w:tblGrid>
      <w:tr>
        <w:trPr>
          <w:tblHeader w:val="true"/>
          <w:cantSplit/>
          <w:tblHeader/>
        </w:trPr>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Bosqich</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Chora-tadbirlar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Mas’ul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«Yo‘l xaritasi»dagi bog‘liq chora</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Natija ko‘rsatkichi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 bosqich (2026-yil)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Integral indeksni prudensial hisobotlar asosida sinov tariqasida hisoblash; milliy ko‘rsatkichlarni yashirin kredit riski koeffitsiyenti bilan tuzatish; oshkor qilish talablariga kesishma jadvalini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3, 5, 18,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Barcha banklar uchun choraklik indeks qiymatlari; kesishma jadvallari e’lon qilinishi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 bosqich (2027-yil)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Uch zonali erta ogohlantirish tizimini va tezkor tuzatish choralarini joriy etish; stress-testlarni MHXS asosidagi indeks bilan o‘tkazish; davlat banklari uchun davlat ko‘magisiz bahoni joriy etish; ICAAP ga indeks bloklarini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 Iqtisodiyot va moliya vazirligi, banklar</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7, 9, 12, 17-choralar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Zonalar bo‘yicha banklar taqsimoti; sariq va qizil zonadagi banklar uchun tuzatish rejalari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III bosqich (2028-yil)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Indeksni to‘liq MHXS ma’lumotlariga o‘tkazish; zonalar chegaralarini yangi ma’lumotlar asosida qayta kalibrlash; indeks natijalarini moliyaviy barqarorlik sharhida e’lon qilish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5,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Yashirin kredit riski koeffitsiyentining birga yaqinlashishi; chegaralar bashorat kuchining qayta tekshiruvi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pPr>
        <w:pStyle w:val="BodyText"/>
        <w:spacing w:line="360" w:lineRule="auto" w:before="0" w:after="0"/>
        <w:ind w:firstLine="709"/>
        <w:jc w:val="both"/>
      </w:pPr>
      <w:r>
        <w:rPr>
          <w:rFonts w:ascii="Times New Roman" w:hAnsi="Times New Roman" w:cs="Times New Roman" w:eastAsia="Times New Roman"/>
          <w:sz w:val="28"/>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bookmarkEnd w:id="19"/>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6">
    <w:p>
      <w:pPr>
        <w:pStyle w:val="FootnoteText"/>
      </w:pPr>
      <w:r>
        <w:rPr>
          <w:rStyle w:val="FootnoteReference"/>
        </w:rPr>
        <w:footnoteRef/>
      </w:r>
      <w:r>
        <w:t xml:space="preserve"> </w:t>
      </w:r>
      <w:r>
        <w:t xml:space="preserve">Tadqiqot natijasida muallif tomonidan 4.1.3–4.1.5-jadvallar ma’lumotlari asosida ishlab chiqildi.</w:t>
      </w:r>
    </w:p>
  </w:footnote>
  <w:footnote w:id="487">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8">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89">
    <w:p>
      <w:pPr>
        <w:pStyle w:val="FootnoteText"/>
      </w:pPr>
      <w:r>
        <w:rPr>
          <w:rStyle w:val="FootnoteReference"/>
        </w:rPr>
        <w:footnoteRef/>
      </w:r>
      <w:r>
        <w:t xml:space="preserve"> </w:t>
      </w:r>
      <w:r>
        <w:t xml:space="preserve">Basel Committee on Banking Supervision. Stress testing principles. – Basel: BIS, October 2018.</w:t>
      </w:r>
    </w:p>
  </w:footnote>
  <w:footnote w:id="490">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1">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2">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93">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4">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95">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96">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7">
    <w:p>
      <w:pPr>
        <w:pStyle w:val="FootnoteText"/>
      </w:pPr>
      <w:r>
        <w:rPr>
          <w:rStyle w:val="FootnoteReference"/>
        </w:rPr>
        <w:footnoteRef/>
      </w:r>
      <w:r>
        <w:t xml:space="preserve"> </w:t>
      </w:r>
      <w:r>
        <w:t xml:space="preserve">Basel Committee on Banking Supervision. Stress testing principles. – Basel: BIS, October 2018.</w:t>
      </w:r>
    </w:p>
  </w:footnote>
  <w:footnote w:id="498">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9">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2">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3">
    <w:p>
      <w:pPr>
        <w:pStyle w:val="FootnoteText"/>
      </w:pPr>
      <w:r>
        <w:rPr>
          <w:rStyle w:val="FootnoteReference"/>
        </w:rPr>
        <w:footnoteRef/>
      </w:r>
      <w:r>
        <w:t xml:space="preserve"> </w:t>
      </w:r>
      <w:r>
        <w:t xml:space="preserve">Tadqiqot natijasida muallif tomonidan 4.2.6-jadval ma’lumotlari asosida ishlab chiqildi.</w:t>
      </w:r>
    </w:p>
  </w:footnote>
  <w:footnote w:id="504">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1.</w:t>
      </w:r>
    </w:p>
  </w:footnote>
  <w:footnote w:id="50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20.</w:t>
      </w:r>
    </w:p>
  </w:footnote>
  <w:footnote w:id="50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8">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09">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0">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1">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12">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3">
    <w:p>
      <w:pPr>
        <w:pStyle w:val="FootnoteText"/>
      </w:pPr>
      <w:r>
        <w:rPr>
          <w:rStyle w:val="FootnoteReference"/>
        </w:rPr>
        <w:footnoteRef/>
      </w:r>
      <w:r>
        <w:t xml:space="preserve"> </w:t>
      </w:r>
      <w:r>
        <w:t xml:space="preserve">Federal Deposit Insurance Corporation Improvement Act of 1991, Section 131: Prompt Corrective Action (12 U.S.C. § 1831o). – Washington, DC: U.S. Congress, 1991.</w:t>
      </w:r>
    </w:p>
  </w:footnote>
  <w:footnote w:id="514">
    <w:p>
      <w:pPr>
        <w:pStyle w:val="FootnoteText"/>
      </w:pPr>
      <w:r>
        <w:rPr>
          <w:rStyle w:val="FootnoteReference"/>
        </w:rPr>
        <w:footnoteRef/>
      </w:r>
      <w:r>
        <w:t xml:space="preserve"> </w:t>
      </w:r>
      <w:r>
        <w:t xml:space="preserve">European Banking Authority. Guidelines on common procedures and methodologies for the supervisory review and evaluation process (SREP) and supervisory stress testing (EBA/GL/2022/03). – Paris: EBA, 18 March 2022.</w:t>
      </w:r>
    </w:p>
  </w:footnote>
  <w:footnote w:id="51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24.</w:t>
      </w:r>
    </w:p>
  </w:footnote>
  <w:footnote w:id="51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51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28.</w:t>
      </w:r>
    </w:p>
  </w:footnote>
  <w:footnote w:id="51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1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20">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21">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2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28.</w:t>
      </w:r>
    </w:p>
  </w:footnote>
  <w:footnote w:id="523">
    <w:p>
      <w:pPr>
        <w:pStyle w:val="FootnoteText"/>
      </w:pPr>
      <w:r>
        <w:rPr>
          <w:rStyle w:val="FootnoteReference"/>
        </w:rPr>
        <w:footnoteRef/>
      </w:r>
      <w:r>
        <w:t xml:space="preserve"> </w:t>
      </w:r>
      <w:r>
        <w:t xml:space="preserve">Tadqiqot natijasida muallif tomonidan ishlab chiqildi.</w:t>
      </w:r>
    </w:p>
  </w:footnote>
  <w:footnote w:id="524">
    <w:p>
      <w:pPr>
        <w:pStyle w:val="FootnoteText"/>
      </w:pPr>
      <w:r>
        <w:rPr>
          <w:rStyle w:val="FootnoteReference"/>
        </w:rPr>
        <w:footnoteRef/>
      </w:r>
      <w:r>
        <w:t xml:space="preserve"> </w:t>
      </w:r>
      <w:r>
        <w:t xml:space="preserve">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4B537DD"/>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462BC8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0D2F1F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 Id="rId50" Type="http://schemas.openxmlformats.org/officeDocument/2006/relationships/chart" Target="charts/chart40.xml"/><Relationship Id="rId51" Type="http://schemas.openxmlformats.org/officeDocument/2006/relationships/chart" Target="charts/chart4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
<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
<Relationships xmlns="http://schemas.openxmlformats.org/package/2006/relationships"><Relationship Id="rId1" Type="http://schemas.openxmlformats.org/officeDocument/2006/relationships/package" Target="../embeddings/Microsoft_Excel_Worksheet4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