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79</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pPr>
      <w:r>
        <w:rPr>
          <w:sz w:val="26"/>
        </w:rPr>
        <w:t>II bob bo‘yicha xulosalar</w:t>
      </w:r>
      <w:r>
        <w:rPr>
          <w:sz w:val="26"/>
        </w:rPr>
        <w:tab/>
        <w:t>134</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137</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137</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189</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235</w:t>
      </w:r>
    </w:p>
    <w:p w:rsidR="005603EC" w:rsidRDefault="00AB61AC">
      <w:pPr>
        <w:tabs>
          <w:tab w:val="right" w:leader="dot" w:pos="9354"/>
        </w:tabs>
        <w:spacing w:after="80" w:line="240" w:lineRule="auto"/>
      </w:pPr>
      <w:r>
        <w:rPr>
          <w:b/>
          <w:sz w:val="26"/>
        </w:rPr>
        <w:t>XULOSA</w:t>
      </w:r>
      <w:r>
        <w:rPr>
          <w:b/>
          <w:sz w:val="26"/>
        </w:rPr>
        <w:tab/>
        <w:t>238</w:t>
      </w:r>
    </w:p>
    <w:p w:rsidR="005603EC" w:rsidRDefault="00AB61AC">
      <w:pPr>
        <w:tabs>
          <w:tab w:val="right" w:leader="dot" w:pos="9354"/>
        </w:tabs>
        <w:spacing w:after="80" w:line="240" w:lineRule="auto"/>
      </w:pPr>
      <w:r>
        <w:rPr>
          <w:b/>
          <w:sz w:val="26"/>
        </w:rPr>
        <w:t>FOYDALANILGAN ADABIYOTLAR RO‘YXATI</w:t>
      </w:r>
      <w:r>
        <w:rPr>
          <w:b/>
          <w:sz w:val="26"/>
        </w:rPr>
        <w:tab/>
        <w:t>244</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240</w:t>
      </w:r>
      <w:r>
        <w:rPr/>
        <w:t xml:space="preserve">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color w:val="0070C0"/>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color w:val="0070C0"/>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59"/>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color w:val="0070C0"/>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color w:val="0070C0"/>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color w:val="0070C0"/>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color w:val="0070C0"/>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color w:val="0070C0"/>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70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195"/>
        <w:gridCol w:w="964"/>
        <w:gridCol w:w="964"/>
        <w:gridCol w:w="964"/>
        <w:gridCol w:w="964"/>
        <w:gridCol w:w="964"/>
      </w:tblGrid>
      <w:tr>
        <w:trPr>
          <w:tblHeader/>
        </w:trPr>
        <w:tc>
          <w:tcPr>
            <w:tcW w:type="dxa" w:w="4195"/>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Ko‘rsatkich</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2021</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2022</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2023</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2024</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2025</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color w:val="0070C0"/>
                <w:sz w:val="24"/>
                <w:szCs w:val="24"/>
              </w:rPr>
              <w:t>Substandart va muammoli kreditlar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12,5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19,5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color w:val="0070C0"/>
                <w:sz w:val="24"/>
                <w:szCs w:val="24"/>
              </w:rPr>
              <w:t>Muammoli kreditlar, davlat ulushi mavjud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3,2</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color w:val="0070C0"/>
                <w:sz w:val="24"/>
                <w:szCs w:val="24"/>
              </w:rPr>
              <w:t>Muammoli kreditlar, jami</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5,2</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3,6</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color w:val="0070C0"/>
                <w:sz w:val="24"/>
                <w:szCs w:val="24"/>
              </w:rPr>
              <w:t>Muammoli kreditlar, boshqa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2,6</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0000"/>
                <w:sz w:val="24"/>
                <w:szCs w:val="24"/>
              </w:rPr>
              <w:t xml:space="preserve">━━ </w:t>
            </w:r>
            <w:r>
              <w:rPr>
                <w:rFonts w:ascii="Times New Roman" w:hAnsi="Times New Roman" w:eastAsia="Times New Roman" w:cs="Times New Roman"/>
                <w:b w:val="0"/>
                <w:color w:val="0070C0"/>
                <w:sz w:val="24"/>
                <w:szCs w:val="24"/>
              </w:rPr>
              <w:t>Erta ogohlantirish chegarasi (5 %)</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r>
    </w:tbl>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w:t>
      </w:r>
      <w:r>
        <w:rPr>
          <w:color w:val="0070C0"/>
        </w:rPr>
        <w:t xml:space="preserve">Shu sababli tahlil uchta</w:t>
      </w:r>
      <w:r>
        <w:rPr/>
        <w:t xml:space="preserve">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w:t>
      </w:r>
      <w:r>
        <w:rPr>
          <w:color w:val="0070C0"/>
        </w:rPr>
        <w:t xml:space="preserve">misolida chuqurlashtiriladi.</w:t>
      </w:r>
      <w:r>
        <w:rPr/>
        <w:t xml:space="preserve"> Avval har bir </w:t>
      </w:r>
      <w:r>
        <w:rPr>
          <w:color w:val="0070C0"/>
        </w:rPr>
        <w:t xml:space="preserve">bankning asosiy</w:t>
      </w:r>
      <w:r>
        <w:rPr/>
        <w:t xml:space="preserve"> ko‘rsatkichlari alohida (2.2.2–2.2.4-jadvallar), </w:t>
      </w:r>
      <w:r>
        <w:rPr>
          <w:color w:val="0070C0"/>
        </w:rPr>
        <w:t xml:space="preserve">so‘ngra ular qiyosiy</w:t>
      </w:r>
      <w:r>
        <w:rPr/>
        <w:t xml:space="preserve">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color w:val="0070C0"/>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color w:val="0070C0"/>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color w:val="0070C0"/>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color w:val="0070C0"/>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color w:val="0070C0"/>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color w:val="0070C0"/>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color w:val="0070C0"/>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color w:val="0070C0"/>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color w:val="0070C0"/>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color w:val="0070C0"/>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color w:val="0070C0"/>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color w:val="0070C0"/>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color w:val="0070C0"/>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color w:val="0070C0"/>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rPr>
          <w:color w:val="0070C0"/>
        </w:rPr>
        <w:t xml:space="preserve">4.1.4-rasmdan ko‘rinib</w:t>
      </w:r>
      <w:r>
        <w:t xml:space="preserve">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color w:val="0070C0"/>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color w:val="0070C0"/>
        </w:rPr>
        <w:t xml:space="preserve">4.3.4-jadvaldan </w:t>
      </w:r>
      <w:r>
        <w:t xml:space="preserve">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color w:val="0070C0"/>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color w:val="0070C0"/>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color w:val="0070C0"/>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color w:val="0070C0"/>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color w:val="0070C0"/>
        </w:rPr>
        <w:t xml:space="preserve">Tadqiqotlar jarayonida muallif tomonidan tuzilgan.</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color w:val="0070C0"/>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color w:val="0070C0"/>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color w:val="0070C0"/>
        </w:rPr>
        <w:t xml:space="preserve">Tadqiqotlar jarayonida muallif tomonidan tuzilgan.</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w:t>
      </w:r>
      <w:r>
        <w:rPr>
          <w:color w:val="0070C0"/>
        </w:rPr>
        <w:t xml:space="preserve">Tadqiqotlar jarayonida muallif tomonidan tuzilgan.</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0">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1">
    <w:p w:rsidR="00AB61AC" w:rsidRDefault="00AB61AC">
      <w:pPr>
        <w:pStyle w:val="aff9"/>
      </w:pPr>
      <w:r>
        <w:rPr>
          <w:rStyle w:val="aff8"/>
        </w:rPr>
        <w:footnoteRef/>
      </w:r>
      <w:r>
        <w:t xml:space="preserve"> </w:t>
      </w:r>
      <w:r>
        <w:rPr>
          <w:color w:val="0070C0"/>
        </w:rPr>
        <w:t xml:space="preserve">Tadqiqotlar jarayonida muallif tomonidan tuzilgan.</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w:t>
      </w:r>
      <w:r>
        <w:rPr>
          <w:color w:val="0070C0"/>
        </w:rPr>
        <w:t xml:space="preserve">Tadqiqotlar jarayonida muallif tomonidan tuzilgan.</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4">
    <w:p w:rsidR="00AB61AC" w:rsidRDefault="00AB61AC">
      <w:pPr>
        <w:pStyle w:val="aff9"/>
      </w:pPr>
      <w:r>
        <w:rPr>
          <w:rStyle w:val="aff8"/>
        </w:rPr>
        <w:footnoteRef/>
      </w:r>
      <w:r>
        <w:t xml:space="preserve"> </w:t>
      </w:r>
      <w:r>
        <w:rPr>
          <w:color w:val="0070C0"/>
        </w:rPr>
        <w:t xml:space="preserve">Tadqiqotlar jarayonida muallif tomonidan tuzilgan.</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w:t>
      </w:r>
      <w:r>
        <w:rPr>
          <w:color w:val="0070C0"/>
        </w:rPr>
        <w:t xml:space="preserve">Tadqiqotlar jarayonida muallif tomonidan tuzilgan.</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
          <c:y val="0.05"/>
          <c:w val="0.86"/>
          <c:h val="0.8"/>
        </c:manualLayout>
      </c:layout>
      <c:lineChart>
        <c:grouping val="standard"/>
        <c:varyColors val="0"/>
        <c:ser>
          <c:idx val="0"/>
          <c:order val="0"/>
          <c:tx>
            <c:strRef>
              <c:f>Sheet1!$B$1</c:f>
              <c:strCache>
                <c:ptCount val="1"/>
                <c:pt idx="0">
                  <c:v>Substandart va muammoli kreditlar</c:v>
                </c:pt>
              </c:strCache>
            </c:strRef>
          </c:tx>
          <c:spPr>
            <a:ln w="28575">
              <a:solidFill>
                <a:srgbClr val="7030A0"/>
              </a:solidFill>
            </a:ln>
          </c:spPr>
          <c:marker>
            <c:symbol val="circle"/>
            <c:size val="5"/>
            <c:spPr>
              <a:solidFill>
                <a:srgbClr val="7030A0"/>
              </a:solidFill>
              <a:ln>
                <a:noFill/>
              </a:ln>
            </c:spPr>
          </c:marker>
          <c:dLbls>
            <c:numFmt formatCode="0.0" sourceLinked="0"/>
            <c:spPr>
              <a:noFill/>
              <a:ln>
                <a:noFill/>
              </a:ln>
            </c:spPr>
            <c:txPr>
              <a:bodyPr/>
              <a:lstStyle/>
              <a:p>
                <a:pPr>
                  <a:defRPr sz="11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(5 %)</c:v>
                </c:pt>
              </c:strCache>
            </c:strRef>
          </c:tx>
          <c:spPr>
            <a:ln w="34925">
              <a:solidFill>
                <a:srgbClr val="FF0000"/>
              </a:solidFill>
            </a:ln>
          </c:spPr>
          <c:marker>
            <c:symbol val="none"/>
          </c:marker>
          <c:dLbls>
            <c:dLbl>
              <c:idx val="2"/>
              <c:tx>
                <c:rich>
                  <a:bodyPr wrap="none"/>
                  <a:lstStyle/>
                  <a:p>
                    <a:pPr>
                      <a:defRPr sz="1100" b="1">
                        <a:solidFill>
                          <a:srgbClr val="FF0000"/>
                        </a:solidFill>
                        <a:latin typeface="Times New Roman"/>
                        <a:cs typeface="Times New Roman"/>
                      </a:defRPr>
                    </a:pPr>
                    <a:r>
                      <a:rPr lang="uz-Latn-UZ" sz="1100" b="1">
                        <a:solidFill>
                          <a:srgbClr val="FF0000"/>
                        </a:solidFill>
                        <a:latin typeface="Times New Roman"/>
                        <a:cs typeface="Times New Roman"/>
                      </a:rPr>
                      <a:t>Erta ogohlantirish chegarasi (5 %)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MBII-8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